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Date"/>
        <w:spacing w:before="0" w:after="960"/>
        <w:rPr/>
      </w:pPr>
      <w:r>
        <w:rPr/>
        <w:t>August 1, 2001</w:t>
      </w:r>
    </w:p>
    <w:p>
      <w:pPr>
        <w:pStyle w:val="DeliveryPhrase"/>
        <w:rPr/>
      </w:pPr>
      <w:r>
        <w:rPr/>
        <w:t>Via Facsimile</w:t>
      </w:r>
    </w:p>
    <w:p>
      <w:pPr>
        <w:pStyle w:val="EnvelopeAddress"/>
        <w:rPr/>
      </w:pPr>
      <w:r>
        <w:rPr/>
        <w:t>Market Participants</w:t>
      </w:r>
    </w:p>
    <w:p>
      <w:pPr>
        <w:pStyle w:val="ReLine"/>
        <w:ind w:end="113"/>
        <w:rPr/>
      </w:pPr>
      <w:r>
        <w:rPr/>
        <w:t>Re:</w:t>
        <w:tab/>
      </w:r>
      <w:r>
        <w:rPr>
          <w:u w:val="single"/>
        </w:rPr>
        <w:t>PG&amp;E Bankruptcy</w:t>
      </w:r>
    </w:p>
    <w:p>
      <w:pPr>
        <w:pStyle w:val="Salutation"/>
        <w:rPr/>
      </w:pPr>
      <w:r>
        <w:rPr/>
        <w:t>Ladies and Gentlemen:</w:t>
      </w:r>
    </w:p>
    <w:p>
      <w:pPr>
        <w:pStyle w:val="BodyText"/>
        <w:rPr/>
      </w:pPr>
      <w:r>
        <w:rPr/>
        <w:t xml:space="preserve">Pursuant to directive issued by the Hon. Judge Dennis Montali this morning, please be advised that the hearing on the ISO’s Motion to Modify Order Directing Production of Documents to ISO/PX Market Participants Pursuant to Federal Bankruptcy Rule 2004 etc., filed and served on July 31, 2001, </w:t>
      </w:r>
      <w:r>
        <w:rPr>
          <w:b/>
          <w:bCs/>
        </w:rPr>
        <w:t xml:space="preserve">WILL BE HEARD ON AN EXPEDITED BASIS.   </w:t>
      </w:r>
    </w:p>
    <w:p>
      <w:pPr>
        <w:pStyle w:val="BodyText"/>
        <w:rPr/>
      </w:pPr>
      <w:r>
        <w:rPr/>
        <w:t>The hearing is now set for Monday, August 6 at 11:00 a.m.  All oppositions are to be served by fax, hand or email and filed with the Court no later than 4:30 p.m., Friday, August 3.</w:t>
      </w:r>
    </w:p>
    <w:p>
      <w:pPr>
        <w:pStyle w:val="BodyText"/>
        <w:rPr/>
      </w:pPr>
      <w:r>
        <w:rPr/>
        <w:t>Please also take notice that the modification sought by the ISO has been revised.  The ISO will ask that the Order be modified only as follows:</w:t>
      </w:r>
    </w:p>
    <w:p>
      <w:pPr>
        <w:pStyle w:val="BodyText"/>
        <w:rPr/>
      </w:pPr>
      <w:r>
        <w:rPr/>
        <w:t>1.</w:t>
        <w:tab/>
        <w:t>Paragraph 5 E is modified to delete the words “administrative proceedings and state and federal litigation” at line 24.  Hence, the Order would read:</w:t>
      </w:r>
    </w:p>
    <w:p>
      <w:pPr>
        <w:pStyle w:val="Normal"/>
        <w:autoSpaceDE w:val="false"/>
        <w:spacing w:before="0" w:after="240"/>
        <w:ind w:start="1440" w:end="1440"/>
        <w:rPr>
          <w:rFonts w:cs="Arial"/>
        </w:rPr>
      </w:pPr>
      <w:r>
        <w:rPr>
          <w:rFonts w:cs="Arial"/>
        </w:rPr>
        <w:t>Subject to the limitations set forth in this Protective Order respecting the disclosure of Responsive Information, Responsive Information shall be utilized exclusively for litigation purposes in connection with this bankruptcy case (including adversary proceedings and claims litigation) (collectively, the “Proceedings”).  [paragraph continues unchanged]</w:t>
      </w:r>
    </w:p>
    <w:p>
      <w:pPr>
        <w:pStyle w:val="Normal"/>
        <w:autoSpaceDE w:val="false"/>
        <w:spacing w:before="0" w:after="240"/>
        <w:ind w:firstLine="720" w:end="0"/>
        <w:rPr>
          <w:rFonts w:cs="Arial"/>
        </w:rPr>
      </w:pPr>
      <w:r>
        <w:rPr>
          <w:rFonts w:cs="Arial"/>
        </w:rPr>
        <w:t>and</w:t>
      </w:r>
    </w:p>
    <w:p>
      <w:pPr>
        <w:pStyle w:val="BodyText"/>
        <w:rPr/>
      </w:pPr>
      <w:r>
        <w:rPr/>
        <w:t>2.</w:t>
        <w:tab/>
        <w:t xml:space="preserve">The clarification, whether or not incorporated explicitly in the Order, that in the event that the ISO or another party presents to the Court prima facie evidence that information has been used or disclosed in violation of this Order, the ISO or other party will immediately be entitled to review the Non-Disclosure certificates maintained by each designated Custodian as described at paragraph 5D of the Order. </w:t>
      </w:r>
    </w:p>
    <w:p>
      <w:pPr>
        <w:pStyle w:val="BodyText"/>
        <w:rPr/>
      </w:pPr>
      <w:r>
        <w:rPr/>
        <w:t>If you have not yet received the motion papers and wish to receive an electronic copy, please advise by sending an email to:  llaflamme@fbm.com.</w:t>
      </w:r>
    </w:p>
    <w:p>
      <w:pPr>
        <w:pStyle w:val="LetterSignature"/>
        <w:rPr/>
      </w:pPr>
      <w:r>
        <w:rPr/>
        <w:t>Sincerely,</w:t>
      </w:r>
    </w:p>
    <w:p>
      <w:pPr>
        <w:pStyle w:val="LetterSignature"/>
        <w:spacing w:before="720" w:after="0"/>
        <w:rPr/>
      </w:pPr>
      <w:r>
        <w:rPr/>
        <w:t>Norma G. Formanek</w:t>
      </w:r>
    </w:p>
    <w:p>
      <w:pPr>
        <w:pStyle w:val="LetterSignature"/>
        <w:rPr/>
      </w:pPr>
      <w:r>
        <w:rPr/>
      </w:r>
    </w:p>
    <w:p>
      <w:pPr>
        <w:pStyle w:val="LetterSignatureSub"/>
        <w:rPr/>
      </w:pPr>
      <w:r>
        <w:rPr/>
        <w:t>NGF:ll</w:t>
      </w:r>
    </w:p>
    <w:p>
      <w:pPr>
        <w:pStyle w:val="LetterSignatureSub"/>
        <w:rPr/>
      </w:pPr>
      <w:r>
        <w:rPr/>
        <w:t>cc:</w:t>
        <w:tab/>
        <w:t>Hon. Dennis Montali (via messenger)</w:t>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228600</wp:posOffset>
                </wp:positionV>
                <wp:extent cx="1216025" cy="152400"/>
                <wp:effectExtent l="0" t="0" r="0" b="0"/>
                <wp:wrapNone/>
                <wp:docPr id="1" name="Frame1"/>
                <a:graphic xmlns:a="http://schemas.openxmlformats.org/drawingml/2006/main">
                  <a:graphicData uri="http://schemas.microsoft.com/office/word/2010/wordprocessingShape">
                    <wps:wsp>
                      <wps:cNvSpPr txBox="1"/>
                      <wps:spPr>
                        <a:xfrm>
                          <a:off x="0" y="0"/>
                          <a:ext cx="1216025" cy="152400"/>
                        </a:xfrm>
                        <a:prstGeom prst="rect"/>
                        <a:solidFill>
                          <a:srgbClr val="FFFFFF">
                            <a:alpha val="0"/>
                          </a:srgbClr>
                        </a:solidFill>
                      </wps:spPr>
                      <wps:txbx>
                        <w:txbxContent>
                          <w:p>
                            <w:pPr>
                              <w:pStyle w:val="Normal"/>
                              <w:tabs>
                                <w:tab w:val="clear" w:pos="720"/>
                                <w:tab w:val="center" w:pos="0" w:leader="none"/>
                              </w:tabs>
                              <w:rPr>
                                <w:sz w:val="16"/>
                              </w:rPr>
                            </w:pPr>
                            <w:r>
                              <w:rPr>
                                <w:sz w:val="16"/>
                              </w:rPr>
                              <w:t>15747\492042.1</w:t>
                            </w:r>
                          </w:p>
                        </w:txbxContent>
                      </wps:txbx>
                      <wps:bodyPr anchor="t" lIns="635" tIns="635" rIns="635" bIns="635">
                        <a:noAutofit/>
                      </wps:bodyPr>
                    </wps:wsp>
                  </a:graphicData>
                </a:graphic>
              </wp:anchor>
            </w:drawing>
          </mc:Choice>
          <mc:Fallback>
            <w:pict>
              <v:rect fillcolor="#FFFFFF" style="position:absolute;rotation:-0;width:95.75pt;height:12pt;mso-wrap-distance-left:9.05pt;mso-wrap-distance-right:9.05pt;mso-wrap-distance-top:0pt;mso-wrap-distance-bottom:0pt;margin-top:18pt;mso-position-vertical-relative:text;margin-left:0pt;mso-position-horizontal-relative:margin">
                <v:fill opacity="0f"/>
                <v:textbox inset="0.000694444444444445in,0.000694444444444445in,0.000694444444444445in,0.000694444444444445in">
                  <w:txbxContent>
                    <w:p>
                      <w:pPr>
                        <w:pStyle w:val="Normal"/>
                        <w:tabs>
                          <w:tab w:val="clear" w:pos="720"/>
                          <w:tab w:val="center" w:pos="0" w:leader="none"/>
                        </w:tabs>
                        <w:rPr>
                          <w:sz w:val="16"/>
                        </w:rPr>
                      </w:pPr>
                      <w:r>
                        <w:rPr>
                          <w:sz w:val="16"/>
                        </w:rPr>
                        <w:t>15747\492042.1</w:t>
                      </w:r>
                    </w:p>
                  </w:txbxContent>
                </v:textbox>
                <w10:wrap type="none"/>
              </v:rect>
            </w:pict>
          </mc:Fallback>
        </mc:AlternateContent>
      </w:r>
    </w:p>
    <w:sectPr>
      <w:headerReference w:type="default" r:id="rId2"/>
      <w:headerReference w:type="first" r:id="rId3"/>
      <w:type w:val="nextPage"/>
      <w:pgSz w:w="12240" w:h="15840"/>
      <w:pgMar w:left="1440" w:right="1440" w:gutter="0" w:header="720" w:top="1584" w:footer="0" w:bottom="1440"/>
      <w:pgNumType w:start="1" w:fmt="decimal"/>
      <w:formProt w:val="false"/>
      <w:titlePg/>
      <w:textDirection w:val="lrTb"/>
      <w:docGrid w:type="default" w:linePitch="408"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Futura Light/Bold">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r>
  </w:p>
  <w:p>
    <w:pPr>
      <w:pStyle w:val="Header"/>
      <w:rPr/>
    </w:pPr>
    <w:r>
      <w:rPr/>
      <w:t>The Parties on the Court’s Special Service List as of July 16, 2001</w:t>
    </w:r>
  </w:p>
  <w:p>
    <w:pPr>
      <w:pStyle w:val="Header"/>
      <w:rPr/>
    </w:pPr>
    <w:r>
      <w:rPr/>
    </w:r>
  </w:p>
  <w:p>
    <w:pPr>
      <w:pStyle w:val="Header"/>
      <w:spacing w:before="0" w:after="480"/>
      <w:rPr/>
    </w:pPr>
    <w:r>
      <w:rPr/>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728"/>
      <w:rPr>
        <w:sz w:val="20"/>
        <w:lang w:val="en-CA" w:eastAsia="en-CA"/>
      </w:rPr>
    </w:pPr>
    <w:r>
      <w:rPr>
        <w:sz w:val="20"/>
        <w:lang w:val="en-CA" w:eastAsia="en-CA"/>
      </w:rPr>
      <mc:AlternateContent>
        <mc:Choice Requires="wpg">
          <w:drawing>
            <wp:anchor behindDoc="1" distT="0" distB="0" distL="114935" distR="114935" simplePos="0" locked="0" layoutInCell="1" allowOverlap="1" relativeHeight="2">
              <wp:simplePos x="0" y="0"/>
              <wp:positionH relativeFrom="column">
                <wp:posOffset>2743200</wp:posOffset>
              </wp:positionH>
              <wp:positionV relativeFrom="paragraph">
                <wp:posOffset>-91440</wp:posOffset>
              </wp:positionV>
              <wp:extent cx="3314700" cy="1554480"/>
              <wp:effectExtent l="0" t="0" r="0" b="0"/>
              <wp:wrapNone/>
              <wp:docPr id="2" name=""/>
              <a:graphic xmlns:a="http://schemas.openxmlformats.org/drawingml/2006/main">
                <a:graphicData uri="http://schemas.microsoft.com/office/word/2010/wordprocessingGroup">
                  <wpg:wgp>
                    <wpg:cNvGrpSpPr/>
                    <wpg:grpSpPr>
                      <a:xfrm>
                        <a:off x="0" y="0"/>
                        <a:ext cx="3314880" cy="1554480"/>
                        <a:chOff x="0" y="0"/>
                        <a:chExt cx="3314880" cy="1554480"/>
                      </a:xfrm>
                    </wpg:grpSpPr>
                    <wps:wsp>
                      <wps:cNvSpPr txBox="1"/>
                      <wps:spPr>
                        <a:xfrm>
                          <a:off x="1828800" y="777240"/>
                          <a:ext cx="1486080" cy="777240"/>
                        </a:xfrm>
                        <a:prstGeom prst="rect">
                          <a:avLst/>
                        </a:prstGeom>
                        <a:noFill/>
                        <a:ln w="0">
                          <a:noFill/>
                        </a:ln>
                      </wps:spPr>
                      <wps:txbx>
                        <w:txbxContent>
                          <w:p>
                            <w:pPr>
                              <w:overflowPunct w:val="false"/>
                              <w:bidi w:val="0"/>
                              <w:rPr/>
                            </w:pPr>
                            <w:r>
                              <w:rPr>
                                <w:kern w:val="2"/>
                                <w:sz w:val="18"/>
                                <w:b/>
                                <w:szCs w:val="20"/>
                                <w:smallCaps/>
                                <w:rFonts w:ascii="Futura Light/Bold" w:hAnsi="Futura Light/Bold" w:eastAsia="Times New Roman" w:cs="Futura Light/Bold"/>
                                <w:color w:val="auto"/>
                                <w:lang w:val="en-US" w:eastAsia="en-CA" w:bidi="ar-SA"/>
                              </w:rPr>
                              <w:t>Norma G. Formanek</w:t>
                            </w:r>
                          </w:p>
                          <w:p>
                            <w:pPr>
                              <w:overflowPunct w:val="false"/>
                              <w:bidi w:val="0"/>
                              <w:rPr/>
                            </w:pPr>
                            <w:r>
                              <w:rPr>
                                <w:kern w:val="2"/>
                                <w:sz w:val="16"/>
                                <w:szCs w:val="20"/>
                                <w:smallCaps/>
                                <w:rFonts w:ascii="Futura Light/Bold" w:hAnsi="Futura Light/Bold" w:eastAsia="Times New Roman" w:cs="Futura Light/Bold"/>
                                <w:color w:val="auto"/>
                                <w:lang w:val="en-US" w:eastAsia="en-CA" w:bidi="ar-SA"/>
                              </w:rPr>
                              <w:t>Direct Dial: </w:t>
                            </w:r>
                            <w:r>
                              <w:rPr>
                                <w:kern w:val="2"/>
                                <w:sz w:val="16"/>
                                <w:szCs w:val="20"/>
                                <w:rFonts w:ascii="Futura Light/Bold" w:hAnsi="Futura Light/Bold" w:eastAsia="Times New Roman" w:cs="Futura Light/Bold"/>
                                <w:color w:val="auto"/>
                                <w:lang w:val="en-US" w:eastAsia="en-CA" w:bidi="ar-SA"/>
                              </w:rPr>
                              <w:t> (415) 954-4497</w:t>
                            </w:r>
                          </w:p>
                          <w:p>
                            <w:pPr>
                              <w:overflowPunct w:val="false"/>
                              <w:bidi w:val="0"/>
                              <w:rPr/>
                            </w:pPr>
                            <w:r>
                              <w:rPr>
                                <w:kern w:val="2"/>
                                <w:sz w:val="16"/>
                                <w:szCs w:val="20"/>
                                <w:smallCaps/>
                                <w:rFonts w:ascii="Futura Light/Bold" w:hAnsi="Futura Light/Bold" w:eastAsia="Times New Roman" w:cs="Futura Light/Bold"/>
                                <w:color w:val="auto"/>
                                <w:lang w:val="en-US" w:eastAsia="en-CA" w:bidi="ar-SA"/>
                              </w:rPr>
                              <w:t>E-mail</w:t>
                            </w:r>
                            <w:r>
                              <w:rPr>
                                <w:kern w:val="2"/>
                                <w:sz w:val="16"/>
                                <w:szCs w:val="20"/>
                                <w:rFonts w:ascii="Futura Light/Bold" w:hAnsi="Futura Light/Bold" w:eastAsia="Times New Roman" w:cs="Futura Light/Bold"/>
                                <w:color w:val="auto"/>
                                <w:lang w:val="en-US" w:eastAsia="en-CA" w:bidi="ar-SA"/>
                              </w:rPr>
                              <w:t>:   nformanek@fbm.com</w:t>
                            </w:r>
                          </w:p>
                        </w:txbxContent>
                      </wps:txbx>
                      <wps:bodyPr wrap="square" lIns="0" rIns="0" tIns="0" bIns="0" anchor="t">
                        <a:noAutofit/>
                      </wps:bodyPr>
                    </wps:wsp>
                    <wps:wsp>
                      <wps:cNvSpPr txBox="1"/>
                      <wps:spPr>
                        <a:xfrm>
                          <a:off x="0" y="0"/>
                          <a:ext cx="3314880" cy="457200"/>
                        </a:xfrm>
                        <a:prstGeom prst="rect">
                          <a:avLst/>
                        </a:prstGeom>
                        <a:noFill/>
                        <a:ln w="0">
                          <a:noFill/>
                        </a:ln>
                      </wps:spPr>
                      <wps:bodyPr/>
                    </wps:wsp>
                  </wpg:wgp>
                </a:graphicData>
              </a:graphic>
            </wp:anchor>
          </w:drawing>
        </mc:Choice>
        <mc:Fallback>
          <w:pict>
            <v:group id="shape_0" style="position:absolute;margin-left:216pt;margin-top:-7.2pt;width:261pt;height:122.4pt" coordorigin="4320,-144" coordsize="5220,2448">
              <v:shapetype id="_x0000_t202" coordsize="21600,21600" o:spt="202" path="m,l,21600l21600,21600l21600,xe">
                <v:stroke joinstyle="miter"/>
                <v:path gradientshapeok="t" o:connecttype="rect"/>
              </v:shapetype>
              <v:shape id="shape_0" stroked="f" o:allowincell="f" style="position:absolute;left:7200;top:1080;width:2339;height:1223;mso-wrap-style:square;v-text-anchor:top" type="_x0000_t202">
                <v:textbox>
                  <w:txbxContent>
                    <w:p>
                      <w:pPr>
                        <w:overflowPunct w:val="false"/>
                        <w:bidi w:val="0"/>
                        <w:rPr/>
                      </w:pPr>
                      <w:r>
                        <w:rPr>
                          <w:kern w:val="2"/>
                          <w:sz w:val="18"/>
                          <w:b/>
                          <w:szCs w:val="20"/>
                          <w:smallCaps/>
                          <w:rFonts w:ascii="Futura Light/Bold" w:hAnsi="Futura Light/Bold" w:eastAsia="Times New Roman" w:cs="Futura Light/Bold"/>
                          <w:color w:val="auto"/>
                          <w:lang w:val="en-US" w:eastAsia="en-CA" w:bidi="ar-SA"/>
                        </w:rPr>
                        <w:t>Norma G. Formanek</w:t>
                      </w:r>
                    </w:p>
                    <w:p>
                      <w:pPr>
                        <w:overflowPunct w:val="false"/>
                        <w:bidi w:val="0"/>
                        <w:rPr/>
                      </w:pPr>
                      <w:r>
                        <w:rPr>
                          <w:kern w:val="2"/>
                          <w:sz w:val="16"/>
                          <w:szCs w:val="20"/>
                          <w:smallCaps/>
                          <w:rFonts w:ascii="Futura Light/Bold" w:hAnsi="Futura Light/Bold" w:eastAsia="Times New Roman" w:cs="Futura Light/Bold"/>
                          <w:color w:val="auto"/>
                          <w:lang w:val="en-US" w:eastAsia="en-CA" w:bidi="ar-SA"/>
                        </w:rPr>
                        <w:t>Direct Dial: </w:t>
                      </w:r>
                      <w:r>
                        <w:rPr>
                          <w:kern w:val="2"/>
                          <w:sz w:val="16"/>
                          <w:szCs w:val="20"/>
                          <w:rFonts w:ascii="Futura Light/Bold" w:hAnsi="Futura Light/Bold" w:eastAsia="Times New Roman" w:cs="Futura Light/Bold"/>
                          <w:color w:val="auto"/>
                          <w:lang w:val="en-US" w:eastAsia="en-CA" w:bidi="ar-SA"/>
                        </w:rPr>
                        <w:t> (415) 954-4497</w:t>
                      </w:r>
                    </w:p>
                    <w:p>
                      <w:pPr>
                        <w:overflowPunct w:val="false"/>
                        <w:bidi w:val="0"/>
                        <w:rPr/>
                      </w:pPr>
                      <w:r>
                        <w:rPr>
                          <w:kern w:val="2"/>
                          <w:sz w:val="16"/>
                          <w:szCs w:val="20"/>
                          <w:smallCaps/>
                          <w:rFonts w:ascii="Futura Light/Bold" w:hAnsi="Futura Light/Bold" w:eastAsia="Times New Roman" w:cs="Futura Light/Bold"/>
                          <w:color w:val="auto"/>
                          <w:lang w:val="en-US" w:eastAsia="en-CA" w:bidi="ar-SA"/>
                        </w:rPr>
                        <w:t>E-mail</w:t>
                      </w:r>
                      <w:r>
                        <w:rPr>
                          <w:kern w:val="2"/>
                          <w:sz w:val="16"/>
                          <w:szCs w:val="20"/>
                          <w:rFonts w:ascii="Futura Light/Bold" w:hAnsi="Futura Light/Bold" w:eastAsia="Times New Roman" w:cs="Futura Light/Bold"/>
                          <w:color w:val="auto"/>
                          <w:lang w:val="en-US" w:eastAsia="en-CA" w:bidi="ar-SA"/>
                        </w:rPr>
                        <w:t>:   nformanek@fbm.com</w:t>
                      </w:r>
                    </w:p>
                  </w:txbxContent>
                </v:textbox>
                <v:fill o:detectmouseclick="t" on="false"/>
                <v:stroke color="#3465a4" joinstyle="round" endcap="flat"/>
                <w10:wrap type="none"/>
              </v:shape>
              <v:shape id="shape_0" stroked="f" o:allowincell="f" style="position:absolute;left:4320;top:-144;width:5219;height:719;mso-wrap-style:none;v-text-anchor:middle" type="_x0000_t202">
                <v:textbox>
                  <w:txbxContent>
                    <w:p>
                      <w:pPr>
                        <w:overflowPunct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bookmarkStart w:id="0" w:name="zzmpFIXED_LHFirstPage"/>
    <w:bookmarkStart w:id="1" w:name="zzmpFIXED_LHFirstPage"/>
    <w:bookmarkEnd w:id="1"/>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docVars>
    <w:docVar w:name="bpfile" w:val="Letter.mbp"/>
    <w:docVar w:name="DocStamp_1_DocID" w:val="C:\NrPortbl\iManage\LAFLAMML\492042_1.DOC"/>
    <w:docVar w:name="DocStamp_1_IncludeDate" w:val="False"/>
    <w:docVar w:name="DocStamp_1_IncludeDraftText" w:val="False"/>
    <w:docVar w:name="DocStamp_1_IncludeTime" w:val="False"/>
    <w:docVar w:name="DocStamp_1_InsertDateAsField" w:val="False"/>
    <w:docVar w:name="DocStamp_1_TypeID" w:val="2"/>
    <w:docVar w:name="Letter_1_Alignment" w:val="0"/>
    <w:docVar w:name="Letter_1_Author" w:val="2158"/>
    <w:docVar w:name="Letter_1_AuthorFirmName" w:val="Farella Braun &amp; Martel LLP"/>
    <w:docVar w:name="Letter_1_AuthorName" w:val="Norma G. Formanek"/>
    <w:docVar w:name="Letter_1_CC" w:val="Hon. Dennis Montali (via messenger)"/>
    <w:docVar w:name="Letter_1_ClosingPhrase" w:val="Sincerely,"/>
    <w:docVar w:name="Letter_1_DateType" w:val="mmmm d, yyyy"/>
    <w:docVar w:name="Letter_1_DeliveryPhrases" w:val="Via Facsimile"/>
    <w:docVar w:name="Letter_1_FirstLineIndent" w:val="0.5"/>
    <w:docVar w:name="Letter_1_FontName" w:val="Garamond"/>
    <w:docVar w:name="Letter_1_FontSize" w:val="12"/>
    <w:docVar w:name="Letter_1_HeaderAdditionalText" w:val="The Parties on the Court's Special Service List as of July 16, 2001"/>
    <w:docVar w:name="Letter_1_HeaderDeliveryPhrases" w:val="0"/>
    <w:docVar w:name="Letter_1_IncludeAuthorTitle" w:val="-1"/>
    <w:docVar w:name="Letter_1_IncludeFirmName" w:val="0"/>
    <w:docVar w:name="Letter_1_Recipients" w:val="The Parties on the Court's Special Service List as of July 16, 2001"/>
    <w:docVar w:name="Letter_1_Reline" w:val="PG&amp;E Bankruptcy"/>
    <w:docVar w:name="Letter_1_Salutation" w:val="Ladies and Gentlemen:"/>
    <w:docVar w:name="Letter_1_TypistInitials" w:val="ll"/>
    <w:docVar w:name="LetterLH_1_Author" w:val="2158"/>
    <w:docVar w:name="LetterLH_1_IncludeLetterheadEMail" w:val="-1"/>
    <w:docVar w:name="LetterLH_1_IncludeLetterheadFax" w:val="0"/>
    <w:docVar w:name="LetterLH_1_IncludeLetterheadName" w:val="-1"/>
    <w:docVar w:name="LetterLH_1_IncludeLetterheadPhone" w:val="-1"/>
    <w:docVar w:name="LetterLH_1_IncludeLetterheadTitle" w:val="-1"/>
    <w:docVar w:name="LetterLH_1_LetterheadEMail" w:val="nformanek@fbm.com"/>
    <w:docVar w:name="LetterLH_1_LetterheadFirmFax" w:val="(415) 954-4480"/>
    <w:docVar w:name="LetterLH_1_LetterheadFirmName" w:val="Farella Braun &amp; Martel LLP"/>
    <w:docVar w:name="LetterLH_1_LetterheadFirmPhone" w:val="(415) 954-4400"/>
    <w:docVar w:name="LetterLH_1_LetterheadName" w:val="Norma G. Formanek"/>
    <w:docVar w:name="LetterLH_1_LetterheadPhone" w:val="(415) 954-4497"/>
    <w:docVar w:name="LetterLH_1_LetterheadType" w:val="6"/>
    <w:docVar w:name="MPDocID" w:val="492042_1.DOC"/>
    <w:docVar w:name="ReUseAuthor" w:val="2158|Formanek, Norma G.|nformanek@fbm.com||Norma|Norma G. Formanek||NGF|2842\California Bar ID\111474\True|True|Formanek|G.|1|(415) 954-4497|"/>
    <w:docVar w:name="ReuseAuthorOptions" w:val="fldID??-99999999|fldLastEditTime??03/01/2000 4:58:47 PM|cmbLetterheadType??6|cmbDateType??mmmm d, yyyy|chkIncludeLetterheadName??-1|chkIncludeLetterheadPhone??-1|chkIncludeLetterheadEMail??-1|chkIncludeLetterheadTitle??-1|chkIncludeLetterheadFax??0|cmbClosingPhrases??Sincerely,|chkIncludeAuthorTitle??-1|chkIncludeFirmName??0|cmbNormalFontName??Garamond|spnNormalFontSize??12|cmbBodyTextAlignment??0|spnBodyTextFirstLineIndent??0.5"/>
    <w:docVar w:name="zzmpFixed_MacPacVersion" w:val="9.0"/>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4"/>
      <w:lang w:val="en-US" w:bidi="ar-SA" w:eastAsia="zh-CN"/>
    </w:rPr>
  </w:style>
  <w:style w:type="paragraph" w:styleId="Heading1">
    <w:name w:val="heading 1"/>
    <w:basedOn w:val="Normal"/>
    <w:next w:val="BodyText"/>
    <w:qFormat/>
    <w:pPr>
      <w:keepNext w:val="true"/>
      <w:numPr>
        <w:ilvl w:val="0"/>
        <w:numId w:val="1"/>
      </w:numPr>
      <w:spacing w:before="240" w:after="60"/>
      <w:jc w:val="center"/>
      <w:outlineLvl w:val="0"/>
    </w:pPr>
    <w:rPr>
      <w:rFonts w:cs="Arial"/>
      <w:b/>
      <w:bCs/>
      <w:caps/>
      <w:szCs w:val="32"/>
    </w:rPr>
  </w:style>
  <w:style w:type="paragraph" w:styleId="Heading2">
    <w:name w:val="heading 2"/>
    <w:basedOn w:val="Normal"/>
    <w:next w:val="BodyText"/>
    <w:qFormat/>
    <w:pPr>
      <w:keepNext w:val="true"/>
      <w:numPr>
        <w:ilvl w:val="1"/>
        <w:numId w:val="1"/>
      </w:numPr>
      <w:spacing w:before="240" w:after="60"/>
      <w:outlineLvl w:val="1"/>
    </w:pPr>
    <w:rPr>
      <w:rFonts w:cs="Arial"/>
      <w:b/>
      <w:bCs/>
      <w:iCs/>
      <w:caps/>
      <w:szCs w:val="28"/>
    </w:rPr>
  </w:style>
  <w:style w:type="paragraph" w:styleId="Heading3">
    <w:name w:val="heading 3"/>
    <w:basedOn w:val="Normal"/>
    <w:next w:val="BodyText"/>
    <w:qFormat/>
    <w:pPr>
      <w:keepNext w:val="true"/>
      <w:numPr>
        <w:ilvl w:val="2"/>
        <w:numId w:val="1"/>
      </w:numPr>
      <w:spacing w:before="240" w:after="60"/>
      <w:ind w:hanging="0" w:start="720" w:end="0"/>
      <w:outlineLvl w:val="2"/>
    </w:pPr>
    <w:rPr>
      <w:rFonts w:cs="Arial"/>
      <w:b/>
      <w:bCs/>
      <w:szCs w:val="26"/>
    </w:rPr>
  </w:style>
  <w:style w:type="paragraph" w:styleId="Heading4">
    <w:name w:val="heading 4"/>
    <w:basedOn w:val="Normal"/>
    <w:next w:val="BodyText"/>
    <w:qFormat/>
    <w:pPr>
      <w:keepNext w:val="true"/>
      <w:numPr>
        <w:ilvl w:val="3"/>
        <w:numId w:val="1"/>
      </w:numPr>
      <w:spacing w:before="240" w:after="60"/>
      <w:ind w:hanging="0" w:start="1440" w:end="0"/>
      <w:outlineLvl w:val="3"/>
    </w:pPr>
    <w:rPr>
      <w:bCs/>
      <w:szCs w:val="28"/>
    </w:rPr>
  </w:style>
  <w:style w:type="paragraph" w:styleId="Heading5">
    <w:name w:val="heading 5"/>
    <w:basedOn w:val="Normal"/>
    <w:next w:val="BodyText"/>
    <w:qFormat/>
    <w:pPr>
      <w:keepNext w:val="true"/>
      <w:numPr>
        <w:ilvl w:val="4"/>
        <w:numId w:val="1"/>
      </w:numPr>
      <w:spacing w:before="240" w:after="60"/>
      <w:ind w:hanging="0" w:start="2160" w:end="0"/>
      <w:outlineLvl w:val="4"/>
    </w:pPr>
    <w:rPr>
      <w:bCs/>
      <w:iCs/>
      <w:szCs w:val="26"/>
    </w:rPr>
  </w:style>
  <w:style w:type="paragraph" w:styleId="Heading6">
    <w:name w:val="heading 6"/>
    <w:basedOn w:val="Normal"/>
    <w:next w:val="BodyText"/>
    <w:qFormat/>
    <w:pPr>
      <w:keepNext w:val="true"/>
      <w:numPr>
        <w:ilvl w:val="5"/>
        <w:numId w:val="1"/>
      </w:numPr>
      <w:spacing w:before="240" w:after="60"/>
      <w:ind w:hanging="0" w:start="2880" w:end="0"/>
      <w:outlineLvl w:val="5"/>
    </w:pPr>
    <w:rPr>
      <w:bCs/>
      <w:szCs w:val="22"/>
    </w:rPr>
  </w:style>
  <w:style w:type="paragraph" w:styleId="Heading7">
    <w:name w:val="heading 7"/>
    <w:basedOn w:val="Normal"/>
    <w:next w:val="BodyText"/>
    <w:qFormat/>
    <w:pPr>
      <w:keepNext w:val="true"/>
      <w:numPr>
        <w:ilvl w:val="6"/>
        <w:numId w:val="1"/>
      </w:numPr>
      <w:spacing w:before="240" w:after="60"/>
      <w:ind w:hanging="0" w:start="3600" w:end="0"/>
      <w:outlineLvl w:val="6"/>
    </w:pPr>
    <w:rPr/>
  </w:style>
  <w:style w:type="paragraph" w:styleId="Heading8">
    <w:name w:val="heading 8"/>
    <w:basedOn w:val="Normal"/>
    <w:next w:val="BodyText"/>
    <w:qFormat/>
    <w:pPr>
      <w:keepNext w:val="true"/>
      <w:numPr>
        <w:ilvl w:val="7"/>
        <w:numId w:val="1"/>
      </w:numPr>
      <w:spacing w:before="240" w:after="60"/>
      <w:ind w:hanging="0" w:start="4320" w:end="0"/>
      <w:outlineLvl w:val="7"/>
    </w:pPr>
    <w:rPr>
      <w:iCs/>
    </w:rPr>
  </w:style>
  <w:style w:type="paragraph" w:styleId="Heading9">
    <w:name w:val="heading 9"/>
    <w:basedOn w:val="Normal"/>
    <w:next w:val="BodyText"/>
    <w:qFormat/>
    <w:pPr>
      <w:keepNext w:val="true"/>
      <w:numPr>
        <w:ilvl w:val="8"/>
        <w:numId w:val="1"/>
      </w:numPr>
      <w:spacing w:before="240" w:after="60"/>
      <w:ind w:hanging="0" w:start="5040" w:end="0"/>
      <w:outlineLvl w:val="8"/>
    </w:pPr>
    <w:rPr>
      <w:rFonts w:cs="Arial"/>
      <w:szCs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s>
    </w:pPr>
    <w:rPr>
      <w:szCs w:val="20"/>
    </w:rPr>
  </w:style>
  <w:style w:type="paragraph" w:styleId="Footer">
    <w:name w:val="footer"/>
    <w:basedOn w:val="Normal"/>
    <w:pPr>
      <w:tabs>
        <w:tab w:val="clear" w:pos="720"/>
        <w:tab w:val="center" w:pos="4680" w:leader="none"/>
        <w:tab w:val="right" w:pos="9360" w:leader="none"/>
      </w:tabs>
    </w:pPr>
    <w:rPr>
      <w:szCs w:val="20"/>
    </w:rPr>
  </w:style>
  <w:style w:type="paragraph" w:styleId="Letterhead">
    <w:name w:val="Letterhead"/>
    <w:qFormat/>
    <w:pPr>
      <w:widowControl/>
      <w:bidi w:val="0"/>
    </w:pPr>
    <w:rPr>
      <w:rFonts w:ascii="Futura Light/Bold" w:hAnsi="Futura Light/Bold" w:eastAsia="Times New Roman" w:cs="Futura Light/Bold"/>
      <w:color w:val="auto"/>
      <w:sz w:val="16"/>
      <w:szCs w:val="20"/>
      <w:lang w:val="en-US" w:eastAsia="en-CA" w:bidi="ar-SA"/>
    </w:rPr>
  </w:style>
  <w:style w:type="paragraph" w:styleId="DeliveryPhrase">
    <w:name w:val="Delivery Phrase"/>
    <w:basedOn w:val="Normal"/>
    <w:next w:val="EnvelopeAddress"/>
    <w:qFormat/>
    <w:pPr>
      <w:spacing w:before="0" w:after="240"/>
    </w:pPr>
    <w:rPr>
      <w:i/>
      <w:szCs w:val="20"/>
    </w:rPr>
  </w:style>
  <w:style w:type="paragraph" w:styleId="LetterDate">
    <w:name w:val="Letter Date"/>
    <w:basedOn w:val="Normal"/>
    <w:next w:val="BodyText"/>
    <w:qFormat/>
    <w:pPr/>
    <w:rPr>
      <w:szCs w:val="20"/>
    </w:rPr>
  </w:style>
  <w:style w:type="paragraph" w:styleId="EnvelopeAddress">
    <w:name w:val="envelope address"/>
    <w:basedOn w:val="Normal"/>
    <w:next w:val="Normal"/>
    <w:pPr/>
    <w:rPr>
      <w:szCs w:val="20"/>
    </w:rPr>
  </w:style>
  <w:style w:type="paragraph" w:styleId="LetterSignature">
    <w:name w:val="Letter Signature"/>
    <w:basedOn w:val="Normal"/>
    <w:qFormat/>
    <w:pPr>
      <w:keepNext w:val="true"/>
      <w:keepLines/>
      <w:ind w:hanging="0" w:start="4680" w:end="0"/>
    </w:pPr>
    <w:rPr/>
  </w:style>
  <w:style w:type="paragraph" w:styleId="ReLine">
    <w:name w:val="ReLine"/>
    <w:basedOn w:val="Normal"/>
    <w:next w:val="Normal"/>
    <w:qFormat/>
    <w:pPr>
      <w:spacing w:before="240" w:after="0"/>
      <w:ind w:hanging="720" w:start="1440" w:end="0"/>
    </w:pPr>
    <w:rPr>
      <w:szCs w:val="20"/>
    </w:rPr>
  </w:style>
  <w:style w:type="paragraph" w:styleId="Salutation">
    <w:name w:val="Salutation"/>
    <w:basedOn w:val="Normal"/>
    <w:next w:val="BodyText"/>
    <w:qFormat/>
    <w:pPr>
      <w:spacing w:before="240" w:after="240"/>
    </w:pPr>
    <w:rPr>
      <w:szCs w:val="20"/>
    </w:rPr>
  </w:style>
  <w:style w:type="paragraph" w:styleId="LetterheadAuthor">
    <w:name w:val="Letterhead Author"/>
    <w:basedOn w:val="Letterhead"/>
    <w:qFormat/>
    <w:pPr/>
    <w:rPr>
      <w:b/>
      <w:smallCaps/>
      <w:sz w:val="18"/>
    </w:rPr>
  </w:style>
  <w:style w:type="paragraph" w:styleId="LetterSignatureSub">
    <w:name w:val="Letter Signature Sub"/>
    <w:basedOn w:val="LetterSignature"/>
    <w:qFormat/>
    <w:pPr>
      <w:spacing w:before="240" w:after="0"/>
      <w:ind w:hanging="720" w:start="720" w:end="0"/>
    </w:pPr>
    <w:rPr/>
  </w:style>
  <w:style w:type="paragraph" w:styleId="Quote">
    <w:name w:val="Quote"/>
    <w:basedOn w:val="Normal"/>
    <w:next w:val="Normal"/>
    <w:qFormat/>
    <w:pPr>
      <w:spacing w:before="0" w:after="240"/>
      <w:ind w:hanging="0" w:start="1440" w:end="1440"/>
    </w:pPr>
    <w:rPr>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2001-08-01T18:14:00Z</dcterms:created>
  <dc:creator>IS Department</dc:creator>
  <dc:description/>
  <dc:language>en-CA</dc:language>
  <cp:lastModifiedBy>IS Department</cp:lastModifiedBy>
  <cp:lastPrinted>2001-08-01T13:43:00Z</cp:lastPrinted>
  <dcterms:modified xsi:type="dcterms:W3CDTF">2001-08-01T18:14:00Z</dcterms:modified>
  <cp:revision>2</cp:revision>
  <dc:subject/>
  <dc:title>August 1, 2001</dc:title>
</cp:coreProperties>
</file>