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jc w:val="center"/>
        <w:rPr>
          <w:sz w:val="24"/>
        </w:rPr>
      </w:pPr>
      <w:r>
        <w:rPr>
          <w:sz w:val="24"/>
        </w:rPr>
        <w:t>March 16, 2001</w:t>
      </w:r>
    </w:p>
    <w:p>
      <w:pPr>
        <w:pStyle w:val="Normal"/>
        <w:jc w:val="center"/>
        <w:rPr>
          <w:sz w:val="24"/>
        </w:rPr>
      </w:pPr>
      <w:r>
        <w:rPr>
          <w:sz w:val="24"/>
        </w:rPr>
      </w:r>
    </w:p>
    <w:p>
      <w:pPr>
        <w:pStyle w:val="Normal"/>
        <w:rPr>
          <w:sz w:val="24"/>
        </w:rPr>
      </w:pPr>
      <w:r>
        <w:rPr>
          <w:sz w:val="24"/>
        </w:rPr>
      </w:r>
    </w:p>
    <w:p>
      <w:pPr>
        <w:pStyle w:val="BodyText2"/>
        <w:rPr/>
      </w:pPr>
      <w:r>
        <w:rPr/>
        <w:t>Mr. E. Linn Draper, Jr.</w:t>
      </w:r>
    </w:p>
    <w:p>
      <w:pPr>
        <w:pStyle w:val="Normal"/>
        <w:rPr>
          <w:sz w:val="24"/>
        </w:rPr>
      </w:pPr>
      <w:r>
        <w:rPr>
          <w:sz w:val="24"/>
        </w:rPr>
        <w:t xml:space="preserve">Chairman, President and </w:t>
      </w:r>
    </w:p>
    <w:p>
      <w:pPr>
        <w:pStyle w:val="Normal"/>
        <w:rPr>
          <w:sz w:val="24"/>
        </w:rPr>
      </w:pPr>
      <w:r>
        <w:rPr>
          <w:sz w:val="24"/>
        </w:rPr>
        <w:t>Chief Executive Officer</w:t>
      </w:r>
    </w:p>
    <w:p>
      <w:pPr>
        <w:pStyle w:val="Normal"/>
        <w:rPr>
          <w:sz w:val="24"/>
        </w:rPr>
      </w:pPr>
      <w:r>
        <w:rPr>
          <w:sz w:val="24"/>
        </w:rPr>
        <w:t>American Electric Power</w:t>
      </w:r>
    </w:p>
    <w:p>
      <w:pPr>
        <w:pStyle w:val="BodyText2"/>
        <w:rPr/>
      </w:pPr>
      <w:r>
        <w:rPr/>
        <w:t>Corporate Headquarters</w:t>
        <w:br/>
        <w:t>1 Riverside Plaza</w:t>
        <w:br/>
        <w:t>Columbus, Ohio 43215-2373</w:t>
      </w:r>
    </w:p>
    <w:p>
      <w:pPr>
        <w:pStyle w:val="Normal"/>
        <w:ind w:firstLine="720" w:end="0"/>
        <w:rPr>
          <w:sz w:val="24"/>
        </w:rPr>
      </w:pPr>
      <w:r>
        <w:rPr>
          <w:sz w:val="24"/>
        </w:rPr>
      </w:r>
    </w:p>
    <w:p>
      <w:pPr>
        <w:pStyle w:val="Normal"/>
        <w:ind w:firstLine="720" w:end="0"/>
        <w:rPr>
          <w:sz w:val="24"/>
        </w:rPr>
      </w:pPr>
      <w:r>
        <w:rPr>
          <w:sz w:val="24"/>
        </w:rPr>
        <w:t>Re:</w:t>
        <w:tab/>
        <w:t>Solicitation of Employees</w:t>
      </w:r>
    </w:p>
    <w:p>
      <w:pPr>
        <w:pStyle w:val="Normal"/>
        <w:rPr>
          <w:sz w:val="24"/>
        </w:rPr>
      </w:pPr>
      <w:r>
        <w:rPr>
          <w:sz w:val="24"/>
        </w:rPr>
      </w:r>
    </w:p>
    <w:p>
      <w:pPr>
        <w:pStyle w:val="Normal"/>
        <w:rPr>
          <w:sz w:val="24"/>
        </w:rPr>
      </w:pPr>
      <w:r>
        <w:rPr>
          <w:sz w:val="24"/>
        </w:rPr>
        <w:t>Dear Mr. Draper:</w:t>
      </w:r>
    </w:p>
    <w:p>
      <w:pPr>
        <w:pStyle w:val="Normal"/>
        <w:rPr>
          <w:sz w:val="24"/>
        </w:rPr>
      </w:pPr>
      <w:r>
        <w:rPr>
          <w:sz w:val="24"/>
        </w:rPr>
      </w:r>
    </w:p>
    <w:p>
      <w:pPr>
        <w:pStyle w:val="BodyText"/>
        <w:rPr/>
      </w:pPr>
      <w:r>
        <w:rPr/>
        <w:t xml:space="preserve">In the past few weeks, we have learned that American Electric Power (“AEP”) has aggressively attempted to induce several Enron Wholesale Services (“EWS”) employees to work for AEP.  Those efforts appear to be concentrated on employees working in specific EWS groups in an attempt to raid EWS of its personnel and business in those areas.  </w:t>
      </w:r>
      <w:r>
        <w:rPr>
          <w:sz w:val="24"/>
        </w:rPr>
        <w:t>In addition, many of the employees solicited by AEP have employment agreements with EWS companies.  As you know, EWS enters into such agreements with its employees, and these agreements contain post-employment obligations.</w:t>
      </w:r>
    </w:p>
    <w:p>
      <w:pPr>
        <w:pStyle w:val="Normal"/>
        <w:jc w:val="both"/>
        <w:rPr>
          <w:sz w:val="24"/>
        </w:rPr>
      </w:pPr>
      <w:r>
        <w:rPr>
          <w:sz w:val="24"/>
        </w:rPr>
      </w:r>
    </w:p>
    <w:p>
      <w:pPr>
        <w:pStyle w:val="Normal"/>
        <w:jc w:val="both"/>
        <w:rPr>
          <w:sz w:val="24"/>
        </w:rPr>
      </w:pPr>
      <w:r>
        <w:rPr>
          <w:sz w:val="24"/>
        </w:rPr>
        <w:t xml:space="preserve">Any attempts to induce employees under contract to resign constitutes tortious interference with those contracts.  Similarly, any aggressive, targeted recruiting of EWS personnel not under contract would be tortious interference with our business relationships with those employees.  We insist that AEP refrain from interfering with EWS’ business and contractual relationships with its employees and from raiding EWS employees. </w:t>
      </w:r>
    </w:p>
    <w:p>
      <w:pPr>
        <w:pStyle w:val="Header"/>
        <w:tabs>
          <w:tab w:val="clear" w:pos="4320"/>
          <w:tab w:val="clear" w:pos="8640"/>
        </w:tabs>
        <w:rPr>
          <w:sz w:val="24"/>
        </w:rPr>
      </w:pPr>
      <w:r>
        <w:rPr>
          <w:sz w:val="24"/>
        </w:rPr>
      </w:r>
    </w:p>
    <w:p>
      <w:pPr>
        <w:pStyle w:val="Header"/>
        <w:tabs>
          <w:tab w:val="clear" w:pos="4320"/>
          <w:tab w:val="clear" w:pos="8640"/>
        </w:tabs>
        <w:rPr>
          <w:sz w:val="24"/>
        </w:rPr>
      </w:pPr>
      <w:r>
        <w:rPr>
          <w:sz w:val="24"/>
        </w:rPr>
        <w:t>If you have any questions, please give one of us a call.</w:t>
      </w:r>
    </w:p>
    <w:p>
      <w:pPr>
        <w:pStyle w:val="Normal"/>
        <w:rPr>
          <w:sz w:val="24"/>
        </w:rPr>
      </w:pPr>
      <w:r>
        <w:rPr>
          <w:sz w:val="24"/>
        </w:rPr>
      </w:r>
    </w:p>
    <w:p>
      <w:pPr>
        <w:pStyle w:val="Normal"/>
        <w:ind w:firstLine="720" w:start="2880" w:end="0"/>
        <w:rPr>
          <w:sz w:val="24"/>
        </w:rPr>
      </w:pPr>
      <w:r>
        <w:rPr>
          <w:sz w:val="24"/>
        </w:rPr>
        <w:t>Very truly yours,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firstLine="720" w:end="0"/>
        <w:rPr>
          <w:sz w:val="24"/>
        </w:rPr>
      </w:pPr>
      <w:r>
        <w:rPr>
          <w:sz w:val="24"/>
        </w:rPr>
        <w:tab/>
        <w:tab/>
        <w:tab/>
        <w:tab/>
        <w:t xml:space="preserve">Lawrence G. Whalley </w:t>
      </w:r>
    </w:p>
    <w:p>
      <w:pPr>
        <w:pStyle w:val="Normal"/>
        <w:ind w:firstLine="720" w:start="2880" w:end="0"/>
        <w:rPr>
          <w:sz w:val="24"/>
        </w:rPr>
      </w:pPr>
      <w:r>
        <w:rPr>
          <w:sz w:val="24"/>
        </w:rPr>
        <w:t>Jeffrey A. Shankman</w:t>
      </w:r>
    </w:p>
    <w:p>
      <w:pPr>
        <w:pStyle w:val="Normal"/>
        <w:rPr>
          <w:sz w:val="24"/>
        </w:rPr>
      </w:pPr>
      <w:r>
        <w:rPr>
          <w:sz w:val="24"/>
        </w:rPr>
      </w:r>
    </w:p>
    <w:p>
      <w:pPr>
        <w:pStyle w:val="Normal"/>
        <w:rPr>
          <w:sz w:val="24"/>
        </w:rPr>
      </w:pPr>
      <w:r>
        <w:rPr>
          <w:sz w:val="24"/>
        </w:rPr>
        <w:t>cc:</w:t>
        <w:tab/>
        <w:t>Gary Prescott</w:t>
      </w:r>
    </w:p>
    <w:p>
      <w:pPr>
        <w:pStyle w:val="Normal"/>
        <w:rPr>
          <w:sz w:val="24"/>
        </w:rPr>
      </w:pPr>
      <w:r>
        <w:rPr>
          <w:sz w:val="24"/>
        </w:rPr>
        <w:tab/>
        <w:t>Susan Tomasky</w:t>
      </w:r>
    </w:p>
    <w:p>
      <w:pPr>
        <w:pStyle w:val="Normal"/>
        <w:rPr>
          <w:sz w:val="24"/>
        </w:rPr>
      </w:pPr>
      <w:r>
        <w:rPr>
          <w:sz w:val="24"/>
        </w:rPr>
      </w:r>
      <w:r>
        <w:br w:type="page"/>
      </w:r>
    </w:p>
    <w:p>
      <w:pPr>
        <w:pStyle w:val="Normal"/>
        <w:rPr>
          <w:sz w:val="24"/>
        </w:rPr>
      </w:pPr>
      <w:r>
        <w:rPr>
          <w:sz w:val="24"/>
        </w:rPr>
        <w:t>bcc:</w:t>
        <w:tab/>
        <w:t>Michelle Cash</w:t>
      </w:r>
    </w:p>
    <w:p>
      <w:pPr>
        <w:pStyle w:val="Normal"/>
        <w:rPr>
          <w:sz w:val="24"/>
        </w:rPr>
      </w:pPr>
      <w:r>
        <w:rPr>
          <w:sz w:val="24"/>
        </w:rPr>
        <w:tab/>
        <w:t>Mark Haedicke</w:t>
      </w:r>
    </w:p>
    <w:sectPr>
      <w:headerReference w:type="default" r:id="rId2"/>
      <w:headerReference w:type="first" r:id="rId3"/>
      <w:footerReference w:type="default" r:id="rId4"/>
      <w:footerReference w:type="first" r:id="rId5"/>
      <w:type w:val="nextPage"/>
      <w:pgSz w:w="12240" w:h="15840"/>
      <w:pgMar w:left="1440" w:right="1440" w:gutter="0" w:header="720" w:top="1440" w:footer="432"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/mnt/main-storage/datasets/enron-docs/doc/4466mhc.doc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E. Linn Draper, Jr.</w:t>
    </w:r>
  </w:p>
  <w:p>
    <w:pPr>
      <w:pStyle w:val="Header"/>
      <w:rPr>
        <w:sz w:val="20"/>
      </w:rPr>
    </w:pPr>
    <w:r>
      <w:rPr>
        <w:sz w:val="20"/>
      </w:rPr>
      <w:t>March 16, 2001</w:t>
    </w:r>
  </w:p>
  <w:p>
    <w:pPr>
      <w:pStyle w:val="Header"/>
      <w:rPr>
        <w:rStyle w:val="PageNumbe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p>
    <w:pPr>
      <w:pStyle w:val="Header"/>
      <w:rPr>
        <w:rStyle w:val="PageNumber"/>
        <w:sz w:val="20"/>
      </w:rPr>
    </w:pPr>
    <w:r>
      <w:rPr/>
    </w:r>
  </w:p>
  <w:p>
    <w:pPr>
      <w:pStyle w:val="Header"/>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w:rPr/>
      <w:tab/>
      <w:tab/>
      <w:t xml:space="preserve">  </w:t>
    </w:r>
    <w:r>
      <w:rPr>
        <w:b/>
        <w:bCs/>
        <w:sz w:val="28"/>
      </w:rPr>
      <w:t xml:space="preserve">DRAFT </w:t>
    </w:r>
  </w:p>
  <w:p>
    <w:pPr>
      <w:pStyle w:val="Header"/>
      <w:tabs>
        <w:tab w:val="clear" w:pos="8640"/>
        <w:tab w:val="center" w:pos="4320" w:leader="none"/>
        <w:tab w:val="right" w:pos="9360" w:leader="none"/>
      </w:tabs>
      <w:rPr>
        <w:b/>
        <w:bCs/>
        <w:sz w:val="28"/>
      </w:rPr>
    </w:pPr>
    <w:r>
      <w:rPr>
        <w:b/>
        <w:bCs/>
        <w:sz w:val="28"/>
      </w:rPr>
      <w:tab/>
      <w:tab/>
      <w:t>3/16/01</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2001-03-16T15:03:00Z</dcterms:created>
  <dc:creator>tsweet</dc:creator>
  <dc:description/>
  <dc:language>en-CA</dc:language>
  <cp:lastModifiedBy>tsweet</cp:lastModifiedBy>
  <cp:lastPrinted>2001-03-16T18:46:00Z</cp:lastPrinted>
  <dcterms:modified xsi:type="dcterms:W3CDTF">2001-03-16T22:16:00Z</dcterms:modified>
  <cp:revision>26</cp:revision>
  <dc:subject/>
  <dc:title>E</dc:title>
</cp:coreProperties>
</file>