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>
          <w:sz w:val="24"/>
        </w:rPr>
      </w:pPr>
      <w:r>
        <w:rPr>
          <w:sz w:val="24"/>
        </w:rPr>
        <w:t>In light of the class action lawsuit that was recently brought against the Company, the Company has a duty to maintain evidence that may be relevant to the lawsuit.  As a result, please preserve and do not discard, destroy or delete any documents, files, computer files, e-mails, or other information (including drafts), in whatever form that information now exists, that relate to any of the following: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1)  The IPO, including the road show for the IPO.</w:t>
      </w:r>
    </w:p>
    <w:p>
      <w:pPr>
        <w:pStyle w:val="Normal"/>
        <w:rPr>
          <w:sz w:val="24"/>
        </w:rPr>
      </w:pPr>
      <w:r>
        <w:rPr>
          <w:sz w:val="24"/>
        </w:rPr>
        <w:t>2)  The Company’s financial statements, budgets, projections or forecasts, and documents relating to revenue recognition.</w:t>
      </w:r>
    </w:p>
    <w:p>
      <w:pPr>
        <w:pStyle w:val="Normal"/>
        <w:rPr>
          <w:sz w:val="24"/>
        </w:rPr>
      </w:pPr>
      <w:r>
        <w:rPr>
          <w:sz w:val="24"/>
        </w:rPr>
        <w:t>3)  The Company’s business plans or business strategies.</w:t>
      </w:r>
    </w:p>
    <w:p>
      <w:pPr>
        <w:pStyle w:val="Normal"/>
        <w:rPr>
          <w:sz w:val="24"/>
        </w:rPr>
      </w:pPr>
      <w:r>
        <w:rPr>
          <w:sz w:val="24"/>
        </w:rPr>
        <w:t xml:space="preserve">4)  The Company’s data center infrastructure, security, and the sufficiency of its bandwidth and DS-3 connections.  </w:t>
      </w:r>
    </w:p>
    <w:p>
      <w:pPr>
        <w:pStyle w:val="Normal"/>
        <w:rPr>
          <w:sz w:val="24"/>
        </w:rPr>
      </w:pPr>
      <w:r>
        <w:rPr>
          <w:sz w:val="24"/>
        </w:rPr>
        <w:t>5)  Staffing levels and the training of the Company’s sales and customer service representatives.</w:t>
      </w:r>
    </w:p>
    <w:p>
      <w:pPr>
        <w:pStyle w:val="Normal"/>
        <w:rPr>
          <w:sz w:val="24"/>
        </w:rPr>
      </w:pPr>
      <w:r>
        <w:rPr>
          <w:sz w:val="24"/>
        </w:rPr>
        <w:t>6)  The Company’s web hosting accounts, including the installation and billing of those accounts.</w:t>
      </w:r>
    </w:p>
    <w:p>
      <w:pPr>
        <w:pStyle w:val="Normal"/>
        <w:rPr>
          <w:sz w:val="24"/>
        </w:rPr>
      </w:pPr>
      <w:r>
        <w:rPr>
          <w:sz w:val="24"/>
        </w:rPr>
        <w:t>7)  Communications with any federal or state regulatory body involved in securities matters, such as the SEC,  NASD and Nasdaq.</w:t>
      </w:r>
    </w:p>
    <w:p>
      <w:pPr>
        <w:pStyle w:val="Normal"/>
        <w:rPr>
          <w:sz w:val="24"/>
        </w:rPr>
      </w:pPr>
      <w:r>
        <w:rPr>
          <w:sz w:val="24"/>
        </w:rPr>
        <w:t>8)  Communications with shareholders and analysts.</w:t>
      </w:r>
    </w:p>
    <w:p>
      <w:pPr>
        <w:pStyle w:val="Normal"/>
        <w:rPr>
          <w:sz w:val="24"/>
        </w:rPr>
      </w:pPr>
      <w:r>
        <w:rPr>
          <w:sz w:val="24"/>
        </w:rPr>
        <w:t>9)  Press releases.</w:t>
      </w:r>
    </w:p>
    <w:p>
      <w:pPr>
        <w:pStyle w:val="Normal"/>
        <w:rPr>
          <w:sz w:val="24"/>
        </w:rPr>
      </w:pPr>
      <w:r>
        <w:rPr>
          <w:sz w:val="24"/>
        </w:rPr>
        <w:t>10)  Minutes of Board of Directors and Audit Committee meetings, and documents prepared, received, or distributed in connection with such meetings.</w:t>
      </w:r>
    </w:p>
    <w:p>
      <w:pPr>
        <w:pStyle w:val="Normal"/>
        <w:rPr>
          <w:sz w:val="24"/>
        </w:rPr>
      </w:pPr>
      <w:r>
        <w:rPr>
          <w:sz w:val="24"/>
        </w:rPr>
        <w:t>11)..Weekly status reports.</w:t>
      </w:r>
    </w:p>
    <w:p>
      <w:pPr>
        <w:pStyle w:val="Normal"/>
        <w:rPr>
          <w:sz w:val="24"/>
        </w:rPr>
      </w:pPr>
      <w:r>
        <w:rPr>
          <w:sz w:val="24"/>
        </w:rPr>
        <w:t>If you have any questions about what information may be affected, please contact either Chris Kuelling (Ph: 303/ 874-2469) or Jim Lanik (Ph: 303/ 874-2446) in the Legal Department.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Jeffrey L. Dykes</w:t>
      </w:r>
    </w:p>
    <w:p>
      <w:pPr>
        <w:pStyle w:val="Normal"/>
        <w:rPr>
          <w:sz w:val="24"/>
        </w:rPr>
      </w:pPr>
      <w:r>
        <w:rPr>
          <w:sz w:val="24"/>
        </w:rPr>
        <w:t>General Counsel</w:t>
      </w:r>
    </w:p>
    <w:p>
      <w:pPr>
        <w:pStyle w:val="Normal"/>
        <w:rPr>
          <w:sz w:val="24"/>
        </w:rPr>
      </w:pPr>
      <w:r>
        <w:rPr>
          <w:sz w:val="24"/>
        </w:rPr>
        <w:t xml:space="preserve">FirstWorld Communications, Inc.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2000-10-27T11:48:00Z</dcterms:created>
  <dc:creator/>
  <dc:description/>
  <dc:language>en-CA</dc:language>
  <cp:lastModifiedBy>Gregory Markel</cp:lastModifiedBy>
  <cp:lastPrinted>2000-10-27T11:44:00Z</cp:lastPrinted>
  <dcterms:modified xsi:type="dcterms:W3CDTF">2000-10-27T17:10:00Z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  </vt:lpwstr>
  </property>
  <property fmtid="{D5CDD505-2E9C-101B-9397-08002B2CF9AE}" pid="3" name="Caption Bank Document">
    <vt:lpwstr>   </vt:lpwstr>
  </property>
  <property fmtid="{D5CDD505-2E9C-101B-9397-08002B2CF9AE}" pid="4" name="Cause No.">
    <vt:lpwstr>   </vt:lpwstr>
  </property>
  <property fmtid="{D5CDD505-2E9C-101B-9397-08002B2CF9AE}" pid="5" name="Client Name">
    <vt:lpwstr/>
  </property>
  <property fmtid="{D5CDD505-2E9C-101B-9397-08002B2CF9AE}" pid="6" name="Client No.">
    <vt:lpwstr/>
  </property>
  <property fmtid="{D5CDD505-2E9C-101B-9397-08002B2CF9AE}" pid="7" name="Date">
    <vt:lpwstr>   </vt:lpwstr>
  </property>
  <property fmtid="{D5CDD505-2E9C-101B-9397-08002B2CF9AE}" pid="8" name="Doc Name">
    <vt:lpwstr>   </vt:lpwstr>
  </property>
  <property fmtid="{D5CDD505-2E9C-101B-9397-08002B2CF9AE}" pid="9" name="Doc No.">
    <vt:lpwstr>TEMP\\.42CG01!.DOC(42CG01!.DOC)</vt:lpwstr>
  </property>
  <property fmtid="{D5CDD505-2E9C-101B-9397-08002B2CF9AE}" pid="10" name="Doc Path">
    <vt:lpwstr>C:\windows\TEMP</vt:lpwstr>
  </property>
  <property fmtid="{D5CDD505-2E9C-101B-9397-08002B2CF9AE}" pid="11" name="DocumentType">
    <vt:lpwstr>   </vt:lpwstr>
  </property>
  <property fmtid="{D5CDD505-2E9C-101B-9397-08002B2CF9AE}" pid="12" name="FooterStore">
    <vt:lpwstr>   </vt:lpwstr>
  </property>
  <property fmtid="{D5CDD505-2E9C-101B-9397-08002B2CF9AE}" pid="13" name="Local Office">
    <vt:lpwstr>   </vt:lpwstr>
  </property>
  <property fmtid="{D5CDD505-2E9C-101B-9397-08002B2CF9AE}" pid="14" name="Matter Name">
    <vt:lpwstr/>
  </property>
  <property fmtid="{D5CDD505-2E9C-101B-9397-08002B2CF9AE}" pid="15" name="Matter No.">
    <vt:lpwstr/>
  </property>
  <property fmtid="{D5CDD505-2E9C-101B-9397-08002B2CF9AE}" pid="16" name="Orig Doc Path">
    <vt:lpwstr>   </vt:lpwstr>
  </property>
  <property fmtid="{D5CDD505-2E9C-101B-9397-08002B2CF9AE}" pid="17" name="Parties">
    <vt:lpwstr>   </vt:lpwstr>
  </property>
  <property fmtid="{D5CDD505-2E9C-101B-9397-08002B2CF9AE}" pid="18" name="Signer(s)">
    <vt:lpwstr>   </vt:lpwstr>
  </property>
</Properties>
</file>