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widowControl/>
        <w:tabs>
          <w:tab w:val="left" w:pos="540" w:leader="none"/>
        </w:tabs>
        <w:rPr>
          <w:sz w:val="14"/>
        </w:rPr>
      </w:pPr>
      <w:r>
        <w:rPr>
          <w:sz w:val="14"/>
        </w:rPr>
        <w:drawing>
          <wp:inline distT="0" distB="0" distL="0" distR="0">
            <wp:extent cx="1137285" cy="1119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137285" cy="1119505"/>
                    </a:xfrm>
                    <a:prstGeom prst="rect">
                      <a:avLst/>
                    </a:prstGeom>
                    <a:noFill/>
                  </pic:spPr>
                </pic:pic>
              </a:graphicData>
            </a:graphic>
          </wp:inline>
        </w:drawing>
      </w:r>
    </w:p>
    <w:p>
      <w:pPr>
        <w:pStyle w:val="Normal"/>
        <w:widowControl/>
        <w:rPr>
          <w:rFonts w:ascii="Times New Roman" w:hAnsi="Times New Roman" w:cs="Times New Roman"/>
          <w:sz w:val="20"/>
        </w:rPr>
      </w:pPr>
      <w:r>
        <w:rPr>
          <w:rFonts w:cs="Times New Roman" w:ascii="Times New Roman" w:hAnsi="Times New Roman"/>
          <w:sz w:val="20"/>
        </w:rPr>
      </w:r>
    </w:p>
    <w:tbl>
      <w:tblPr>
        <w:tblW w:w="10613" w:type="dxa"/>
        <w:jc w:val="start"/>
        <w:tblInd w:w="200" w:type="dxa"/>
        <w:tblLayout w:type="fixed"/>
        <w:tblCellMar>
          <w:top w:w="0" w:type="dxa"/>
          <w:start w:w="108" w:type="dxa"/>
          <w:bottom w:w="0" w:type="dxa"/>
          <w:end w:w="108" w:type="dxa"/>
        </w:tblCellMar>
      </w:tblPr>
      <w:tblGrid>
        <w:gridCol w:w="808"/>
        <w:gridCol w:w="5670"/>
        <w:gridCol w:w="1170"/>
        <w:gridCol w:w="2965"/>
      </w:tblGrid>
      <w:tr>
        <w:trPr>
          <w:trHeight w:val="300" w:hRule="exact"/>
        </w:trPr>
        <w:tc>
          <w:tcPr>
            <w:tcW w:w="808" w:type="dxa"/>
            <w:tcBorders/>
          </w:tcPr>
          <w:p>
            <w:pPr>
              <w:pStyle w:val="Normal"/>
              <w:widowControl/>
              <w:ind w:start="-180" w:end="0"/>
              <w:jc w:val="end"/>
              <w:rPr>
                <w:rFonts w:ascii="Times New Roman" w:hAnsi="Times New Roman" w:cs="Times New Roman"/>
                <w:sz w:val="20"/>
              </w:rPr>
            </w:pPr>
            <w:r>
              <w:rPr>
                <w:rFonts w:cs="Times New Roman" w:ascii="Times New Roman" w:hAnsi="Times New Roman"/>
                <w:sz w:val="20"/>
              </w:rPr>
              <w:t>To:</w:t>
            </w:r>
          </w:p>
        </w:tc>
        <w:tc>
          <w:tcPr>
            <w:tcW w:w="5670" w:type="dxa"/>
            <w:tcBorders/>
          </w:tcPr>
          <w:p>
            <w:pPr>
              <w:pStyle w:val="To"/>
              <w:widowControl/>
              <w:rPr>
                <w:rFonts w:ascii="Times New Roman" w:hAnsi="Times New Roman" w:cs="Times New Roman"/>
              </w:rPr>
            </w:pPr>
            <w:r>
              <w:rPr>
                <w:rFonts w:cs="Times New Roman" w:ascii="Times New Roman" w:hAnsi="Times New Roman"/>
              </w:rPr>
              <w:t>Nick Cocavessis, Dan Pribble</w:t>
            </w:r>
          </w:p>
        </w:tc>
        <w:tc>
          <w:tcPr>
            <w:tcW w:w="1170" w:type="dxa"/>
            <w:tcBorders/>
          </w:tcPr>
          <w:p>
            <w:pPr>
              <w:pStyle w:val="Normal"/>
              <w:widowContro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widowControl/>
              <w:snapToGrid w:val="false"/>
              <w:rPr>
                <w:rFonts w:ascii="Times New Roman" w:hAnsi="Times New Roman" w:cs="Times New Roman"/>
                <w:sz w:val="20"/>
              </w:rPr>
            </w:pPr>
            <w:r>
              <w:rPr>
                <w:rFonts w:cs="Times New Roman" w:ascii="Times New Roman" w:hAnsi="Times New Roman"/>
                <w:sz w:val="20"/>
              </w:rPr>
            </w:r>
          </w:p>
        </w:tc>
      </w:tr>
      <w:tr>
        <w:trPr>
          <w:trHeight w:val="216" w:hRule="exact"/>
        </w:trPr>
        <w:tc>
          <w:tcPr>
            <w:tcW w:w="808" w:type="dxa"/>
            <w:tcBorders/>
          </w:tcPr>
          <w:p>
            <w:pPr>
              <w:pStyle w:val="Normal"/>
              <w:widowControl/>
              <w:snapToGrid w:val="false"/>
              <w:ind w:start="-180" w:end="0"/>
              <w:jc w:val="end"/>
              <w:rPr>
                <w:rFonts w:ascii="Times New Roman" w:hAnsi="Times New Roman" w:cs="Times New Roman"/>
                <w:sz w:val="20"/>
              </w:rPr>
            </w:pPr>
            <w:r>
              <w:rPr>
                <w:rFonts w:cs="Times New Roman" w:ascii="Times New Roman" w:hAnsi="Times New Roman"/>
                <w:sz w:val="20"/>
              </w:rPr>
            </w:r>
          </w:p>
        </w:tc>
        <w:tc>
          <w:tcPr>
            <w:tcW w:w="5670" w:type="dxa"/>
            <w:tcBorders/>
          </w:tcPr>
          <w:p>
            <w:pPr>
              <w:pStyle w:val="Normal"/>
              <w:widowControl/>
              <w:snapToGrid w:val="false"/>
              <w:rPr>
                <w:rFonts w:ascii="Times New Roman" w:hAnsi="Times New Roman" w:cs="Times New Roman"/>
                <w:sz w:val="20"/>
              </w:rPr>
            </w:pPr>
            <w:r>
              <w:rPr>
                <w:rFonts w:cs="Times New Roman" w:ascii="Times New Roman" w:hAnsi="Times New Roman"/>
                <w:sz w:val="20"/>
              </w:rPr>
            </w:r>
          </w:p>
        </w:tc>
        <w:tc>
          <w:tcPr>
            <w:tcW w:w="1170" w:type="dxa"/>
            <w:tcBorders/>
          </w:tcPr>
          <w:p>
            <w:pPr>
              <w:pStyle w:val="Normal"/>
              <w:widowContro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widowControl/>
              <w:snapToGrid w:val="false"/>
              <w:rPr>
                <w:rFonts w:ascii="Times New Roman" w:hAnsi="Times New Roman" w:cs="Times New Roman"/>
                <w:sz w:val="20"/>
              </w:rPr>
            </w:pPr>
            <w:r>
              <w:rPr>
                <w:rFonts w:cs="Times New Roman" w:ascii="Times New Roman" w:hAnsi="Times New Roman"/>
                <w:sz w:val="20"/>
              </w:rPr>
            </w:r>
          </w:p>
        </w:tc>
      </w:tr>
      <w:tr>
        <w:trPr>
          <w:trHeight w:val="300" w:hRule="exact"/>
        </w:trPr>
        <w:tc>
          <w:tcPr>
            <w:tcW w:w="808" w:type="dxa"/>
            <w:tcBorders/>
          </w:tcPr>
          <w:p>
            <w:pPr>
              <w:pStyle w:val="Normal"/>
              <w:widowControl/>
              <w:ind w:start="-180" w:end="0"/>
              <w:jc w:val="end"/>
              <w:rPr>
                <w:rFonts w:ascii="Times New Roman" w:hAnsi="Times New Roman" w:cs="Times New Roman"/>
                <w:sz w:val="20"/>
              </w:rPr>
            </w:pPr>
            <w:r>
              <w:rPr>
                <w:rFonts w:cs="Times New Roman" w:ascii="Times New Roman" w:hAnsi="Times New Roman"/>
                <w:sz w:val="20"/>
              </w:rPr>
              <w:t>From:</w:t>
            </w:r>
          </w:p>
        </w:tc>
        <w:tc>
          <w:tcPr>
            <w:tcW w:w="5670" w:type="dxa"/>
            <w:tcBorders/>
          </w:tcPr>
          <w:p>
            <w:pPr>
              <w:pStyle w:val="From"/>
              <w:widowControl/>
              <w:rPr>
                <w:rFonts w:ascii="Times New Roman" w:hAnsi="Times New Roman" w:cs="Times New Roman"/>
              </w:rPr>
            </w:pPr>
            <w:r>
              <w:rPr>
                <w:rFonts w:cs="Times New Roman" w:ascii="Times New Roman" w:hAnsi="Times New Roman"/>
              </w:rPr>
              <w:t xml:space="preserve">Kevin Kuehler     </w:t>
            </w:r>
          </w:p>
        </w:tc>
        <w:tc>
          <w:tcPr>
            <w:tcW w:w="1170" w:type="dxa"/>
            <w:tcBorders/>
          </w:tcPr>
          <w:p>
            <w:pPr>
              <w:pStyle w:val="Normal"/>
              <w:widowControl/>
              <w:ind w:firstLine="18" w:start="-198" w:end="0"/>
              <w:jc w:val="end"/>
              <w:rPr>
                <w:rFonts w:ascii="Times New Roman" w:hAnsi="Times New Roman" w:cs="Times New Roman"/>
                <w:sz w:val="20"/>
              </w:rPr>
            </w:pPr>
            <w:r>
              <w:rPr>
                <w:rFonts w:cs="Times New Roman" w:ascii="Times New Roman" w:hAnsi="Times New Roman"/>
                <w:sz w:val="20"/>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ENA E&amp;C</w:t>
            </w:r>
          </w:p>
        </w:tc>
      </w:tr>
      <w:tr>
        <w:trPr>
          <w:trHeight w:val="216" w:hRule="exact"/>
        </w:trPr>
        <w:tc>
          <w:tcPr>
            <w:tcW w:w="808" w:type="dxa"/>
            <w:tcBorders/>
          </w:tcPr>
          <w:p>
            <w:pPr>
              <w:pStyle w:val="Normal"/>
              <w:widowControl/>
              <w:snapToGrid w:val="false"/>
              <w:ind w:start="-180" w:end="0"/>
              <w:jc w:val="end"/>
              <w:rPr>
                <w:rFonts w:ascii="Times New Roman" w:hAnsi="Times New Roman" w:cs="Times New Roman"/>
                <w:sz w:val="20"/>
              </w:rPr>
            </w:pPr>
            <w:r>
              <w:rPr>
                <w:rFonts w:cs="Times New Roman" w:ascii="Times New Roman" w:hAnsi="Times New Roman"/>
                <w:sz w:val="20"/>
              </w:rPr>
            </w:r>
          </w:p>
        </w:tc>
        <w:tc>
          <w:tcPr>
            <w:tcW w:w="5670" w:type="dxa"/>
            <w:tcBorders/>
          </w:tcPr>
          <w:p>
            <w:pPr>
              <w:pStyle w:val="Normal"/>
              <w:widowControl/>
              <w:snapToGrid w:val="false"/>
              <w:rPr>
                <w:rFonts w:ascii="Times New Roman" w:hAnsi="Times New Roman" w:cs="Times New Roman"/>
                <w:sz w:val="20"/>
              </w:rPr>
            </w:pPr>
            <w:r>
              <w:rPr>
                <w:rFonts w:cs="Times New Roman" w:ascii="Times New Roman" w:hAnsi="Times New Roman"/>
                <w:sz w:val="20"/>
              </w:rPr>
            </w:r>
          </w:p>
        </w:tc>
        <w:tc>
          <w:tcPr>
            <w:tcW w:w="1170" w:type="dxa"/>
            <w:tcBorders/>
          </w:tcPr>
          <w:p>
            <w:pPr>
              <w:pStyle w:val="Normal"/>
              <w:widowContro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widowControl/>
              <w:snapToGrid w:val="false"/>
              <w:rPr>
                <w:rFonts w:ascii="Times New Roman" w:hAnsi="Times New Roman" w:cs="Times New Roman"/>
                <w:sz w:val="20"/>
              </w:rPr>
            </w:pPr>
            <w:r>
              <w:rPr>
                <w:rFonts w:cs="Times New Roman" w:ascii="Times New Roman" w:hAnsi="Times New Roman"/>
                <w:sz w:val="20"/>
              </w:rPr>
            </w:r>
          </w:p>
        </w:tc>
      </w:tr>
      <w:tr>
        <w:trPr>
          <w:trHeight w:val="600" w:hRule="exact"/>
        </w:trPr>
        <w:tc>
          <w:tcPr>
            <w:tcW w:w="808" w:type="dxa"/>
            <w:tcBorders>
              <w:bottom w:val="single" w:sz="12" w:space="0" w:color="000000"/>
            </w:tcBorders>
          </w:tcPr>
          <w:p>
            <w:pPr>
              <w:pStyle w:val="Normal"/>
              <w:widowControl/>
              <w:ind w:start="-180" w:end="0"/>
              <w:jc w:val="end"/>
              <w:rPr>
                <w:rFonts w:ascii="Times New Roman" w:hAnsi="Times New Roman" w:cs="Times New Roman"/>
                <w:sz w:val="20"/>
              </w:rPr>
            </w:pPr>
            <w:r>
              <w:rPr>
                <w:rFonts w:cs="Times New Roman" w:ascii="Times New Roman" w:hAnsi="Times New Roman"/>
                <w:sz w:val="20"/>
              </w:rPr>
              <w:t>Subject:</w:t>
            </w:r>
          </w:p>
        </w:tc>
        <w:tc>
          <w:tcPr>
            <w:tcW w:w="5670"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Weekly Update for the Week Ending April 28, 2000</w:t>
            </w:r>
          </w:p>
        </w:tc>
        <w:tc>
          <w:tcPr>
            <w:tcW w:w="1170" w:type="dxa"/>
            <w:tcBorders>
              <w:bottom w:val="single" w:sz="12" w:space="0" w:color="000000"/>
            </w:tcBorders>
          </w:tcPr>
          <w:p>
            <w:pPr>
              <w:pStyle w:val="Normal"/>
              <w:widowControl/>
              <w:ind w:start="-180" w:end="0"/>
              <w:jc w:val="end"/>
              <w:rPr>
                <w:rFonts w:ascii="Times New Roman" w:hAnsi="Times New Roman" w:cs="Times New Roman"/>
                <w:sz w:val="20"/>
              </w:rPr>
            </w:pPr>
            <w:r>
              <w:rPr>
                <w:rFonts w:cs="Times New Roman" w:ascii="Times New Roman" w:hAnsi="Times New Roman"/>
                <w:sz w:val="20"/>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t>April 28, 2000</w:t>
            </w:r>
          </w:p>
        </w:tc>
      </w:tr>
    </w:tbl>
    <w:p>
      <w:pPr>
        <w:pStyle w:val="Body"/>
        <w:widowControl/>
        <w:rPr>
          <w:b/>
          <w:color w:val="auto"/>
          <w:sz w:val="14"/>
        </w:rPr>
      </w:pPr>
      <w:r>
        <w:rPr>
          <w:b/>
          <w:color w:val="auto"/>
          <w:sz w:val="14"/>
        </w:rPr>
      </w:r>
      <w:bookmarkStart w:id="1" w:name="StartOfMemo"/>
      <w:bookmarkStart w:id="2" w:name="StartOfMemo"/>
      <w:bookmarkEnd w:id="2"/>
    </w:p>
    <w:p>
      <w:pPr>
        <w:pStyle w:val="Body"/>
        <w:widowControl/>
        <w:ind w:start="90" w:end="0"/>
        <w:rPr>
          <w:b/>
          <w:color w:val="auto"/>
          <w:sz w:val="14"/>
        </w:rPr>
      </w:pPr>
      <w:r>
        <w:rPr>
          <w:b/>
          <w:color w:val="auto"/>
          <w:sz w:val="14"/>
        </w:rPr>
      </w:r>
    </w:p>
    <w:p>
      <w:pPr>
        <w:pStyle w:val="Body"/>
        <w:widowControl/>
        <w:ind w:start="0" w:end="0"/>
        <w:rPr>
          <w:rFonts w:ascii="Times New Roman" w:hAnsi="Times New Roman" w:cs="Times New Roman"/>
          <w:b/>
          <w:color w:val="auto"/>
        </w:rPr>
      </w:pPr>
      <w:r>
        <w:rPr>
          <w:rFonts w:cs="Times New Roman" w:ascii="Times New Roman" w:hAnsi="Times New Roman"/>
          <w:b/>
          <w:color w:val="auto"/>
        </w:rPr>
        <w:t>HPL PROJECTS:</w:t>
      </w:r>
    </w:p>
    <w:p>
      <w:pPr>
        <w:pStyle w:val="Body"/>
        <w:widowControl/>
        <w:ind w:start="0" w:end="0"/>
        <w:rPr>
          <w:rFonts w:ascii="Times New Roman" w:hAnsi="Times New Roman" w:cs="Times New Roman"/>
          <w:b/>
          <w:color w:val="auto"/>
        </w:rPr>
      </w:pPr>
      <w:r>
        <w:rPr>
          <w:rFonts w:cs="Times New Roman" w:ascii="Times New Roman" w:hAnsi="Times New Roman"/>
          <w:b/>
          <w:color w:val="auto"/>
        </w:rPr>
      </w:r>
    </w:p>
    <w:p>
      <w:pPr>
        <w:pStyle w:val="Body"/>
        <w:widowControl/>
        <w:ind w:start="0" w:end="0"/>
        <w:rPr/>
      </w:pPr>
      <w:r>
        <w:rPr>
          <w:rFonts w:cs="Times New Roman" w:ascii="Times New Roman" w:hAnsi="Times New Roman"/>
          <w:b/>
          <w:color w:val="auto"/>
        </w:rPr>
        <w:t xml:space="preserve">C59585/D59586 – 30” US 59 Crossing – ($513,000/$55,000) – </w:t>
      </w:r>
      <w:r>
        <w:rPr>
          <w:rFonts w:cs="Times New Roman" w:ascii="Times New Roman" w:hAnsi="Times New Roman"/>
          <w:color w:val="auto"/>
        </w:rPr>
        <w:t>Replace due to conflicts with highway improvements – All work scheduled to be complete by 5/1.</w:t>
      </w:r>
    </w:p>
    <w:p>
      <w:pPr>
        <w:pStyle w:val="Body"/>
        <w:widowControl/>
        <w:ind w:start="0" w:end="0"/>
        <w:rPr>
          <w:rFonts w:ascii="Times New Roman" w:hAnsi="Times New Roman" w:cs="Times New Roman"/>
          <w:b/>
          <w:color w:val="auto"/>
        </w:rPr>
      </w:pPr>
      <w:r>
        <w:rPr>
          <w:rFonts w:cs="Times New Roman" w:ascii="Times New Roman" w:hAnsi="Times New Roman"/>
          <w:b/>
          <w:color w:val="auto"/>
        </w:rPr>
      </w:r>
    </w:p>
    <w:p>
      <w:pPr>
        <w:pStyle w:val="Body"/>
        <w:widowControl/>
        <w:ind w:start="0" w:end="0"/>
        <w:rPr/>
      </w:pPr>
      <w:r>
        <w:rPr>
          <w:rFonts w:cs="Times New Roman" w:ascii="Times New Roman" w:hAnsi="Times New Roman"/>
          <w:b/>
          <w:color w:val="auto"/>
        </w:rPr>
        <w:t>C59592/D59593 – 18” at US 59 &amp; US 90A – ($3,067,000/$184,000)</w:t>
      </w:r>
      <w:r>
        <w:rPr>
          <w:rFonts w:cs="Times New Roman" w:ascii="Times New Roman" w:hAnsi="Times New Roman"/>
          <w:color w:val="auto"/>
        </w:rPr>
        <w:t xml:space="preserve"> – Relocate due to conflicts with highway improvements – All work scheduled to be complete by 5/5.</w:t>
      </w:r>
    </w:p>
    <w:p>
      <w:pPr>
        <w:pStyle w:val="Body"/>
        <w:widowControl/>
        <w:ind w:start="0" w:end="0"/>
        <w:rPr>
          <w:rFonts w:ascii="Times New Roman" w:hAnsi="Times New Roman" w:cs="Times New Roman"/>
          <w:color w:val="0000FF"/>
        </w:rPr>
      </w:pPr>
      <w:r>
        <w:rPr>
          <w:rFonts w:cs="Times New Roman" w:ascii="Times New Roman" w:hAnsi="Times New Roman"/>
          <w:color w:val="0000FF"/>
        </w:rPr>
      </w:r>
    </w:p>
    <w:p>
      <w:pPr>
        <w:pStyle w:val="Normal"/>
        <w:rPr/>
      </w:pPr>
      <w:r>
        <w:rPr>
          <w:rFonts w:cs="Times New Roman" w:ascii="Times New Roman" w:hAnsi="Times New Roman"/>
          <w:b/>
          <w:sz w:val="20"/>
        </w:rPr>
        <w:t xml:space="preserve">J00005 X26006 - S.H. 35 / FM 1301 - Crossing 4” West Columbia Line - </w:t>
      </w:r>
      <w:r>
        <w:rPr>
          <w:rFonts w:cs="Times New Roman" w:ascii="Times New Roman" w:hAnsi="Times New Roman"/>
          <w:sz w:val="20"/>
        </w:rPr>
        <w:t xml:space="preserve">Road project will require relocation of pipeline along FM 1301 - We will relocate West Columbia C/G in order to avoid having to relay 2,600’ of the pipeline.  We will have to remove the 2,600’ of existing pipe. This project will need to be performed at the same time as the other mentioned projects on SH 35 - </w:t>
      </w:r>
      <w:r>
        <w:rPr>
          <w:rFonts w:cs="Times New Roman" w:ascii="Times New Roman" w:hAnsi="Times New Roman"/>
          <w:color w:val="000000"/>
          <w:sz w:val="20"/>
        </w:rPr>
        <w:t xml:space="preserve">ROW met with the landowner to discuss buying a city gate site from him.  He said TxDOT had not yet acquired his property.  Working with ROW to determine what the new boundaries of his property will be. </w:t>
      </w:r>
      <w:r>
        <w:rPr>
          <w:rFonts w:cs="Times New Roman" w:ascii="Times New Roman" w:hAnsi="Times New Roman"/>
          <w:sz w:val="20"/>
        </w:rPr>
        <w:t xml:space="preserve">TxDOT sent us a letter stating that the let date is 8/3/2000 but they will provide adequate time after that for our adjustments. </w:t>
      </w:r>
      <w:r>
        <w:rPr>
          <w:rFonts w:cs="Times New Roman" w:ascii="Times New Roman" w:hAnsi="Times New Roman"/>
          <w:b/>
          <w:sz w:val="20"/>
        </w:rPr>
        <w:t xml:space="preserve">  </w:t>
      </w:r>
      <w:r>
        <w:rPr>
          <w:rFonts w:cs="Times New Roman" w:ascii="Times New Roman" w:hAnsi="Times New Roman"/>
          <w:sz w:val="20"/>
        </w:rPr>
        <w:t>Submitted work orders on 4/27/99.</w:t>
      </w:r>
      <w:r>
        <w:rPr>
          <w:rFonts w:cs="Times New Roman" w:ascii="Times New Roman" w:hAnsi="Times New Roman"/>
          <w:b/>
          <w:sz w:val="20"/>
        </w:rPr>
        <w:t xml:space="preserve">   </w:t>
      </w:r>
    </w:p>
    <w:p>
      <w:pPr>
        <w:pStyle w:val="Normal"/>
        <w:rPr>
          <w:rFonts w:ascii="Times New Roman" w:hAnsi="Times New Roman" w:cs="Times New Roman"/>
          <w:b/>
          <w:sz w:val="20"/>
        </w:rPr>
      </w:pPr>
      <w:r>
        <w:rPr>
          <w:rFonts w:cs="Times New Roman" w:ascii="Times New Roman" w:hAnsi="Times New Roman"/>
          <w:b/>
          <w:sz w:val="20"/>
        </w:rPr>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S58290 - Hydrostatic Test and Smart Pig VPL 16" Sweeny to Alvin (1809) Line ($3,093,706)</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S58357 - Hydrostatic Test and Smart Pig VPL 8" &amp; 12" Matagorda to Brazoria (1808) Line ($2,700,319)</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Install scrubbers, storage tank &amp; secondary containment, pigging facilities and clean, hydrostatic test, the 16" (1809) (36 miles of 16"), 12" (1808) (22 miles of 12"), and 8" (1808) Lines (8 miles of 8" Line).  In addition, run a smart pig on the 16" (1809) Line and the 12" (1808) Line.  Preparing break-out of the repair costs for the 12" (1808) Line related to the smart pig getting stuck.  This cost will be used to negotiate a settlement payment from PII.Planning to submit new work order to capture the costs associated with the confirmation digs on the 16" (1809) Line and 12" (1808) Line.  Property Accounting stated that W.O.'s S58290 &amp; S58357 should be closed.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b/>
          <w:color w:val="0000FF"/>
          <w:sz w:val="20"/>
        </w:rPr>
      </w:pPr>
      <w:r>
        <w:rPr>
          <w:rFonts w:cs="Times New Roman" w:ascii="Times New Roman" w:hAnsi="Times New Roman"/>
          <w:b/>
          <w:sz w:val="20"/>
        </w:rPr>
        <w:t xml:space="preserve">S50031 HPL/Entex Spring City Gate Station ($566,107) - </w:t>
      </w:r>
      <w:r>
        <w:rPr>
          <w:rFonts w:cs="Times New Roman" w:ascii="Times New Roman" w:hAnsi="Times New Roman"/>
          <w:sz w:val="20"/>
        </w:rPr>
        <w:t>Install meter station, separation, storage tank, and dehydration facilities near the EOG Westfield #1 Well Site to feed Entex's Spring City System.   Conducted a site visit to determine if equipment will fit on a site just south of EOG's well pad.  Received release from Facility Planning to proceed with purchasing the surface site for the meter station.  ROW is negotiating a purchase price with landowner.  Landowner is working with an appraiser.  The physical meter station may be postponed due to cuts in Entex's budget regarding laying their connecting pipeline.  Preparing material list.</w:t>
      </w:r>
    </w:p>
    <w:p>
      <w:pPr>
        <w:pStyle w:val="Normal"/>
        <w:rPr>
          <w:rFonts w:ascii="Times New Roman" w:hAnsi="Times New Roman" w:cs="Times New Roman"/>
          <w:b/>
          <w:color w:val="0000FF"/>
          <w:sz w:val="20"/>
        </w:rPr>
      </w:pPr>
      <w:r>
        <w:rPr>
          <w:rFonts w:cs="Times New Roman" w:ascii="Times New Roman" w:hAnsi="Times New Roman"/>
          <w:b/>
          <w:color w:val="0000FF"/>
          <w:sz w:val="20"/>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Normal"/>
        <w:spacing w:lineRule="atLeast" w:line="240"/>
        <w:rPr>
          <w:rFonts w:ascii="Times New Roman" w:hAnsi="Times New Roman" w:cs="Times New Roman"/>
          <w:color w:val="FF00FF"/>
          <w:sz w:val="20"/>
          <w:lang w:eastAsia="en-US"/>
        </w:rPr>
      </w:pPr>
      <w:r>
        <w:rPr>
          <w:rFonts w:cs="Times New Roman" w:ascii="Times New Roman" w:hAnsi="Times New Roman"/>
          <w:color w:val="FF00FF"/>
          <w:sz w:val="20"/>
          <w:lang w:eastAsia="en-US"/>
        </w:rPr>
      </w:r>
    </w:p>
    <w:p>
      <w:pPr>
        <w:pStyle w:val="BodyText3"/>
        <w:widowControl/>
        <w:ind w:start="90" w:end="0"/>
        <w:rPr/>
      </w:pPr>
      <w:r>
        <w:rPr>
          <w:rFonts w:cs="Times New Roman" w:ascii="Times New Roman" w:hAnsi="Times New Roman"/>
        </w:rPr>
        <w:t>OTHER:</w:t>
      </w:r>
      <w:r>
        <w:rPr>
          <w:rFonts w:cs="Times New Roman" w:ascii="Times New Roman" w:hAnsi="Times New Roman"/>
          <w:b w:val="false"/>
          <w:lang w:eastAsia="en-US"/>
        </w:rPr>
        <w:t xml:space="preserve"> </w:t>
      </w:r>
    </w:p>
    <w:p>
      <w:pPr>
        <w:pStyle w:val="BodyText3"/>
        <w:widowControl/>
        <w:ind w:start="90" w:end="0"/>
        <w:rPr>
          <w:rFonts w:ascii="Times New Roman" w:hAnsi="Times New Roman" w:cs="Times New Roman"/>
          <w:b w:val="false"/>
          <w:lang w:eastAsia="en-US"/>
        </w:rPr>
      </w:pPr>
      <w:r>
        <w:rPr>
          <w:rFonts w:cs="Times New Roman" w:ascii="Times New Roman" w:hAnsi="Times New Roman"/>
          <w:b w:val="false"/>
          <w:lang w:eastAsia="en-US"/>
        </w:rPr>
      </w:r>
    </w:p>
    <w:p>
      <w:pPr>
        <w:pStyle w:val="Normal"/>
        <w:widowControl/>
        <w:jc w:val="both"/>
        <w:rPr>
          <w:rFonts w:ascii="Times New Roman" w:hAnsi="Times New Roman" w:cs="Times New Roman"/>
          <w:b/>
          <w:sz w:val="20"/>
        </w:rPr>
      </w:pPr>
      <w:r>
        <w:rPr>
          <w:rFonts w:cs="Times New Roman" w:ascii="Times New Roman" w:hAnsi="Times New Roman"/>
          <w:b/>
          <w:sz w:val="20"/>
        </w:rPr>
        <w:t>Project Kelly</w:t>
      </w:r>
    </w:p>
    <w:p>
      <w:pPr>
        <w:pStyle w:val="BodyText"/>
        <w:rPr>
          <w:sz w:val="20"/>
        </w:rPr>
      </w:pPr>
      <w:r>
        <w:rPr>
          <w:sz w:val="20"/>
        </w:rPr>
        <w:t>Modify 12” Baytown Crosby and East Texas Lines to flow rich gas North.  Also to abandon 15 Entex farm taps on 12” Baytown Crosby Line - Work order approved for abandonment of taps, requested Planning to obtain work schedule from Entex to schedule HPL work. 30% cost estimates have been prepared for modifications to flow rich gas.</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Normal"/>
        <w:rPr/>
      </w:pPr>
      <w:r>
        <w:rPr>
          <w:rFonts w:cs="Times New Roman" w:ascii="Times New Roman" w:hAnsi="Times New Roman"/>
          <w:b/>
          <w:sz w:val="20"/>
        </w:rPr>
        <w:t xml:space="preserve">Aldine Westfield Road Crossing 24” 3020 Line - </w:t>
      </w:r>
      <w:r>
        <w:rPr>
          <w:rFonts w:cs="Times New Roman" w:ascii="Times New Roman" w:hAnsi="Times New Roman"/>
          <w:sz w:val="20"/>
        </w:rPr>
        <w:t xml:space="preserve">New bridges and storm sewer to be constructed over 24” Bammel East Line. Line will require lowering by means of directional drill -Sent letter to Harris County on 3/22 advising them that we will relocate this summer. </w:t>
      </w:r>
      <w:r>
        <w:rPr>
          <w:rFonts w:cs="Times New Roman" w:ascii="Times New Roman" w:hAnsi="Times New Roman"/>
          <w:b/>
          <w:sz w:val="20"/>
        </w:rPr>
        <w:t xml:space="preserve">  </w:t>
      </w:r>
      <w:r>
        <w:rPr>
          <w:rFonts w:cs="Times New Roman" w:ascii="Times New Roman" w:hAnsi="Times New Roman"/>
          <w:sz w:val="20"/>
        </w:rPr>
        <w:t xml:space="preserve">Sent request for env. clearance to David Ayers.  Obtained additional survey data on 4/24.  Drafting in progress.  Finalizing cost estimate based on a 400’ long replacement in the same alignment as the existing line.  </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Normal"/>
        <w:rPr/>
      </w:pPr>
      <w:r>
        <w:rPr>
          <w:rFonts w:cs="Times New Roman" w:ascii="Times New Roman" w:hAnsi="Times New Roman"/>
          <w:b/>
          <w:sz w:val="20"/>
        </w:rPr>
        <w:t>Solvay Polymers – Rail Yard Crossing 18” 3023 Line</w:t>
      </w:r>
      <w:r>
        <w:rPr>
          <w:rFonts w:cs="Times New Roman" w:ascii="Times New Roman" w:hAnsi="Times New Roman"/>
          <w:sz w:val="20"/>
        </w:rPr>
        <w:t xml:space="preserve"> - Proposed railroad yard (multiple tracks) to be built over the pipeline - Survey notes received on 4/6/00.  Submitted work orders on 4/5/00.   Also waiting on Solvay and HPL to execute the reimbursement agreement.  Gave to drafting on 4/20.  Received prelim. DWG. On 4/24.  Currently reviewing DWG.  Sent request for environmental clearance to David Ayers.</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Normal"/>
        <w:rPr/>
      </w:pPr>
      <w:r>
        <w:rPr>
          <w:rFonts w:cs="Times New Roman" w:ascii="Times New Roman" w:hAnsi="Times New Roman"/>
          <w:b/>
          <w:sz w:val="20"/>
        </w:rPr>
        <w:t xml:space="preserve">Harris County Flood Control Ditch – Baytown-Crosby 12” Line - </w:t>
      </w:r>
      <w:r>
        <w:rPr>
          <w:rFonts w:cs="Times New Roman" w:ascii="Times New Roman" w:hAnsi="Times New Roman"/>
          <w:sz w:val="20"/>
        </w:rPr>
        <w:t xml:space="preserve">New ditch will require relocation of pipeline - Drafting complete. Finishing cost estimate on 4/27.  Will place the cost of Bob Camp’s farm tap removal work order into this reimbursable job.   Sent request for envir. Clearance to David Ayers.   </w:t>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BodyText2"/>
        <w:rPr/>
      </w:pPr>
      <w:r>
        <w:rPr>
          <w:rFonts w:cs="Times New Roman" w:ascii="Times New Roman" w:hAnsi="Times New Roman"/>
          <w:b/>
        </w:rPr>
        <w:t xml:space="preserve">Relocation of 2” NGO Line - </w:t>
      </w:r>
      <w:r>
        <w:rPr>
          <w:rFonts w:cs="Times New Roman" w:ascii="Times New Roman" w:hAnsi="Times New Roman"/>
        </w:rPr>
        <w:t xml:space="preserve">HPL is on an Exxon pipe rack across San Jacinto Water canal.  Exxon will be installing a new pipe support structure for their lines and will need HPL to relocate to it.  Pipe will need to be relocated by July - Met with Exxon, Brad, and John Towles on 4/13.  Brad will review the status of the Entex station and see if the line is needed.  John is checking with San Jac. Water Authority to see if we could leave our line on Exxon’s old pipe bridge.  </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BodyText3"/>
        <w:rPr/>
      </w:pPr>
      <w:r>
        <w:rPr>
          <w:rFonts w:cs="Times New Roman" w:ascii="Times New Roman" w:hAnsi="Times New Roman"/>
        </w:rPr>
        <w:t xml:space="preserve">Abandon Alta Loma 1004 and 1005 Lines - </w:t>
      </w:r>
      <w:r>
        <w:rPr>
          <w:rFonts w:cs="Times New Roman" w:ascii="Times New Roman" w:hAnsi="Times New Roman"/>
          <w:b w:val="false"/>
        </w:rPr>
        <w:t xml:space="preserve">Work orders submitted on 4/14.   Approved work orders received on 4/26/00.  Will coordinate work with Don Thomas and the Special Project Team.  </w:t>
      </w:r>
    </w:p>
    <w:p>
      <w:pPr>
        <w:pStyle w:val="Normal"/>
        <w:widowControl/>
        <w:jc w:val="both"/>
        <w:rPr>
          <w:rFonts w:ascii="Times New Roman" w:hAnsi="Times New Roman" w:cs="Times New Roman"/>
          <w:b/>
          <w:color w:val="0000FF"/>
          <w:sz w:val="20"/>
        </w:rPr>
      </w:pPr>
      <w:r>
        <w:rPr>
          <w:rFonts w:cs="Times New Roman" w:ascii="Times New Roman" w:hAnsi="Times New Roman"/>
          <w:b/>
          <w:color w:val="0000FF"/>
          <w:sz w:val="20"/>
        </w:rPr>
      </w:r>
    </w:p>
    <w:p>
      <w:pPr>
        <w:pStyle w:val="Normal"/>
        <w:widowControl/>
        <w:jc w:val="both"/>
        <w:rPr/>
      </w:pPr>
      <w:r>
        <w:rPr>
          <w:rFonts w:cs="Times New Roman" w:ascii="Times New Roman" w:hAnsi="Times New Roman"/>
          <w:b/>
          <w:sz w:val="20"/>
        </w:rPr>
        <w:t>Replace 4 Canal Crossings</w:t>
      </w:r>
      <w:r>
        <w:rPr>
          <w:rFonts w:cs="Times New Roman" w:ascii="Times New Roman" w:hAnsi="Times New Roman"/>
          <w:sz w:val="20"/>
        </w:rPr>
        <w:t xml:space="preserve"> – Field trip complete; working on estimate/work order. Requested Encroachment group to determine if HPL can seek reimbursement for unauthorized excavation of line.</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pPr>
      <w:r>
        <w:rPr>
          <w:rFonts w:cs="Times New Roman" w:ascii="Times New Roman" w:hAnsi="Times New Roman"/>
          <w:b/>
          <w:sz w:val="20"/>
        </w:rPr>
        <w:t>Shell South Meter Station Upgrade</w:t>
      </w:r>
      <w:r>
        <w:rPr>
          <w:rFonts w:cs="Times New Roman" w:ascii="Times New Roman" w:hAnsi="Times New Roman"/>
          <w:sz w:val="20"/>
        </w:rPr>
        <w:t xml:space="preserve"> – Install equipment to be able to do remote flow/pressure control – Cost estimate for $22,000 submitted to Planning 7/21/99; on 4/26/00 Facility Planner requested an updated estimate; preparing detailed cost estimate update.</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pPr>
      <w:r>
        <w:rPr>
          <w:rFonts w:cs="Times New Roman" w:ascii="Times New Roman" w:hAnsi="Times New Roman"/>
          <w:b/>
          <w:sz w:val="20"/>
        </w:rPr>
        <w:t>ANP Power Plant</w:t>
      </w:r>
      <w:r>
        <w:rPr>
          <w:rFonts w:cs="Times New Roman" w:ascii="Times New Roman" w:hAnsi="Times New Roman"/>
          <w:sz w:val="20"/>
        </w:rPr>
        <w:t xml:space="preserve"> – Install 6,700’ of 12” or 16” pipeline and measurement facility to be able to deliver up to 135 mmcfd – Preparing detailed project cost estimate.</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Heading2"/>
        <w:widowControl/>
        <w:ind w:hanging="0" w:start="0"/>
        <w:rPr>
          <w:rFonts w:ascii="Times New Roman" w:hAnsi="Times New Roman" w:cs="Times New Roman"/>
        </w:rPr>
      </w:pPr>
      <w:r>
        <w:rPr>
          <w:rFonts w:cs="Times New Roman" w:ascii="Times New Roman" w:hAnsi="Times New Roman"/>
        </w:rPr>
        <w:t>SeaCrest Gigs Connect  $ 125,000</w:t>
      </w:r>
    </w:p>
    <w:p>
      <w:pPr>
        <w:pStyle w:val="Normal"/>
        <w:widowControl/>
        <w:jc w:val="both"/>
        <w:rPr/>
      </w:pPr>
      <w:r>
        <w:rPr>
          <w:rFonts w:cs="Times New Roman" w:ascii="Times New Roman" w:hAnsi="Times New Roman"/>
          <w:sz w:val="20"/>
        </w:rPr>
        <w:t>Acquire 12” Greystar Line. Install 10” x 12” TDW Split Tee for Hot Tap, Install 240ft. 12” line to connect to 12” Greystar Line including One (1) Railroad Bore, Install EFM, Scada and H2O Analyzer on SeaCrest Meter Station – Work order routed for approval; requested environmental permit and ROW acquisition. Field meeting with Graystar being set up to inspect SeaCrest meter tubes; July 1 in-service date</w:t>
      </w:r>
      <w:r>
        <w:rPr>
          <w:rFonts w:cs="Times New Roman" w:ascii="Times New Roman" w:hAnsi="Times New Roman"/>
          <w:color w:val="0000FF"/>
          <w:sz w:val="20"/>
        </w:rPr>
        <w:t>.</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Normal"/>
        <w:rPr/>
      </w:pPr>
      <w:r>
        <w:rPr>
          <w:rFonts w:cs="Times New Roman" w:ascii="Times New Roman" w:hAnsi="Times New Roman"/>
          <w:b/>
          <w:sz w:val="20"/>
        </w:rPr>
        <w:t xml:space="preserve">Midcon Connections - </w:t>
      </w:r>
      <w:r>
        <w:rPr>
          <w:rFonts w:cs="Times New Roman" w:ascii="Times New Roman" w:hAnsi="Times New Roman"/>
          <w:sz w:val="20"/>
        </w:rPr>
        <w:t>This project is for two connections with meter stations to handle 100 million cubic feet per day. One meter station will be installed at Deer Park, and one in north Houston near Flagstaff Street.  MidCon has decided to build the meter station themselves. We will now tap our 30” pipe line and lay a short line to the MidCon meter station. This work is expected to start about May 15, 2000 and be completed June 1,2000</w:t>
      </w:r>
      <w:r>
        <w:rPr/>
        <w:t>.</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Normal"/>
        <w:widowControl/>
        <w:jc w:val="both"/>
        <w:rPr/>
      </w:pPr>
      <w:r>
        <w:rPr>
          <w:rFonts w:cs="Times New Roman" w:ascii="Times New Roman" w:hAnsi="Times New Roman"/>
          <w:b/>
          <w:sz w:val="20"/>
        </w:rPr>
        <w:t>Centex - ($150,000)</w:t>
      </w:r>
      <w:r>
        <w:rPr>
          <w:rFonts w:cs="Times New Roman" w:ascii="Times New Roman" w:hAnsi="Times New Roman"/>
          <w:sz w:val="20"/>
        </w:rPr>
        <w:t xml:space="preserve"> – Prepared a cost estimate to make a connection with Centex in Live Oak County; this estimate includes a 14” 600# tap on HPL’s 30” pipeline, a 16” 600# check valve with a 16” bypass.</w:t>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Normal"/>
        <w:widowControl/>
        <w:jc w:val="both"/>
        <w:rPr>
          <w:rFonts w:ascii="Times New Roman" w:hAnsi="Times New Roman" w:cs="Times New Roman"/>
          <w:color w:val="0000FF"/>
          <w:sz w:val="20"/>
        </w:rPr>
      </w:pPr>
      <w:r>
        <w:rPr>
          <w:rFonts w:cs="Times New Roman" w:ascii="Times New Roman" w:hAnsi="Times New Roman"/>
          <w:color w:val="0000FF"/>
          <w:sz w:val="20"/>
        </w:rPr>
      </w:r>
    </w:p>
    <w:p>
      <w:pPr>
        <w:pStyle w:val="BodyTextIndent2"/>
        <w:widowControl/>
        <w:rPr/>
      </w:pPr>
      <w:r>
        <w:rPr>
          <w:b/>
          <w:color w:val="auto"/>
        </w:rPr>
        <w:t>BP Amoco Chocolate Bayou Plant</w:t>
      </w:r>
      <w:r>
        <w:rPr>
          <w:color w:val="auto"/>
        </w:rPr>
        <w:t xml:space="preserve"> </w:t>
      </w:r>
      <w:r>
        <w:rPr>
          <w:b/>
          <w:color w:val="auto"/>
        </w:rPr>
        <w:t>– ($28,500/$531,300)</w:t>
      </w:r>
      <w:r>
        <w:rPr>
          <w:color w:val="auto"/>
        </w:rPr>
        <w:t xml:space="preserve"> - Install 8” on 18” hot tap, 1.5 mi. of 8” pipeline and measurement facility to deliver up to 35 mmcfd – Submitted +/- 30% project cost estimate to Planning on 4/20.</w:t>
      </w:r>
    </w:p>
    <w:p>
      <w:pPr>
        <w:pStyle w:val="Normal"/>
        <w:widowControl/>
        <w:jc w:val="both"/>
        <w:rPr>
          <w:rFonts w:ascii="Times New Roman" w:hAnsi="Times New Roman" w:cs="Times New Roman"/>
          <w:color w:val="auto"/>
          <w:sz w:val="20"/>
        </w:rPr>
      </w:pPr>
      <w:r>
        <w:rPr>
          <w:rFonts w:cs="Times New Roman" w:ascii="Times New Roman" w:hAnsi="Times New Roman"/>
          <w:color w:val="auto"/>
          <w:sz w:val="20"/>
        </w:rPr>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HPL/LCRA Prairie Lea 12" Hot Tap Valve and 12" Inlet Piping ($65,133.96)</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LCRA/HPL 8" Turbine Meter &amp; Regulator Station ($322,994.97)</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LCRA 16" Pipeline ($562,141.98)</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LCRA Prairie Lea Instrumentation &amp; Electrical Equipment ($10,824.62)</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 xml:space="preserve">Install a 12" Hot Tap Valve on the 30" South Texas Line.  LCRA to install a meter and regulator station sized for 2 to 100 MMCF/Day and approximately 2 miles of 16" pipeline.  Forwarded reimbursement agreement for the hot tap to LCRA for review and signature.  Awaiting release to submit work order authorization for the hot tap.  Received meter station construction drawings from Alliance Engineering.  Working with LCRA, HMS and Alliance Engineering on meter station design and location of hot tap.  </w:t>
      </w:r>
    </w:p>
    <w:p>
      <w:pPr>
        <w:pStyle w:val="BodyText2"/>
        <w:rPr>
          <w:rFonts w:ascii="Times New Roman" w:hAnsi="Times New Roman" w:cs="Times New Roman"/>
          <w:b/>
          <w:color w:val="0000FF"/>
          <w:sz w:val="20"/>
          <w:lang w:eastAsia="en-US"/>
        </w:rPr>
      </w:pPr>
      <w:r>
        <w:rPr>
          <w:rFonts w:cs="Times New Roman" w:ascii="Times New Roman" w:hAnsi="Times New Roman"/>
          <w:b/>
          <w:color w:val="0000FF"/>
          <w:sz w:val="20"/>
          <w:lang w:eastAsia="en-US"/>
        </w:rPr>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t xml:space="preserve">WELL CONNECTS: </w:t>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r>
    </w:p>
    <w:p>
      <w:pPr>
        <w:pStyle w:val="Normal"/>
        <w:ind w:start="90" w:end="0"/>
        <w:rPr>
          <w:rFonts w:ascii="Times New Roman" w:hAnsi="Times New Roman" w:cs="Times New Roman"/>
          <w:b/>
          <w:color w:val="0000FF"/>
          <w:sz w:val="20"/>
        </w:rPr>
      </w:pPr>
      <w:r>
        <w:rPr>
          <w:rFonts w:cs="Times New Roman" w:ascii="Times New Roman" w:hAnsi="Times New Roman"/>
          <w:b/>
          <w:color w:val="0000FF"/>
          <w:sz w:val="20"/>
        </w:rPr>
      </w:r>
    </w:p>
    <w:p>
      <w:pPr>
        <w:pStyle w:val="Normal"/>
        <w:ind w:start="90" w:end="0"/>
        <w:rPr/>
      </w:pPr>
      <w:r>
        <w:rPr>
          <w:rFonts w:cs="Times New Roman" w:ascii="Times New Roman" w:hAnsi="Times New Roman"/>
          <w:b/>
          <w:sz w:val="20"/>
        </w:rPr>
        <w:t>ML Resources: KC Simms #1</w:t>
      </w:r>
      <w:r>
        <w:rPr>
          <w:rFonts w:cs="Times New Roman" w:ascii="Times New Roman" w:hAnsi="Times New Roman"/>
          <w:sz w:val="20"/>
        </w:rPr>
        <w:t xml:space="preserve"> – Producer has 1.0 MM/D to connect to Swinney Switch to Edna 18” line – HPL provided maps showing a portion of line to be activated has been sold; well location is miles from HPL &amp; feet from TGP.</w:t>
      </w:r>
    </w:p>
    <w:p>
      <w:pPr>
        <w:pStyle w:val="Normal"/>
        <w:ind w:start="90" w:end="0"/>
        <w:rPr>
          <w:rFonts w:ascii="Times New Roman" w:hAnsi="Times New Roman" w:cs="Times New Roman"/>
          <w:b/>
          <w:sz w:val="20"/>
        </w:rPr>
      </w:pPr>
      <w:r>
        <w:rPr>
          <w:rFonts w:cs="Times New Roman" w:ascii="Times New Roman" w:hAnsi="Times New Roman"/>
          <w:b/>
          <w:sz w:val="20"/>
        </w:rPr>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r>
    </w:p>
    <w:p>
      <w:pPr>
        <w:pStyle w:val="Normal"/>
        <w:ind w:start="90" w:end="0"/>
        <w:rPr>
          <w:rFonts w:ascii="Times New Roman" w:hAnsi="Times New Roman" w:cs="Times New Roman"/>
          <w:b/>
          <w:color w:val="000000"/>
          <w:sz w:val="20"/>
        </w:rPr>
      </w:pPr>
      <w:r>
        <w:rPr>
          <w:rFonts w:cs="Times New Roman" w:ascii="Times New Roman" w:hAnsi="Times New Roman"/>
          <w:b/>
          <w:color w:val="000000"/>
          <w:sz w:val="20"/>
        </w:rPr>
      </w:r>
    </w:p>
    <w:p>
      <w:pPr>
        <w:pStyle w:val="Footer"/>
        <w:tabs>
          <w:tab w:val="clear" w:pos="4320"/>
          <w:tab w:val="clear" w:pos="8640"/>
          <w:tab w:val="left" w:pos="540" w:leader="none"/>
        </w:tabs>
        <w:ind w:start="180" w:end="0"/>
        <w:rPr>
          <w:rFonts w:ascii="Times New Roman" w:hAnsi="Times New Roman" w:cs="Times New Roman"/>
          <w:b/>
          <w:color w:val="000000"/>
          <w:sz w:val="20"/>
        </w:rPr>
      </w:pPr>
      <w:r>
        <w:rPr>
          <w:rFonts w:cs="Times New Roman" w:ascii="Times New Roman" w:hAnsi="Times New Roman"/>
          <w:b/>
          <w:color w:val="000000"/>
          <w:sz w:val="20"/>
        </w:rPr>
      </w:r>
    </w:p>
    <w:sectPr>
      <w:headerReference w:type="default" r:id="rId3"/>
      <w:headerReference w:type="first" r:id="rId4"/>
      <w:footerReference w:type="default" r:id="rId5"/>
      <w:footerReference w:type="first" r:id="rId6"/>
      <w:type w:val="nextPage"/>
      <w:pgSz w:w="12240" w:h="15840"/>
      <w:pgMar w:left="720" w:right="288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1"/>
      </w:rPr>
    </w:pPr>
    <w:r>
      <w:rPr>
        <w:b/>
        <w:sz w:val="11"/>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9"/>
      </w:rPr>
    </w:pPr>
    <w:r>
      <w:rPr>
        <w:sz w:val="9"/>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5760" w:leader="none"/>
        <w:tab w:val="right" w:pos="10800" w:leader="none"/>
      </w:tabs>
      <w:rPr>
        <w:b/>
        <w:sz w:val="11"/>
      </w:rPr>
    </w:pPr>
    <w:r>
      <w:rPr>
        <w:b/>
        <w:sz w:val="11"/>
      </w:rPr>
      <w:t>Your Personal Best Makes Enron Best</w:t>
      <w:tab/>
      <w:t>Communicate- Facts Are Friendly</w:t>
      <w:tab/>
      <w:t>Better, Faster, Simpler</w:t>
    </w:r>
  </w:p>
  <w:p>
    <w:pPr>
      <w:pStyle w:val="Footer"/>
      <w:widowControl/>
      <w:tabs>
        <w:tab w:val="clear" w:pos="4320"/>
        <w:tab w:val="left" w:pos="3780" w:leader="none"/>
        <w:tab w:val="center" w:pos="7560" w:leader="none"/>
        <w:tab w:val="right" w:pos="8640" w:leader="none"/>
        <w:tab w:val="right" w:pos="10800" w:leader="none"/>
      </w:tabs>
      <w:rPr>
        <w:b/>
        <w:sz w:val="11"/>
      </w:rPr>
    </w:pPr>
    <w:r>
      <w:rPr>
        <w:b/>
        <w:sz w:val="11"/>
      </w:rPr>
    </w:r>
  </w:p>
  <w:p>
    <w:pPr>
      <w:pStyle w:val="Footer"/>
      <w:widowControl/>
      <w:tabs>
        <w:tab w:val="clear" w:pos="4320"/>
        <w:tab w:val="left" w:pos="3780" w:leader="none"/>
        <w:tab w:val="center" w:pos="7560" w:leader="none"/>
        <w:tab w:val="right" w:pos="8640" w:leader="none"/>
        <w:tab w:val="right" w:pos="10800" w:leader="none"/>
      </w:tabs>
      <w:rPr>
        <w:sz w:val="9"/>
      </w:rPr>
    </w:pPr>
    <w:r>
      <w:rPr>
        <w:sz w:val="9"/>
      </w:rPr>
      <w:t>Form 000-469-E(7/92)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sz w:val="17"/>
      </w:rPr>
      <w:fldChar w:fldCharType="begin"/>
    </w:r>
    <w:r>
      <w:rPr>
        <w:sz w:val="17"/>
      </w:rPr>
      <w:instrText xml:space="preserve"> DATE \@"M/d/yyyy" </w:instrText>
    </w:r>
    <w:r>
      <w:rPr>
        <w:sz w:val="17"/>
      </w:rPr>
      <w:fldChar w:fldCharType="separate"/>
    </w:r>
    <w:r>
      <w:rPr>
        <w:sz w:val="17"/>
      </w:rPr>
      <w:t>9/28/2025</w:t>
    </w:r>
    <w:r>
      <w:rPr>
        <w:sz w:val="17"/>
      </w:rPr>
      <w:fldChar w:fldCharType="end"/>
    </w:r>
    <w:r>
      <w:rPr>
        <w:sz w:val="17"/>
      </w:rPr>
      <w:tab/>
      <w:t xml:space="preserve">Page </w:t>
    </w:r>
    <w:r>
      <w:rPr>
        <w:sz w:val="17"/>
      </w:rPr>
      <w:fldChar w:fldCharType="begin"/>
    </w:r>
    <w:r>
      <w:rPr>
        <w:sz w:val="17"/>
      </w:rPr>
      <w:instrText xml:space="preserve"> PAGE </w:instrText>
    </w:r>
    <w:r>
      <w:rPr>
        <w:sz w:val="17"/>
      </w:rPr>
      <w:fldChar w:fldCharType="separate"/>
    </w:r>
    <w:r>
      <w:rPr>
        <w:sz w:val="17"/>
      </w:rPr>
      <w:t>3</w:t>
    </w:r>
    <w:r>
      <w:rPr>
        <w:sz w:val="17"/>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23"/>
                            </w:rPr>
                          </w:pPr>
                          <w:r>
                            <w:rPr>
                              <w:b/>
                              <w:sz w:val="23"/>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widowControl/>
                      <w:ind w:start="3600" w:end="0"/>
                      <w:rPr>
                        <w:b/>
                        <w:sz w:val="23"/>
                      </w:rPr>
                    </w:pPr>
                    <w:r>
                      <w:rPr>
                        <w:b/>
                        <w:sz w:val="23"/>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b/>
      <w:sz w:val="20"/>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sz w:val="20"/>
    </w:rPr>
  </w:style>
  <w:style w:type="paragraph" w:styleId="Heading6">
    <w:name w:val="heading 6"/>
    <w:basedOn w:val="Normal"/>
    <w:next w:val="Normal"/>
    <w:qFormat/>
    <w:pPr>
      <w:keepNext w:val="true"/>
      <w:numPr>
        <w:ilvl w:val="5"/>
        <w:numId w:val="1"/>
      </w:numPr>
      <w:outlineLvl w:val="5"/>
    </w:pPr>
    <w:rPr>
      <w:b/>
      <w:sz w:val="20"/>
      <w:u w:val="single"/>
    </w:rPr>
  </w:style>
  <w:style w:type="paragraph" w:styleId="Heading7">
    <w:name w:val="heading 7"/>
    <w:basedOn w:val="Normal"/>
    <w:next w:val="Normal"/>
    <w:qFormat/>
    <w:pPr>
      <w:keepNext w:val="true"/>
      <w:numPr>
        <w:ilvl w:val="6"/>
        <w:numId w:val="1"/>
      </w:numPr>
      <w:outlineLvl w:val="6"/>
    </w:pPr>
    <w:rPr>
      <w:rFonts w:ascii="Times New Roman" w:hAnsi="Times New Roman" w:cs="Times New Roman"/>
      <w:b/>
      <w:color w:val="0000FF"/>
      <w:sz w:val="20"/>
      <w:lang w:eastAsia="en-US"/>
    </w:rPr>
  </w:style>
  <w:style w:type="paragraph" w:styleId="Heading8">
    <w:name w:val="heading 8"/>
    <w:basedOn w:val="Normal"/>
    <w:next w:val="Normal"/>
    <w:qFormat/>
    <w:pPr>
      <w:keepNext w:val="true"/>
      <w:numPr>
        <w:ilvl w:val="7"/>
        <w:numId w:val="1"/>
      </w:numPr>
      <w:spacing w:lineRule="atLeast" w:line="240"/>
      <w:outlineLvl w:val="7"/>
    </w:pPr>
    <w:rPr>
      <w:rFonts w:ascii="Times New Roman" w:hAnsi="Times New Roman" w:cs="Times New Roman"/>
      <w:b/>
      <w:color w:val="000080"/>
      <w:sz w:val="20"/>
      <w:lang w:eastAsia="en-US"/>
    </w:rPr>
  </w:style>
  <w:style w:type="paragraph" w:styleId="Heading9">
    <w:name w:val="heading 9"/>
    <w:basedOn w:val="Normal"/>
    <w:next w:val="Normal"/>
    <w:qFormat/>
    <w:pPr>
      <w:keepNext w:val="true"/>
      <w:numPr>
        <w:ilvl w:val="8"/>
        <w:numId w:val="1"/>
      </w:numPr>
      <w:spacing w:lineRule="atLeast" w:line="240"/>
      <w:outlineLvl w:val="8"/>
    </w:pPr>
    <w:rPr>
      <w:rFonts w:ascii="Times New Roman" w:hAnsi="Times New Roman" w:cs="Times New Roman"/>
      <w:b/>
      <w:color w:val="FF0000"/>
      <w:sz w:val="20"/>
      <w:lang w:eastAsia="en-US"/>
    </w:rPr>
  </w:style>
  <w:style w:type="character" w:styleId="WW8Num1z0">
    <w:name w:val="WW8Num1z0"/>
    <w:qFormat/>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PlainText">
    <w:name w:val="Plain Text"/>
    <w:basedOn w:val="Normal"/>
    <w:qFormat/>
    <w:pPr>
      <w:tabs>
        <w:tab w:val="clear" w:pos="540"/>
      </w:tabs>
    </w:pPr>
    <w:rPr>
      <w:rFonts w:ascii="Courier New" w:hAnsi="Courier New" w:cs="Courier New"/>
      <w:sz w:val="20"/>
    </w:rPr>
  </w:style>
  <w:style w:type="paragraph" w:styleId="BodyText2">
    <w:name w:val="Body Text 2"/>
    <w:basedOn w:val="Normal"/>
    <w:qFormat/>
    <w:pPr>
      <w:spacing w:lineRule="atLeast" w:line="240"/>
    </w:pPr>
    <w:rPr>
      <w:color w:val="000000"/>
      <w:sz w:val="20"/>
    </w:rPr>
  </w:style>
  <w:style w:type="paragraph" w:styleId="BodyText3">
    <w:name w:val="Body Text 3"/>
    <w:basedOn w:val="Normal"/>
    <w:qFormat/>
    <w:pPr>
      <w:jc w:val="both"/>
    </w:pPr>
    <w:rPr>
      <w:b/>
      <w:sz w:val="20"/>
    </w:rPr>
  </w:style>
  <w:style w:type="paragraph" w:styleId="BodyTextIndent">
    <w:name w:val="Body Text Indent"/>
    <w:basedOn w:val="Normal"/>
    <w:pPr>
      <w:widowControl/>
      <w:tabs>
        <w:tab w:val="clear" w:pos="540"/>
      </w:tabs>
    </w:pPr>
    <w:rPr>
      <w:rFonts w:ascii="CG Times (WN)" w:hAnsi="CG Times (WN)" w:cs="CG Times (WN)"/>
      <w:b/>
      <w:u w:val="single"/>
      <w:lang w:eastAsia="en-US"/>
    </w:rPr>
  </w:style>
  <w:style w:type="paragraph" w:styleId="BodyTextIndent2">
    <w:name w:val="Body Text Indent 2"/>
    <w:basedOn w:val="Normal"/>
    <w:qFormat/>
    <w:pPr>
      <w:ind w:hanging="0" w:start="90" w:end="0"/>
    </w:pPr>
    <w:rPr>
      <w:rFonts w:ascii="Times New Roman" w:hAnsi="Times New Roman" w:cs="Times New Roman"/>
      <w:color w:val="FF0000"/>
      <w:sz w:val="20"/>
      <w:lang w:eastAsia="en-US"/>
    </w:rPr>
  </w:style>
  <w:style w:type="paragraph" w:styleId="BodyTextIndent3">
    <w:name w:val="Body Text Indent 3"/>
    <w:basedOn w:val="Normal"/>
    <w:qFormat/>
    <w:pPr>
      <w:ind w:hanging="0" w:start="90" w:end="0"/>
    </w:pPr>
    <w:rPr>
      <w:rFonts w:ascii="Times New Roman" w:hAnsi="Times New Roman" w:cs="Times New Roman"/>
      <w:b/>
      <w:color w:val="FF0000"/>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2000-04-28T09:03:00Z</dcterms:created>
  <dc:creator>tbarth</dc:creator>
  <dc:description/>
  <dc:language>en-CA</dc:language>
  <cp:lastModifiedBy>Valerie Urbanek</cp:lastModifiedBy>
  <cp:lastPrinted>2000-04-28T07:02:00Z</cp:lastPrinted>
  <dcterms:modified xsi:type="dcterms:W3CDTF">2000-04-28T15:47:00Z</dcterms:modified>
  <cp:revision>8</cp:revision>
  <dc:subject/>
  <dc:title>Better, Faster, Simpler Memo </dc:title>
</cp:coreProperties>
</file>