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rFonts w:ascii="Helv;Arial" w:hAnsi="Helv;Arial" w:cs="Helv;Arial"/>
          <w:b/>
          <w:color w:val="000000"/>
        </w:rPr>
      </w:pPr>
      <w:r>
        <w:rPr>
          <w:rFonts w:cs="Helv;Arial" w:ascii="Helv;Arial" w:hAnsi="Helv;Arial"/>
          <w:b/>
          <w:color w:val="000000"/>
        </w:rPr>
        <w:t>Commercialization of Mid and Back Office Services</w:t>
      </w:r>
    </w:p>
    <w:p>
      <w:pPr>
        <w:pStyle w:val="Normal"/>
        <w:tabs>
          <w:tab w:val="clear" w:pos="720"/>
          <w:tab w:val="left" w:pos="0" w:leader="none"/>
        </w:tabs>
        <w:rPr>
          <w:rFonts w:ascii="Helv;Arial" w:hAnsi="Helv;Arial" w:cs="Helv;Arial"/>
          <w:b/>
          <w:color w:val="000000"/>
        </w:rPr>
      </w:pPr>
      <w:r>
        <w:rPr>
          <w:rFonts w:cs="Helv;Arial" w:ascii="Helv;Arial" w:hAnsi="Helv;Arial"/>
          <w:b/>
          <w:color w:val="000000"/>
        </w:rPr>
        <w:t>Notes from Focus Team Meeting – April 23, 2001</w:t>
      </w:r>
    </w:p>
    <w:p>
      <w:pPr>
        <w:pStyle w:val="Normal"/>
        <w:tabs>
          <w:tab w:val="clear" w:pos="720"/>
          <w:tab w:val="left" w:pos="0" w:leader="none"/>
        </w:tabs>
        <w:rPr>
          <w:rFonts w:ascii="Helv;Arial" w:hAnsi="Helv;Arial" w:cs="Helv;Arial"/>
          <w:b/>
          <w:color w:val="000000"/>
        </w:rPr>
      </w:pPr>
      <w:r>
        <w:rPr>
          <w:rFonts w:cs="Helv;Arial" w:ascii="Helv;Arial" w:hAnsi="Helv;Arial"/>
          <w:b/>
          <w:color w:val="000000"/>
        </w:rPr>
      </w:r>
    </w:p>
    <w:p>
      <w:pPr>
        <w:pStyle w:val="Normal"/>
        <w:tabs>
          <w:tab w:val="clear" w:pos="720"/>
          <w:tab w:val="left" w:pos="0" w:leader="none"/>
        </w:tabs>
        <w:rPr>
          <w:rFonts w:ascii="Helv;Arial" w:hAnsi="Helv;Arial" w:cs="Helv;Arial"/>
          <w:b/>
          <w:color w:val="000000"/>
        </w:rPr>
      </w:pPr>
      <w:r>
        <w:rPr>
          <w:rFonts w:cs="Helv;Arial" w:ascii="Helv;Arial" w:hAnsi="Helv;Arial"/>
          <w:b/>
          <w:color w:val="000000"/>
        </w:rPr>
        <w:t>Highlights from Week of 4/16:</w:t>
      </w:r>
    </w:p>
    <w:p>
      <w:pPr>
        <w:pStyle w:val="Normal"/>
        <w:tabs>
          <w:tab w:val="clear" w:pos="720"/>
          <w:tab w:val="left" w:pos="0" w:leader="none"/>
        </w:tabs>
        <w:rPr>
          <w:rFonts w:ascii="Helv;Arial" w:hAnsi="Helv;Arial" w:cs="Helv;Arial"/>
          <w:b/>
          <w:color w:val="000000"/>
        </w:rPr>
      </w:pPr>
      <w:r>
        <w:rPr>
          <w:rFonts w:cs="Helv;Arial" w:ascii="Helv;Arial" w:hAnsi="Helv;Arial"/>
          <w:b/>
          <w:color w:val="000000"/>
        </w:rPr>
      </w:r>
    </w:p>
    <w:p>
      <w:pPr>
        <w:pStyle w:val="Normal"/>
        <w:tabs>
          <w:tab w:val="clear" w:pos="720"/>
          <w:tab w:val="left" w:pos="0" w:leader="none"/>
        </w:tabs>
        <w:rPr/>
      </w:pPr>
      <w:r>
        <w:rPr>
          <w:rFonts w:cs="Helv;Arial" w:ascii="Helv;Arial" w:hAnsi="Helv;Arial"/>
          <w:color w:val="000000"/>
          <w:bdr w:val="double" w:sz="4" w:space="0" w:color="000000"/>
        </w:rPr>
        <w:t>Customer Interface</w:t>
      </w:r>
      <w:r>
        <w:rPr>
          <w:rFonts w:cs="Helv;Arial" w:ascii="Helv;Arial" w:hAnsi="Helv;Arial"/>
          <w:color w:val="000000"/>
        </w:rPr>
        <w:t xml:space="preserve">  Fred led kick-off meeting re: options and requirements</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pPr>
      <w:r>
        <w:rPr>
          <w:rFonts w:cs="Helv;Arial" w:ascii="Helv;Arial" w:hAnsi="Helv;Arial"/>
          <w:color w:val="000000"/>
          <w:bdr w:val="double" w:sz="4" w:space="0" w:color="000000"/>
        </w:rPr>
        <w:t>Service Level Agreements</w:t>
      </w:r>
      <w:r>
        <w:rPr>
          <w:rFonts w:cs="Helv;Arial" w:ascii="Helv;Arial" w:hAnsi="Helv;Arial"/>
          <w:color w:val="000000"/>
        </w:rPr>
        <w:t xml:space="preserve">  Fred and Beth met with Frank Sayre (Legal) to re-start creation of SLA. </w:t>
        <w:tab/>
        <w:t xml:space="preserve"> previously assigned to Mark Taylor.  Fred and Rahil accompanied Frank on demo of systems and processes for gas logistics, confirmations and volume management</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pPr>
      <w:r>
        <w:rPr>
          <w:rFonts w:cs="Helv;Arial" w:ascii="Helv;Arial" w:hAnsi="Helv;Arial"/>
          <w:color w:val="000000"/>
          <w:bdr w:val="double" w:sz="4" w:space="0" w:color="000000"/>
        </w:rPr>
        <w:t>Origination Meetings</w:t>
      </w:r>
      <w:r>
        <w:rPr>
          <w:rFonts w:cs="Helv;Arial" w:ascii="Helv;Arial" w:hAnsi="Helv;Arial"/>
          <w:color w:val="000000"/>
        </w:rPr>
        <w:t xml:space="preserve">  Meeting held 4/20 with Max Y. (Mexico office).  Meeting with Dave Duran cancelled per his request; rescheduled for 4/24.</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pPr>
      <w:r>
        <w:rPr>
          <w:rFonts w:cs="Helv;Arial" w:ascii="Helv;Arial" w:hAnsi="Helv;Arial"/>
          <w:color w:val="000000"/>
          <w:bdr w:val="double" w:sz="4" w:space="0" w:color="000000"/>
        </w:rPr>
        <w:t>Deal Pricing</w:t>
      </w:r>
      <w:r>
        <w:rPr>
          <w:rFonts w:cs="Helv;Arial" w:ascii="Helv;Arial" w:hAnsi="Helv;Arial"/>
          <w:color w:val="000000"/>
        </w:rPr>
        <w:t xml:space="preserve">  James and George Smith (Gas Logistics) priced services for Peoples Energy Production</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pPr>
      <w:r>
        <w:rPr>
          <w:rFonts w:cs="Helv;Arial" w:ascii="Helv;Arial" w:hAnsi="Helv;Arial"/>
          <w:color w:val="000000"/>
          <w:bdr w:val="double" w:sz="4" w:space="0" w:color="000000"/>
        </w:rPr>
        <w:t>Marketing</w:t>
      </w:r>
      <w:r>
        <w:rPr>
          <w:rFonts w:cs="Helv;Arial" w:ascii="Helv;Arial" w:hAnsi="Helv;Arial"/>
          <w:color w:val="000000"/>
        </w:rPr>
        <w:t xml:space="preserve">  Sally interviewed two internal candidates 4/18 for marketing roles </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rFonts w:ascii="Helv;Arial" w:hAnsi="Helv;Arial" w:cs="Helv;Arial"/>
          <w:b/>
          <w:color w:val="000000"/>
        </w:rPr>
      </w:pPr>
      <w:r>
        <w:rPr>
          <w:rFonts w:cs="Helv;Arial" w:ascii="Helv;Arial" w:hAnsi="Helv;Arial"/>
          <w:b/>
          <w:color w:val="000000"/>
        </w:rPr>
        <w:t>Tasks for Week of 4/23:</w:t>
      </w:r>
    </w:p>
    <w:p>
      <w:pPr>
        <w:pStyle w:val="Normal"/>
        <w:tabs>
          <w:tab w:val="clear" w:pos="720"/>
          <w:tab w:val="left" w:pos="0" w:leader="none"/>
        </w:tabs>
        <w:rPr>
          <w:rFonts w:ascii="Helv;Arial" w:hAnsi="Helv;Arial" w:cs="Helv;Arial"/>
          <w:b/>
          <w:color w:val="000000"/>
        </w:rPr>
      </w:pPr>
      <w:r>
        <w:rPr>
          <w:rFonts w:cs="Helv;Arial" w:ascii="Helv;Arial" w:hAnsi="Helv;Arial"/>
          <w:b/>
          <w:color w:val="000000"/>
        </w:rPr>
      </w:r>
    </w:p>
    <w:p>
      <w:pPr>
        <w:pStyle w:val="Normal"/>
        <w:tabs>
          <w:tab w:val="clear" w:pos="720"/>
          <w:tab w:val="left" w:pos="0" w:leader="none"/>
        </w:tabs>
        <w:rPr/>
      </w:pPr>
      <w:r>
        <w:rPr>
          <w:rFonts w:cs="Helv;Arial" w:ascii="Helv;Arial" w:hAnsi="Helv;Arial"/>
          <w:color w:val="000000"/>
          <w:bdr w:val="double" w:sz="4" w:space="0" w:color="000000"/>
        </w:rPr>
        <w:t>Origination Presentation</w:t>
      </w:r>
      <w:r>
        <w:rPr>
          <w:rFonts w:cs="Helv;Arial" w:ascii="Helv;Arial" w:hAnsi="Helv;Arial"/>
          <w:color w:val="000000"/>
        </w:rPr>
        <w:t xml:space="preserve">  Sally to rewrite presentation 4/23</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pPr>
      <w:r>
        <w:rPr>
          <w:rFonts w:cs="Helv;Arial" w:ascii="Helv;Arial" w:hAnsi="Helv;Arial"/>
          <w:color w:val="000000"/>
          <w:bdr w:val="double" w:sz="4" w:space="0" w:color="000000"/>
        </w:rPr>
        <w:t>Timeline for Commercialization</w:t>
      </w:r>
      <w:r>
        <w:rPr>
          <w:rFonts w:cs="Helv;Arial" w:ascii="Helv;Arial" w:hAnsi="Helv;Arial"/>
          <w:color w:val="000000"/>
        </w:rPr>
        <w:t xml:space="preserve">  Sally to complete realistic timeline 4/23 for commercialization and resource needs, layering in day-to-day operational risk management commitments, management of operational components of the HPL sale, testing and user acceptance of new Unify platform, EES assimilation, Busby’s transition date, etc. </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pPr>
      <w:r>
        <w:rPr>
          <w:rFonts w:cs="Helv;Arial" w:ascii="Helv;Arial" w:hAnsi="Helv;Arial"/>
          <w:color w:val="000000"/>
          <w:bdr w:val="double" w:sz="4" w:space="0" w:color="000000"/>
        </w:rPr>
        <w:t>SLA's</w:t>
      </w:r>
      <w:r>
        <w:rPr>
          <w:rFonts w:cs="Helv;Arial" w:ascii="Helv;Arial" w:hAnsi="Helv;Arial"/>
          <w:color w:val="000000"/>
        </w:rPr>
        <w:tab/>
        <w:t xml:space="preserve">Leslie and Fred to continue work with Frank Sayre this week to review settlements systems and </w:t>
        <w:tab/>
        <w:t xml:space="preserve"> processes</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pPr>
      <w:r>
        <w:rPr>
          <w:rFonts w:cs="Helv;Arial" w:ascii="Helv;Arial" w:hAnsi="Helv;Arial"/>
          <w:color w:val="000000"/>
          <w:bdr w:val="double" w:sz="4" w:space="0" w:color="000000"/>
        </w:rPr>
        <w:t>Deal Pricing</w:t>
      </w:r>
      <w:r>
        <w:rPr>
          <w:rFonts w:cs="Helv;Arial" w:ascii="Helv;Arial" w:hAnsi="Helv;Arial"/>
          <w:color w:val="000000"/>
        </w:rPr>
        <w:t xml:space="preserve">  Bob Superty to follow up with John Grass re: services priced for Peoples Energy  Production (also get download on their multi-city tour and any other leads that may have been generated) </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pPr>
      <w:r>
        <w:rPr>
          <w:rFonts w:cs="Helv;Arial" w:ascii="Helv;Arial" w:hAnsi="Helv;Arial"/>
          <w:color w:val="000000"/>
          <w:bdr w:val="double" w:sz="4" w:space="0" w:color="000000"/>
        </w:rPr>
        <w:t>Marketing</w:t>
      </w:r>
      <w:r>
        <w:rPr>
          <w:rFonts w:cs="Helv;Arial" w:ascii="Helv;Arial" w:hAnsi="Helv;Arial"/>
          <w:color w:val="000000"/>
        </w:rPr>
        <w:t xml:space="preserve">  CMS Energy - Fred says that CMS Energy has asked for demo of wholesale "system" this week - could be opportunity to pitch services as well; Fred will coordinate with Bob Hall or Bob Superty to get appropriate operations personnel at meeting with Tommy Yanowski later this week </w:t>
      </w:r>
    </w:p>
    <w:p>
      <w:pPr>
        <w:pStyle w:val="Normal"/>
        <w:tabs>
          <w:tab w:val="clear" w:pos="720"/>
          <w:tab w:val="left" w:pos="0" w:leader="none"/>
        </w:tabs>
        <w:rPr>
          <w:rFonts w:ascii="Helv;Arial" w:hAnsi="Helv;Arial" w:cs="Helv;Arial"/>
          <w:color w:val="000000"/>
        </w:rPr>
      </w:pPr>
      <w:r>
        <w:rPr>
          <w:rFonts w:cs="Helv;Arial" w:ascii="Helv;Arial" w:hAnsi="Helv;Arial"/>
          <w:color w:val="000000"/>
        </w:rPr>
      </w:r>
    </w:p>
    <w:p>
      <w:pPr>
        <w:pStyle w:val="Normal"/>
        <w:tabs>
          <w:tab w:val="clear" w:pos="720"/>
          <w:tab w:val="left" w:pos="0" w:leader="none"/>
        </w:tabs>
        <w:rPr/>
      </w:pPr>
      <w:r>
        <w:rPr>
          <w:rFonts w:cs="Helv;Arial" w:ascii="Helv;Arial" w:hAnsi="Helv;Arial"/>
          <w:color w:val="000000"/>
        </w:rPr>
        <w:tab/>
        <w:t xml:space="preserve">      Ocean Energy and Tractabel - Rahil says that he and Fred contacted these companies last week about their interest in outsourcing mid and back office services and that they might be interested in a demo.  </w:t>
      </w:r>
      <w:r>
        <w:rPr>
          <w:rFonts w:cs="Helv;Arial" w:ascii="Helv;Arial" w:hAnsi="Helv;Arial"/>
          <w:b/>
          <w:color w:val="000000"/>
        </w:rPr>
        <w:t>REMINDER TO RAHIL - WITHOUT CUSTOMER INTERFACE WE DON'T HAVE A CANNED DEMO TODAY.  FORM OF INVOICE FOR CUSTOMER, AGENCY CAPABILITY AND REPORTING CAPABILITIES FROM UNIFY CANNOT BE CREATED UNTIL FREEZE ON UNIFY HAS BEEN LIFTED FOLLOWING COMPLETE  MIGRATION FROM SYBASE TO SEQUEL SERVER</w:t>
      </w:r>
      <w:r>
        <w:rPr>
          <w:rFonts w:cs="Helv;Arial" w:ascii="Helv;Arial" w:hAnsi="Helv;Arial"/>
          <w:color w:val="000000"/>
        </w:rPr>
        <w:t xml:space="preserve">. </w:t>
      </w:r>
    </w:p>
    <w:p>
      <w:pPr>
        <w:pStyle w:val="Normal"/>
        <w:tabs>
          <w:tab w:val="clear" w:pos="720"/>
          <w:tab w:val="left" w:pos="0" w:leader="none"/>
        </w:tabs>
        <w:rPr>
          <w:rFonts w:ascii="Helv;Arial" w:hAnsi="Helv;Arial" w:eastAsia="Helv;Arial" w:cs="Helv;Arial"/>
          <w:color w:val="000000"/>
        </w:rPr>
      </w:pPr>
      <w:r>
        <w:rPr>
          <w:rFonts w:eastAsia="Helv;Arial" w:cs="Helv;Arial" w:ascii="Helv;Arial" w:hAnsi="Helv;Arial"/>
          <w:color w:val="000000"/>
        </w:rPr>
        <w:t xml:space="preserve">   </w:t>
      </w:r>
    </w:p>
    <w:p>
      <w:pPr>
        <w:pStyle w:val="Normal"/>
        <w:tabs>
          <w:tab w:val="clear" w:pos="720"/>
          <w:tab w:val="left" w:pos="0" w:leader="none"/>
        </w:tabs>
        <w:rPr/>
      </w:pPr>
      <w:r>
        <w:rPr>
          <w:rFonts w:cs="Helv;Arial" w:ascii="Helv;Arial" w:hAnsi="Helv;Arial"/>
          <w:color w:val="000000"/>
          <w:bdr w:val="double" w:sz="4" w:space="0" w:color="000000"/>
        </w:rPr>
        <w:t>Customer Interface</w:t>
      </w:r>
      <w:r>
        <w:rPr>
          <w:rFonts w:cs="Helv;Arial" w:ascii="Helv;Arial" w:hAnsi="Helv;Arial"/>
          <w:color w:val="000000"/>
        </w:rPr>
        <w:t xml:space="preserve">  Fred to follow up on last week's kick-off meeting;  Fred will get with Bob Superty to </w:t>
        <w:tab/>
        <w:t xml:space="preserve"> review websites created for asset management transactions and with James Scribner to review interface and processes established for AEP (re: HPL business); Fred to contact Beth Perlman to get IT resource to be devoted to interface needs; Fred to lead effort this week to delineate requirements and functionality.  </w:t>
        <w:tab/>
        <w:t xml:space="preserve"> </w:t>
      </w:r>
      <w:r>
        <w:rPr>
          <w:rFonts w:cs="Helv;Arial" w:ascii="Helv;Arial" w:hAnsi="Helv;Arial"/>
          <w:b/>
          <w:color w:val="000000"/>
        </w:rPr>
        <w:t xml:space="preserve">REMINDER TO FRED - INTERFACE MUST INCLUDE DEAL INFORMATION AND GLOBAL DATA INFORMATION </w:t>
      </w:r>
    </w:p>
    <w:p>
      <w:pPr>
        <w:pStyle w:val="Normal"/>
        <w:tabs>
          <w:tab w:val="clear" w:pos="720"/>
          <w:tab w:val="left" w:pos="0" w:leader="none"/>
        </w:tabs>
        <w:rPr/>
      </w:pPr>
      <w:r>
        <w:rPr>
          <w:rFonts w:cs="Helv;Arial" w:ascii="Helv;Arial" w:hAnsi="Helv;Arial"/>
          <w:color w:val="000000"/>
          <w:bdr w:val="double" w:sz="4" w:space="0" w:color="000000"/>
        </w:rPr>
        <w:t>Origination Meetings</w:t>
      </w:r>
      <w:r>
        <w:rPr>
          <w:rFonts w:cs="Helv;Arial" w:ascii="Helv;Arial" w:hAnsi="Helv;Arial"/>
          <w:color w:val="000000"/>
        </w:rPr>
        <w:t xml:space="preserve">  4/24 Sally will meet with Dave Duran; Other meetings will be rescheduled on 4/23 when rewrite of presentation is completed on 4/23</w:t>
      </w:r>
    </w:p>
    <w:p>
      <w:pPr>
        <w:pStyle w:val="Normal"/>
        <w:tabs>
          <w:tab w:val="clear" w:pos="720"/>
          <w:tab w:val="left" w:pos="0" w:leader="none"/>
        </w:tabs>
        <w:rPr>
          <w:rFonts w:ascii="Helv;Arial" w:hAnsi="Helv;Arial" w:cs="Helv;Arial"/>
          <w:color w:val="000000"/>
        </w:rPr>
      </w:pPr>
      <w:r>
        <w:rPr>
          <w:rFonts w:cs="Helv;Arial" w:ascii="Helv;Arial" w:hAnsi="Helv;Arial"/>
          <w:color w:val="000000"/>
        </w:rPr>
        <w:tab/>
      </w:r>
    </w:p>
    <w:p>
      <w:pPr>
        <w:pStyle w:val="Normal"/>
        <w:tabs>
          <w:tab w:val="clear" w:pos="720"/>
          <w:tab w:val="left" w:pos="0" w:leader="none"/>
        </w:tabs>
        <w:rPr/>
      </w:pPr>
      <w:r>
        <w:rPr>
          <w:rFonts w:cs="Helv;Arial" w:ascii="Helv;Arial" w:hAnsi="Helv;Arial"/>
          <w:color w:val="000000"/>
          <w:bdr w:val="double" w:sz="4" w:space="0" w:color="000000"/>
        </w:rPr>
        <w:t>Quick Hits</w:t>
      </w:r>
      <w:r>
        <w:rPr>
          <w:rFonts w:cs="Helv;Arial" w:ascii="Helv;Arial" w:hAnsi="Helv;Arial"/>
          <w:color w:val="000000"/>
        </w:rPr>
        <w:t xml:space="preserve">  James arranged meeting for 4/24 for operations staff to identify short list of customers that we will approach first to convert to Beta customers</w:t>
      </w:r>
    </w:p>
    <w:p>
      <w:pPr>
        <w:pStyle w:val="Normal"/>
        <w:tabs>
          <w:tab w:val="clear" w:pos="720"/>
          <w:tab w:val="left" w:pos="0" w:leader="none"/>
        </w:tabs>
        <w:rPr>
          <w:rFonts w:ascii="Helv;Arial" w:hAnsi="Helv;Arial" w:eastAsia="Helv;Arial" w:cs="Helv;Arial"/>
          <w:color w:val="000000"/>
        </w:rPr>
      </w:pPr>
      <w:r>
        <w:rPr>
          <w:rFonts w:eastAsia="Helv;Arial" w:cs="Helv;Arial" w:ascii="Helv;Arial" w:hAnsi="Helv;Arial"/>
          <w:color w:val="000000"/>
        </w:rPr>
        <w:t xml:space="preserve">  </w:t>
      </w:r>
    </w:p>
    <w:p>
      <w:pPr>
        <w:pStyle w:val="Normal"/>
        <w:tabs>
          <w:tab w:val="clear" w:pos="720"/>
          <w:tab w:val="left" w:pos="0" w:leader="none"/>
        </w:tabs>
        <w:rPr>
          <w:rFonts w:ascii="Helv;Arial" w:hAnsi="Helv;Arial" w:cs="Helv;Arial"/>
          <w:color w:val="000000"/>
        </w:rPr>
      </w:pPr>
      <w:r>
        <w:rPr>
          <w:rFonts w:cs="Helv;Arial" w:ascii="Helv;Arial" w:hAnsi="Helv;Arial"/>
          <w:color w:val="000000"/>
        </w:rPr>
        <w:tab/>
      </w:r>
    </w:p>
    <w:p>
      <w:pPr>
        <w:pStyle w:val="Normal"/>
        <w:tabs>
          <w:tab w:val="clear" w:pos="720"/>
          <w:tab w:val="left" w:pos="0" w:leader="none"/>
        </w:tabs>
        <w:rPr>
          <w:rFonts w:ascii="Helv;Arial" w:hAnsi="Helv;Arial" w:cs="Helv;Arial"/>
          <w:color w:val="000000"/>
        </w:rPr>
      </w:pPr>
      <w:r>
        <w:rPr>
          <w:rFonts w:cs="Helv;Arial" w:ascii="Helv;Arial" w:hAnsi="Helv;Arial"/>
          <w:color w:val="000000"/>
        </w:rPr>
        <w:tab/>
        <w:tab/>
        <w:tab/>
        <w:tab/>
        <w:tab/>
      </w:r>
    </w:p>
    <w:p>
      <w:pPr>
        <w:pStyle w:val="Normal"/>
        <w:tabs>
          <w:tab w:val="clear" w:pos="720"/>
          <w:tab w:val="left" w:pos="0" w:leader="none"/>
        </w:tabs>
        <w:rPr>
          <w:rFonts w:ascii="Helv;Arial" w:hAnsi="Helv;Arial" w:cs="Helv;Arial"/>
          <w:color w:val="000000"/>
        </w:rPr>
      </w:pPr>
      <w:r>
        <w:rPr>
          <w:rFonts w:cs="Helv;Arial" w:ascii="Helv;Arial" w:hAnsi="Helv;Arial"/>
          <w:color w:val="000000"/>
        </w:rPr>
        <w:t>SWB</w:t>
      </w:r>
    </w:p>
    <w:p>
      <w:pPr>
        <w:pStyle w:val="Normal"/>
        <w:tabs>
          <w:tab w:val="clear" w:pos="720"/>
          <w:tab w:val="left" w:pos="0" w:leader="none"/>
        </w:tabs>
        <w:rPr>
          <w:rFonts w:ascii="Helv;Arial" w:hAnsi="Helv;Arial" w:cs="Helv;Arial"/>
          <w:color w:val="000000"/>
        </w:rPr>
      </w:pPr>
      <w:r>
        <w:rPr>
          <w:rFonts w:cs="Helv;Arial" w:ascii="Helv;Arial" w:hAnsi="Helv;Arial"/>
          <w:color w:val="000000"/>
        </w:rPr>
        <w:t>4/23/01</w:t>
        <w:tab/>
        <w:tab/>
        <w:tab/>
        <w:tab/>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ms Rmn;Times New Roman" w:hAnsi="Tms Rmn;Times New Roman" w:eastAsia="Times New Roman" w:cs="Tms Rmn;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ms Rmn;Times New Roman" w:hAnsi="Tms Rmn;Times New Roman" w:eastAsia="Times New Roman" w:cs="Tms Rmn;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ms Rmn;Times New Roman" w:hAnsi="Tms Rmn;Times New Roman" w:eastAsia="Times New Roman" w:cs="Tms Rmn;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ms Rmn;Times New Roman" w:hAnsi="Tms Rmn;Times New Roman" w:eastAsia="Times New Roman" w:cs="Tms Rmn;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ms Rmn;Times New Roman" w:hAnsi="Tms Rmn;Times New Roman" w:eastAsia="Times New Roman" w:cs="Tms Rmn;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ms Rmn;Times New Roman" w:hAnsi="Tms Rmn;Times New Roman" w:eastAsia="Times New Roman" w:cs="Tms Rmn;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ms Rmn;Times New Roman" w:hAnsi="Tms Rmn;Times New Roman" w:eastAsia="Times New Roman" w:cs="Tms Rmn;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ms Rmn;Times New Roman" w:hAnsi="Tms Rmn;Times New Roman" w:eastAsia="Times New Roman" w:cs="Tms Rmn;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ms Rmn;Times New Roman" w:hAnsi="Tms Rmn;Times New Roman" w:eastAsia="Times New Roman" w:cs="Tms Rmn;Times New Roman"/>
      <w:color w:val="auto"/>
      <w:sz w:val="20"/>
      <w:szCs w:val="20"/>
      <w:lang w:val="en-CA"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2001-04-23T17:49:00Z</dcterms:created>
  <dc:creator>Sally Beck</dc:creator>
  <dc:description/>
  <dc:language>en-CA</dc:language>
  <cp:lastModifiedBy>Sally Beck</cp:lastModifiedBy>
  <dcterms:modified xsi:type="dcterms:W3CDTF">2001-04-23T17:49:00Z</dcterms:modified>
  <cp:revision>2</cp:revision>
  <dc:subject/>
  <dc:title>Commercialization of Mid and Back Office Services</dc:title>
</cp:coreProperties>
</file>