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tabs>
          <w:tab w:val="clear" w:pos="1440"/>
          <w:tab w:val="left" w:pos="7459" w:leader="none"/>
        </w:tabs>
        <w:spacing w:before="0" w:after="60"/>
        <w:rPr/>
      </w:pPr>
      <w:r>
        <w:rPr/>
        <w:tab/>
        <w:t>MEMORANDUM</w:t>
      </w:r>
    </w:p>
    <w:tbl>
      <w:tblPr>
        <w:tblW w:w="9090" w:type="dxa"/>
        <w:jc w:val="start"/>
        <w:tblInd w:w="108" w:type="dxa"/>
        <w:tblLayout w:type="fixed"/>
        <w:tblCellMar>
          <w:top w:w="0" w:type="dxa"/>
          <w:start w:w="108" w:type="dxa"/>
          <w:bottom w:w="0" w:type="dxa"/>
          <w:end w:w="108" w:type="dxa"/>
        </w:tblCellMar>
      </w:tblPr>
      <w:tblGrid>
        <w:gridCol w:w="1332"/>
        <w:gridCol w:w="7758"/>
      </w:tblGrid>
      <w:tr>
        <w:trPr/>
        <w:tc>
          <w:tcPr>
            <w:tcW w:w="1332" w:type="dxa"/>
            <w:tcBorders/>
          </w:tcPr>
          <w:p>
            <w:pPr>
              <w:pStyle w:val="Normal"/>
              <w:snapToGrid w:val="false"/>
              <w:ind w:start="-86" w:end="0"/>
              <w:rPr>
                <w:rFonts w:ascii="Arial Narrow" w:hAnsi="Arial Narrow" w:cs="Arial Narrow"/>
                <w:sz w:val="18"/>
              </w:rPr>
            </w:pPr>
            <w:r>
              <w:rPr>
                <w:rFonts w:cs="Arial Narrow" w:ascii="Arial Narrow" w:hAnsi="Arial Narrow"/>
                <w:sz w:val="18"/>
              </w:rPr>
            </w:r>
          </w:p>
          <w:p>
            <w:pPr>
              <w:pStyle w:val="Normal"/>
              <w:spacing w:before="40" w:after="0"/>
              <w:ind w:start="-90" w:end="0"/>
              <w:rPr>
                <w:rFonts w:ascii="Arial Narrow" w:hAnsi="Arial Narrow" w:cs="Arial Narrow"/>
                <w:sz w:val="18"/>
              </w:rPr>
            </w:pPr>
            <w:r>
              <w:rPr>
                <w:rFonts w:cs="Arial Narrow" w:ascii="Arial Narrow" w:hAnsi="Arial Narrow"/>
                <w:sz w:val="18"/>
              </w:rPr>
              <w:t>To:</w:t>
            </w:r>
          </w:p>
        </w:tc>
        <w:tc>
          <w:tcPr>
            <w:tcW w:w="7758" w:type="dxa"/>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pPr>
            <w:bookmarkStart w:id="0" w:name="To"/>
            <w:bookmarkEnd w:id="0"/>
            <w:r>
              <w:rPr/>
              <w:t>Paul Kaufman and Pamela Lesh</w:t>
            </w:r>
          </w:p>
        </w:tc>
      </w:tr>
      <w:tr>
        <w:trPr/>
        <w:tc>
          <w:tcPr>
            <w:tcW w:w="1332" w:type="dxa"/>
            <w:tcBorders/>
          </w:tcPr>
          <w:p>
            <w:pPr>
              <w:pStyle w:val="Normal"/>
              <w:snapToGrid w:val="false"/>
              <w:ind w:start="-86" w:end="0"/>
              <w:rPr>
                <w:rFonts w:ascii="Arial Narrow" w:hAnsi="Arial Narrow" w:cs="Arial Narrow"/>
                <w:sz w:val="18"/>
              </w:rPr>
            </w:pPr>
            <w:r>
              <w:rPr>
                <w:rFonts w:cs="Arial Narrow" w:ascii="Arial Narrow" w:hAnsi="Arial Narrow"/>
                <w:sz w:val="18"/>
              </w:rPr>
            </w:r>
          </w:p>
          <w:p>
            <w:pPr>
              <w:pStyle w:val="Normal"/>
              <w:spacing w:before="40" w:after="0"/>
              <w:ind w:start="-90" w:end="0"/>
              <w:rPr>
                <w:rFonts w:ascii="Arial Narrow" w:hAnsi="Arial Narrow" w:cs="Arial Narrow"/>
                <w:sz w:val="18"/>
              </w:rPr>
            </w:pPr>
            <w:r>
              <w:rPr>
                <w:rFonts w:cs="Arial Narrow" w:ascii="Arial Narrow" w:hAnsi="Arial Narrow"/>
                <w:sz w:val="18"/>
              </w:rPr>
              <w:t>From:</w:t>
            </w:r>
          </w:p>
        </w:tc>
        <w:tc>
          <w:tcPr>
            <w:tcW w:w="7758" w:type="dxa"/>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pPr>
            <w:bookmarkStart w:id="1" w:name="From"/>
            <w:bookmarkEnd w:id="1"/>
            <w:r>
              <w:rPr/>
              <w:t>Michael M. Morgan</w:t>
            </w:r>
          </w:p>
        </w:tc>
      </w:tr>
      <w:tr>
        <w:trPr/>
        <w:tc>
          <w:tcPr>
            <w:tcW w:w="1332" w:type="dxa"/>
            <w:tcBorders/>
          </w:tcPr>
          <w:p>
            <w:pPr>
              <w:pStyle w:val="Normal"/>
              <w:snapToGrid w:val="false"/>
              <w:ind w:start="-86" w:end="0"/>
              <w:rPr>
                <w:rFonts w:ascii="Arial Narrow" w:hAnsi="Arial Narrow" w:cs="Arial Narrow"/>
                <w:sz w:val="18"/>
              </w:rPr>
            </w:pPr>
            <w:r>
              <w:rPr>
                <w:rFonts w:cs="Arial Narrow" w:ascii="Arial Narrow" w:hAnsi="Arial Narrow"/>
                <w:sz w:val="18"/>
              </w:rPr>
            </w:r>
          </w:p>
          <w:p>
            <w:pPr>
              <w:pStyle w:val="Normal"/>
              <w:spacing w:before="40" w:after="0"/>
              <w:ind w:start="-90" w:end="0"/>
              <w:rPr>
                <w:rFonts w:ascii="Arial Narrow" w:hAnsi="Arial Narrow" w:cs="Arial Narrow"/>
                <w:sz w:val="18"/>
              </w:rPr>
            </w:pPr>
            <w:r>
              <w:rPr>
                <w:rFonts w:cs="Arial Narrow" w:ascii="Arial Narrow" w:hAnsi="Arial Narrow"/>
                <w:sz w:val="18"/>
              </w:rPr>
              <w:t>Date:</w:t>
            </w:r>
          </w:p>
        </w:tc>
        <w:tc>
          <w:tcPr>
            <w:tcW w:w="7758" w:type="dxa"/>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pPr>
            <w:bookmarkStart w:id="2" w:name="Date"/>
            <w:bookmarkEnd w:id="2"/>
            <w:r>
              <w:rPr/>
              <w:fldChar w:fldCharType="begin"/>
            </w:r>
            <w:r>
              <w:rPr/>
              <w:instrText xml:space="preserve"> DATE \@"MMMM\ d', 'yyyy" </w:instrText>
            </w:r>
            <w:r>
              <w:rPr/>
              <w:fldChar w:fldCharType="separate"/>
            </w:r>
            <w:r>
              <w:rPr/>
              <w:t>September 28, 2025</w:t>
            </w:r>
            <w:r>
              <w:rPr/>
              <w:fldChar w:fldCharType="end"/>
            </w:r>
          </w:p>
        </w:tc>
      </w:tr>
      <w:tr>
        <w:trPr/>
        <w:tc>
          <w:tcPr>
            <w:tcW w:w="1332" w:type="dxa"/>
            <w:tcBorders/>
          </w:tcPr>
          <w:p>
            <w:pPr>
              <w:pStyle w:val="Normal"/>
              <w:snapToGrid w:val="false"/>
              <w:ind w:start="-86" w:end="0"/>
              <w:rPr>
                <w:rFonts w:ascii="Arial Narrow" w:hAnsi="Arial Narrow" w:cs="Arial Narrow"/>
                <w:sz w:val="18"/>
              </w:rPr>
            </w:pPr>
            <w:r>
              <w:rPr>
                <w:rFonts w:cs="Arial Narrow" w:ascii="Arial Narrow" w:hAnsi="Arial Narrow"/>
                <w:sz w:val="18"/>
              </w:rPr>
            </w:r>
          </w:p>
          <w:p>
            <w:pPr>
              <w:pStyle w:val="Normal"/>
              <w:spacing w:before="40" w:after="0"/>
              <w:ind w:start="-90" w:end="0"/>
              <w:rPr>
                <w:rFonts w:ascii="Arial Narrow" w:hAnsi="Arial Narrow" w:cs="Arial Narrow"/>
                <w:sz w:val="18"/>
              </w:rPr>
            </w:pPr>
            <w:r>
              <w:rPr>
                <w:rFonts w:cs="Arial Narrow" w:ascii="Arial Narrow" w:hAnsi="Arial Narrow"/>
                <w:sz w:val="18"/>
              </w:rPr>
              <w:t>Subject:</w:t>
            </w:r>
          </w:p>
        </w:tc>
        <w:tc>
          <w:tcPr>
            <w:tcW w:w="7758" w:type="dxa"/>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pPr>
            <w:bookmarkStart w:id="3" w:name="Subject"/>
            <w:bookmarkEnd w:id="3"/>
            <w:r>
              <w:rPr/>
              <w:t>Customer Benefits From NNW-PGE Transaction</w:t>
            </w:r>
          </w:p>
        </w:tc>
      </w:tr>
      <w:tr>
        <w:trPr/>
        <w:tc>
          <w:tcPr>
            <w:tcW w:w="1332" w:type="dxa"/>
            <w:tcBorders>
              <w:bottom w:val="single" w:sz="18" w:space="0" w:color="000000"/>
            </w:tcBorders>
          </w:tcPr>
          <w:p>
            <w:pPr>
              <w:pStyle w:val="Normal"/>
              <w:snapToGrid w:val="false"/>
              <w:spacing w:lineRule="exact" w:line="180"/>
              <w:rPr>
                <w:rFonts w:ascii="Arial Narrow" w:hAnsi="Arial Narrow" w:cs="Arial Narrow"/>
                <w:sz w:val="18"/>
              </w:rPr>
            </w:pPr>
            <w:r>
              <w:rPr>
                <w:rFonts w:cs="Arial Narrow" w:ascii="Arial Narrow" w:hAnsi="Arial Narrow"/>
                <w:sz w:val="18"/>
              </w:rPr>
            </w:r>
          </w:p>
        </w:tc>
        <w:tc>
          <w:tcPr>
            <w:tcW w:w="7758" w:type="dxa"/>
            <w:tcBorders>
              <w:bottom w:val="single" w:sz="18" w:space="0" w:color="000000"/>
            </w:tcBorders>
          </w:tcPr>
          <w:p>
            <w:pPr>
              <w:pStyle w:val="Normal"/>
              <w:snapToGrid w:val="false"/>
              <w:spacing w:lineRule="exact" w:line="180"/>
              <w:rPr>
                <w:rFonts w:ascii="Arial Narrow" w:hAnsi="Arial Narrow" w:cs="Arial Narrow"/>
                <w:sz w:val="18"/>
              </w:rPr>
            </w:pPr>
            <w:r>
              <w:rPr>
                <w:rFonts w:cs="Arial Narrow" w:ascii="Arial Narrow" w:hAnsi="Arial Narrow"/>
                <w:sz w:val="18"/>
              </w:rPr>
            </w:r>
          </w:p>
        </w:tc>
      </w:tr>
    </w:tbl>
    <w:p>
      <w:pPr>
        <w:pStyle w:val="Normal"/>
        <w:rPr/>
      </w:pPr>
      <w:r>
        <w:rPr/>
      </w:r>
    </w:p>
    <w:p>
      <w:pPr>
        <w:pStyle w:val="Normal"/>
        <w:rPr/>
      </w:pPr>
      <w:r>
        <w:rPr/>
        <w:tab/>
      </w:r>
      <w:bookmarkStart w:id="4" w:name="StartofMemo"/>
      <w:bookmarkEnd w:id="4"/>
      <w:r>
        <w:rPr/>
        <w:t>The financial objective of the consolidated companies is to achieve a consolidated debt to equity ratio of not more than 70% debt to not less than 30% equity within five years after the transaction closes.  This memorandum explains the benefits to the customers of NNW and PGE both before and after the consolidated companies meet this financial objective.</w:t>
      </w:r>
    </w:p>
    <w:p>
      <w:pPr>
        <w:pStyle w:val="Normal"/>
        <w:rPr/>
      </w:pPr>
      <w:r>
        <w:rPr/>
      </w:r>
    </w:p>
    <w:p>
      <w:pPr>
        <w:pStyle w:val="Normal"/>
        <w:rPr>
          <w:b/>
          <w:bCs/>
        </w:rPr>
      </w:pPr>
      <w:r>
        <w:rPr>
          <w:b/>
          <w:bCs/>
        </w:rPr>
        <w:t xml:space="preserve">CUSTOMER BENEFITS WHEN FINANCIAL OBJECTIVE REACHED  </w:t>
      </w:r>
    </w:p>
    <w:p>
      <w:pPr>
        <w:pStyle w:val="Normal"/>
        <w:rPr>
          <w:b/>
          <w:bCs/>
        </w:rPr>
      </w:pPr>
      <w:r>
        <w:rPr>
          <w:b/>
          <w:bCs/>
        </w:rPr>
      </w:r>
    </w:p>
    <w:p>
      <w:pPr>
        <w:pStyle w:val="Normal"/>
        <w:rPr/>
      </w:pPr>
      <w:r>
        <w:rPr/>
        <w:tab/>
        <w:t>When the consolidated companies reach the 70/30 debt to equity ratio, but no earlier than four years and no later than six years after the transaction closes, NNW and PGE will each file either (1) a rate case that will pass on to customers all future savings resulting from the transaction, or (2) an adjustment tariff to pass on to customers 50% of the forecast future savings resulting from the transaction.  To accomplish the latter, NNW and PGE will track actual savings for the purpose of making a future forecast.  Option (2) does not preclude the commission from investigating the rates of either utility electing option (2).</w:t>
      </w:r>
    </w:p>
    <w:p>
      <w:pPr>
        <w:pStyle w:val="Normal"/>
        <w:rPr/>
      </w:pPr>
      <w:r>
        <w:rPr/>
      </w:r>
    </w:p>
    <w:p>
      <w:pPr>
        <w:pStyle w:val="Normal"/>
        <w:rPr/>
      </w:pPr>
      <w:r>
        <w:rPr/>
      </w:r>
    </w:p>
    <w:p>
      <w:pPr>
        <w:pStyle w:val="Normal"/>
        <w:rPr>
          <w:b/>
          <w:bCs/>
        </w:rPr>
      </w:pPr>
      <w:r>
        <w:rPr>
          <w:b/>
          <w:bCs/>
        </w:rPr>
        <w:t xml:space="preserve">CUSTOMER BENEFITS BEFORE OVERALL OBJECTIVE REACHED  </w:t>
      </w:r>
    </w:p>
    <w:p>
      <w:pPr>
        <w:pStyle w:val="Normal"/>
        <w:rPr>
          <w:b/>
          <w:bCs/>
        </w:rPr>
      </w:pPr>
      <w:r>
        <w:rPr>
          <w:b/>
          <w:bCs/>
        </w:rPr>
      </w:r>
    </w:p>
    <w:p>
      <w:pPr>
        <w:pStyle w:val="Normal"/>
        <w:rPr/>
      </w:pPr>
      <w:r>
        <w:rPr>
          <w:b/>
          <w:bCs/>
        </w:rPr>
        <w:t>1.</w:t>
      </w:r>
      <w:r>
        <w:rPr/>
        <w:t xml:space="preserve">  </w:t>
      </w:r>
      <w:r>
        <w:rPr>
          <w:b/>
          <w:bCs/>
        </w:rPr>
        <w:t>Generation</w:t>
      </w:r>
      <w:r>
        <w:rPr/>
        <w:t xml:space="preserve"> </w:t>
      </w:r>
      <w:r>
        <w:rPr>
          <w:b/>
          <w:bCs/>
        </w:rPr>
        <w:t>Savings</w:t>
      </w:r>
      <w:r>
        <w:rPr/>
        <w:t xml:space="preserve">  We will propose that the commission adopt an agreed split of future savings between NNW and PGE (say 75% to PGE and 25% to NNW).  We will propose that the commission adopt an agreed allocation of the PGE  A&amp;G savings attributable to PGE’s generation function (say 30% of the 75% allocated to PGE).  Annually, when PGE calculates the long-term resource value in its Resource Valuation Mechanism (RVM), PGE will pass the allocated A&amp;G savings to customers either through a forecast of savings for the test year or through a guaranteed amount.  The forecast and the guaranteed amount for 2003 will be approximately one-third of the amount for later years because of the time required to achieve savings.  </w:t>
      </w:r>
    </w:p>
    <w:p>
      <w:pPr>
        <w:pStyle w:val="Normal"/>
        <w:rPr/>
      </w:pPr>
      <w:r>
        <w:rPr/>
      </w:r>
    </w:p>
    <w:p>
      <w:pPr>
        <w:pStyle w:val="Normal"/>
        <w:rPr/>
      </w:pPr>
      <w:r>
        <w:rPr/>
        <w:tab/>
        <w:t>A guarantee assures a benefit to customers.  In addition, a guaranteed benefit plus an agreement between PGE and the commission that fixes PGE’s non-fuel fixed O&amp;M for a four year period as proposed by PGE in UE 115, essentially eliminates the need for a generation rate case for four years.</w:t>
      </w:r>
    </w:p>
    <w:p>
      <w:pPr>
        <w:pStyle w:val="Normal"/>
        <w:rPr/>
      </w:pPr>
      <w:r>
        <w:rPr/>
      </w:r>
    </w:p>
    <w:p>
      <w:pPr>
        <w:pStyle w:val="Normal"/>
        <w:rPr/>
      </w:pPr>
      <w:r>
        <w:rPr>
          <w:b/>
          <w:bCs/>
        </w:rPr>
        <w:t xml:space="preserve">2.  Gas Savings  </w:t>
      </w:r>
      <w:r>
        <w:rPr/>
        <w:t xml:space="preserve">NNW and PGE believe that they should combine their gas purchasing and gas operations.  This will produce lower purchase costs for both companies and other operating savings.  These savings will automatically be passed to NNW’s customers through the NNW PGA.  PGE’s customers will benefit from lower gas costs forecast in rates.  In addition, regardless of whether PGE has a PCA in effect, PGE will annually track its gas costs against the forecast gas costs included in rates.  Annually, PGE will file an adjustment tariff to pass to customers (all of or a percentage of?) the amount by which the forecast gas costs exceed actual gas costs.  </w:t>
      </w:r>
    </w:p>
    <w:p>
      <w:pPr>
        <w:pStyle w:val="Normal"/>
        <w:rPr/>
      </w:pPr>
      <w:r>
        <w:rPr/>
      </w:r>
    </w:p>
    <w:p>
      <w:pPr>
        <w:pStyle w:val="Normal"/>
        <w:rPr/>
      </w:pPr>
      <w:r>
        <w:rPr>
          <w:b/>
          <w:bCs/>
        </w:rPr>
        <w:t xml:space="preserve">3.  Distribution Savings  </w:t>
      </w:r>
      <w:r>
        <w:rPr/>
        <w:t>NNW has in place a mechanism to share savings with customers if NNW’s earnings exceed its allowed ROE by more than 300 basis points.  PGE will adopt a similar mechanism to be used for its distribution function.  PGE will share with customers 50%</w:t>
      </w:r>
      <w:r>
        <w:rPr>
          <w:b/>
          <w:bCs/>
        </w:rPr>
        <w:t xml:space="preserve"> </w:t>
      </w:r>
      <w:r>
        <w:rPr/>
        <w:t xml:space="preserve">of the amount by which its annual earnings on distribution exceed its allowed ROE by 300 basis points.  Otherwise, PGE will retain all savings from its distribution function.  </w:t>
      </w:r>
    </w:p>
    <w:p>
      <w:pPr>
        <w:pStyle w:val="Normal"/>
        <w:rPr/>
      </w:pPr>
      <w:r>
        <w:rPr/>
      </w:r>
    </w:p>
    <w:p>
      <w:pPr>
        <w:pStyle w:val="Normal"/>
        <w:rPr/>
      </w:pPr>
      <w:r>
        <w:rPr>
          <w:b/>
          <w:bCs/>
        </w:rPr>
        <w:t xml:space="preserve">4.  Costs for Rate Case and Semi-annual Reporting  </w:t>
      </w:r>
      <w:r>
        <w:rPr/>
        <w:t>For purposes of semi-annual reporting and for determining past costs and forecasting future costs in rate cases, the commission will use NNW’s and PGE’s 2002 costs (or cost per customer?) and will not take into account any of the savings from the transaction retained by NNW or PGE or passed on to customers.  (I’m not sure how this is meant to apply).</w:t>
      </w:r>
      <w:r>
        <w:rPr>
          <w:b/>
          <w:bCs/>
        </w:rPr>
        <w:t xml:space="preserve">        </w:t>
      </w:r>
    </w:p>
    <w:p>
      <w:pPr>
        <w:pStyle w:val="Normal"/>
        <w:rPr>
          <w:b/>
          <w:bCs/>
        </w:rPr>
      </w:pPr>
      <w:r>
        <w:rPr>
          <w:b/>
          <w:bCs/>
        </w:rPr>
      </w:r>
    </w:p>
    <w:p>
      <w:pPr>
        <w:pStyle w:val="Normal"/>
        <w:rPr/>
      </w:pPr>
      <w:r>
        <w:rPr/>
        <w:t>MMM/mmm</w:t>
      </w:r>
    </w:p>
    <w:p>
      <w:pPr>
        <w:pStyle w:val="Normal"/>
        <w:rPr/>
      </w:pPr>
      <w:r>
        <w:rPr/>
      </w:r>
    </w:p>
    <w:p>
      <w:pPr>
        <w:pStyle w:val="Normal"/>
        <w:spacing w:before="240" w:after="0"/>
        <w:rPr>
          <w:caps/>
          <w:sz w:val="16"/>
        </w:rPr>
      </w:pPr>
      <w:bookmarkStart w:id="5" w:name="FileNum"/>
      <w:r>
        <w:rPr>
          <w:caps/>
          <w:sz w:val="16"/>
        </w:rPr>
        <w:fldChar w:fldCharType="begin"/>
      </w:r>
      <w:r>
        <w:rPr>
          <w:caps/>
          <w:sz w:val="16"/>
        </w:rPr>
        <w:instrText xml:space="preserve"> DOCPROPERTY "Doc No."</w:instrText>
      </w:r>
      <w:r>
        <w:rPr>
          <w:caps/>
          <w:sz w:val="16"/>
        </w:rPr>
        <w:fldChar w:fldCharType="separate"/>
      </w:r>
      <w:r>
        <w:rPr>
          <w:caps/>
          <w:sz w:val="16"/>
        </w:rPr>
        <w:t>009697\00003\422620 V001</w:t>
      </w:r>
      <w:r>
        <w:rPr>
          <w:caps/>
          <w:sz w:val="16"/>
        </w:rPr>
        <w:fldChar w:fldCharType="end"/>
      </w:r>
      <w:bookmarkEnd w:id="5"/>
    </w:p>
    <w:sectPr>
      <w:headerReference w:type="default" r:id="rId2"/>
      <w:headerReference w:type="first" r:id="rId3"/>
      <w:type w:val="nextPage"/>
      <w:pgSz w:w="12240" w:h="15840"/>
      <w:pgMar w:left="1714" w:right="1440" w:gutter="0" w:header="720" w:top="1008" w:footer="0" w:bottom="1440"/>
      <w:pgNumType w:fmt="decimal"/>
      <w:formProt w:val="false"/>
      <w:titlePg/>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Memorandum</w:t>
    </w:r>
  </w:p>
  <w:p>
    <w:pPr>
      <w:pStyle w:val="Normal"/>
      <w:rPr/>
    </w:pPr>
    <w:r>
      <w:rPr/>
      <w:fldChar w:fldCharType="begin"/>
    </w:r>
    <w:r>
      <w:rPr/>
      <w:instrText xml:space="preserve"> DATE \@"MMMM\ d', 'yyyy" </w:instrText>
    </w:r>
    <w:r>
      <w:rPr/>
      <w:fldChar w:fldCharType="separate"/>
    </w:r>
    <w:r>
      <w:rPr/>
      <w:t>September 28, 2025</w:t>
    </w:r>
    <w:r>
      <w:rPr/>
      <w:fldChar w:fldCharType="end"/>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rPr>
    </w:pPr>
    <w:bookmarkStart w:id="6" w:name="_950533174"/>
    <w:bookmarkStart w:id="7" w:name="_950533082"/>
    <w:bookmarkStart w:id="8" w:name="_950532800"/>
    <w:bookmarkStart w:id="9" w:name="_950528673"/>
    <w:bookmarkStart w:id="10" w:name="_949835821"/>
    <w:bookmarkStart w:id="11" w:name="_926667454"/>
    <w:bookmarkStart w:id="12" w:name="_926666915"/>
    <w:bookmarkStart w:id="13" w:name="_918248034"/>
    <w:bookmarkStart w:id="14" w:name="_918247995"/>
    <w:bookmarkStart w:id="15" w:name="_918247936"/>
    <w:bookmarkStart w:id="16" w:name="_918246191"/>
    <w:bookmarkStart w:id="17" w:name="_918246185"/>
    <w:bookmarkEnd w:id="6"/>
    <w:bookmarkEnd w:id="7"/>
    <w:bookmarkEnd w:id="8"/>
    <w:bookmarkEnd w:id="9"/>
    <w:bookmarkEnd w:id="10"/>
    <w:bookmarkEnd w:id="11"/>
    <w:bookmarkEnd w:id="12"/>
    <w:bookmarkEnd w:id="13"/>
    <w:bookmarkEnd w:id="14"/>
    <w:bookmarkEnd w:id="15"/>
    <w:bookmarkEnd w:id="16"/>
    <w:bookmarkEnd w:id="17"/>
    <w:r>
      <w:rPr/>
      <w:object w:dxaOrig="9360" w:dyaOrig="144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53.95pt;height:69.8pt" filled="f" o:ole="">
          <v:imagedata r:id="rId2" o:title=""/>
        </v:shape>
        <o:OLEObject Type="Embed" ProgID="" ShapeID="ole_rId1" DrawAspect="Content" ObjectID="_2083039139" r:id="rId1"/>
      </w:object>
    </w:r>
  </w:p>
  <w:p>
    <w:pPr>
      <w:pStyle w:val="Header"/>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decimal"/>
      <w:lvlText w:val="%8."/>
      <w:lvlJc w:val="start"/>
      <w:pPr>
        <w:tabs>
          <w:tab w:val="num" w:pos="720"/>
        </w:tabs>
        <w:ind w:start="0" w:hanging="0"/>
      </w:pPr>
    </w:lvl>
    <w:lvl w:ilvl="8">
      <w:start w:val="1"/>
      <w:pStyle w:val="Heading9"/>
      <w:numFmt w:val="decimal"/>
      <w:lvlText w:val="%9."/>
      <w:lvlJc w:val="start"/>
      <w:pPr>
        <w:tabs>
          <w:tab w:val="num" w:pos="720"/>
        </w:tabs>
        <w:ind w:start="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tabs>
        <w:tab w:val="clear" w:pos="1440"/>
      </w:tabs>
      <w:jc w:val="center"/>
      <w:outlineLvl w:val="0"/>
    </w:pPr>
    <w:rPr/>
  </w:style>
  <w:style w:type="paragraph" w:styleId="Heading2">
    <w:name w:val="heading 2"/>
    <w:basedOn w:val="Normal"/>
    <w:next w:val="Normal"/>
    <w:qFormat/>
    <w:pPr>
      <w:tabs>
        <w:tab w:val="clear" w:pos="1440"/>
      </w:tabs>
      <w:outlineLvl w:val="1"/>
    </w:pPr>
    <w:rPr/>
  </w:style>
  <w:style w:type="paragraph" w:styleId="Heading3">
    <w:name w:val="heading 3"/>
    <w:basedOn w:val="Normal"/>
    <w:next w:val="NormalIndent"/>
    <w:qFormat/>
    <w:pPr>
      <w:tabs>
        <w:tab w:val="clear" w:pos="1440"/>
      </w:tabs>
      <w:ind w:hanging="0" w:start="720" w:end="0"/>
      <w:outlineLvl w:val="2"/>
    </w:pPr>
    <w:rPr/>
  </w:style>
  <w:style w:type="paragraph" w:styleId="Heading4">
    <w:name w:val="heading 4"/>
    <w:basedOn w:val="Normal"/>
    <w:next w:val="NormalIndent"/>
    <w:qFormat/>
    <w:pPr>
      <w:tabs>
        <w:tab w:val="clear" w:pos="1440"/>
      </w:tabs>
      <w:ind w:hanging="0" w:start="1440" w:end="0"/>
      <w:outlineLvl w:val="3"/>
    </w:pPr>
    <w:rPr/>
  </w:style>
  <w:style w:type="paragraph" w:styleId="Heading5">
    <w:name w:val="heading 5"/>
    <w:basedOn w:val="Normal"/>
    <w:next w:val="NormalIndent"/>
    <w:qFormat/>
    <w:pPr>
      <w:tabs>
        <w:tab w:val="clear" w:pos="1440"/>
      </w:tabs>
      <w:ind w:hanging="0" w:start="2160" w:end="0"/>
      <w:outlineLvl w:val="4"/>
    </w:pPr>
    <w:rPr/>
  </w:style>
  <w:style w:type="paragraph" w:styleId="Heading6">
    <w:name w:val="heading 6"/>
    <w:basedOn w:val="Normal"/>
    <w:next w:val="NormalIndent"/>
    <w:qFormat/>
    <w:pPr>
      <w:tabs>
        <w:tab w:val="clear" w:pos="1440"/>
      </w:tabs>
      <w:ind w:hanging="0" w:start="2880" w:end="0"/>
      <w:outlineLvl w:val="5"/>
    </w:pPr>
    <w:rPr/>
  </w:style>
  <w:style w:type="paragraph" w:styleId="Heading7">
    <w:name w:val="heading 7"/>
    <w:basedOn w:val="Normal"/>
    <w:next w:val="BodyText"/>
    <w:qFormat/>
    <w:pPr>
      <w:keepNext w:val="true"/>
      <w:keepLines/>
      <w:numPr>
        <w:ilvl w:val="6"/>
        <w:numId w:val="1"/>
      </w:numPr>
      <w:spacing w:before="0" w:after="240"/>
      <w:jc w:val="both"/>
      <w:outlineLvl w:val="6"/>
    </w:pPr>
    <w:rPr>
      <w:u w:val="single"/>
    </w:rPr>
  </w:style>
  <w:style w:type="paragraph" w:styleId="Heading8">
    <w:name w:val="heading 8"/>
    <w:basedOn w:val="Normal"/>
    <w:next w:val="BodyText"/>
    <w:qFormat/>
    <w:pPr>
      <w:keepNext w:val="true"/>
      <w:keepLines/>
      <w:numPr>
        <w:ilvl w:val="7"/>
        <w:numId w:val="1"/>
      </w:numPr>
      <w:spacing w:before="0" w:after="240"/>
      <w:ind w:firstLine="1440" w:start="0" w:end="0"/>
      <w:outlineLvl w:val="7"/>
    </w:pPr>
    <w:rPr/>
  </w:style>
  <w:style w:type="paragraph" w:styleId="Heading9">
    <w:name w:val="heading 9"/>
    <w:basedOn w:val="Normal"/>
    <w:next w:val="BodyText"/>
    <w:qFormat/>
    <w:pPr>
      <w:keepNext w:val="true"/>
      <w:keepLines/>
      <w:numPr>
        <w:ilvl w:val="8"/>
        <w:numId w:val="1"/>
      </w:numPr>
      <w:spacing w:before="0" w:after="240"/>
      <w:ind w:firstLine="1440" w:start="0" w:end="0"/>
      <w:jc w:val="both"/>
      <w:outlineLvl w:val="8"/>
    </w:pPr>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Text2">
    <w:name w:val="Body Text 2"/>
    <w:basedOn w:val="Normal"/>
    <w:qFormat/>
    <w:pPr>
      <w:spacing w:lineRule="auto" w:line="480"/>
    </w:pPr>
    <w:rPr/>
  </w:style>
  <w:style w:type="paragraph" w:styleId="BodyTextIndent">
    <w:name w:val="Body Text Indent"/>
    <w:basedOn w:val="Normal"/>
    <w:pPr>
      <w:spacing w:before="0" w:after="240"/>
      <w:ind w:hanging="0" w:start="360" w:end="0"/>
    </w:pPr>
    <w:rPr/>
  </w:style>
  <w:style w:type="paragraph" w:styleId="Closing">
    <w:name w:val="Closing"/>
    <w:basedOn w:val="Normal"/>
    <w:qFormat/>
    <w:pPr>
      <w:keepNext w:val="true"/>
      <w:keepLines/>
      <w:spacing w:before="240" w:after="0"/>
      <w:ind w:hanging="0" w:start="46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clear" w:pos="1440"/>
        <w:tab w:val="center" w:pos="4320" w:leader="none"/>
        <w:tab w:val="right" w:pos="8640" w:leader="none"/>
      </w:tabs>
    </w:pPr>
    <w:rPr>
      <w:sz w:val="16"/>
    </w:rPr>
  </w:style>
  <w:style w:type="paragraph" w:styleId="FootnoteText">
    <w:name w:val="footnote text"/>
    <w:basedOn w:val="Normal"/>
    <w:pPr>
      <w:tabs>
        <w:tab w:val="clear" w:pos="1440"/>
      </w:tabs>
      <w:spacing w:before="0" w:after="120"/>
    </w:pPr>
    <w:rPr>
      <w:sz w:val="20"/>
    </w:rPr>
  </w:style>
  <w:style w:type="paragraph" w:styleId="Header">
    <w:name w:val="header"/>
    <w:basedOn w:val="Normal"/>
    <w:pPr>
      <w:tabs>
        <w:tab w:val="clear" w:pos="1440"/>
        <w:tab w:val="center" w:pos="4320" w:leader="none"/>
        <w:tab w:val="right" w:pos="8640" w:leader="none"/>
      </w:tabs>
    </w:pPr>
    <w:rPr/>
  </w:style>
  <w:style w:type="paragraph" w:styleId="Re">
    <w:name w:val="Re:"/>
    <w:basedOn w:val="Normal"/>
    <w:qFormat/>
    <w:pPr>
      <w:ind w:hanging="720" w:start="2160" w:end="0"/>
    </w:pPr>
    <w:rPr/>
  </w:style>
  <w:style w:type="paragraph" w:styleId="Signature">
    <w:name w:val="Signature"/>
    <w:basedOn w:val="Normal"/>
    <w:pPr>
      <w:keepNext w:val="true"/>
      <w:keepLines/>
      <w:tabs>
        <w:tab w:val="clear" w:pos="1440"/>
      </w:tabs>
      <w:ind w:hanging="0" w:start="4680" w:end="0"/>
    </w:pPr>
    <w:rPr/>
  </w:style>
  <w:style w:type="paragraph" w:styleId="TOC1">
    <w:name w:val="toc 1"/>
    <w:basedOn w:val="Normal"/>
    <w:next w:val="Normal"/>
    <w:pPr>
      <w:tabs>
        <w:tab w:val="clear" w:pos="1440"/>
      </w:tabs>
      <w:ind w:hanging="0" w:start="0" w:end="720"/>
    </w:pPr>
    <w:rPr/>
  </w:style>
  <w:style w:type="paragraph" w:styleId="TOC2">
    <w:name w:val="toc 2"/>
    <w:basedOn w:val="Normal"/>
    <w:next w:val="Normal"/>
    <w:pPr>
      <w:tabs>
        <w:tab w:val="clear" w:pos="1440"/>
      </w:tabs>
      <w:ind w:hanging="0" w:start="720" w:end="720"/>
    </w:pPr>
    <w:rPr/>
  </w:style>
  <w:style w:type="paragraph" w:styleId="TOC3">
    <w:name w:val="toc 3"/>
    <w:basedOn w:val="Normal"/>
    <w:next w:val="Normal"/>
    <w:pPr>
      <w:tabs>
        <w:tab w:val="clear" w:pos="1440"/>
      </w:tabs>
      <w:ind w:hanging="0" w:start="1440" w:end="720"/>
    </w:pPr>
    <w:rPr/>
  </w:style>
  <w:style w:type="paragraph" w:styleId="TOC4">
    <w:name w:val="toc 4"/>
    <w:basedOn w:val="Normal"/>
    <w:next w:val="Normal"/>
    <w:pPr>
      <w:tabs>
        <w:tab w:val="clear" w:pos="1440"/>
      </w:tabs>
      <w:ind w:hanging="0" w:start="2160" w:end="720"/>
    </w:pPr>
    <w:rPr/>
  </w:style>
  <w:style w:type="paragraph" w:styleId="TOC5">
    <w:name w:val="toc 5"/>
    <w:basedOn w:val="Normal"/>
    <w:next w:val="Normal"/>
    <w:pPr>
      <w:tabs>
        <w:tab w:val="clear" w:pos="1440"/>
      </w:tabs>
      <w:ind w:hanging="0" w:start="2880" w:end="720"/>
    </w:pPr>
    <w:rPr/>
  </w:style>
  <w:style w:type="paragraph" w:styleId="TOC6">
    <w:name w:val="toc 6"/>
    <w:basedOn w:val="Normal"/>
    <w:next w:val="Normal"/>
    <w:pPr>
      <w:tabs>
        <w:tab w:val="clear" w:pos="1440"/>
      </w:tabs>
      <w:ind w:hanging="0" w:start="3600" w:end="720"/>
    </w:pPr>
    <w:rPr/>
  </w:style>
  <w:style w:type="paragraph" w:styleId="TOC7">
    <w:name w:val="toc 7"/>
    <w:basedOn w:val="Normal"/>
    <w:next w:val="Normal"/>
    <w:pPr>
      <w:tabs>
        <w:tab w:val="clear" w:pos="1440"/>
      </w:tabs>
      <w:ind w:hanging="0" w:start="4320" w:end="720"/>
    </w:pPr>
    <w:rPr/>
  </w:style>
  <w:style w:type="paragraph" w:styleId="TOC8">
    <w:name w:val="toc 8"/>
    <w:basedOn w:val="Normal"/>
    <w:next w:val="Normal"/>
    <w:pPr>
      <w:tabs>
        <w:tab w:val="clear" w:pos="1440"/>
      </w:tabs>
      <w:ind w:hanging="0" w:start="504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KI - Memo</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2001-10-23T14:49:00Z</dcterms:created>
  <dc:creator>(MIKE)</dc:creator>
  <dc:description/>
  <dc:language>en-CA</dc:language>
  <cp:lastModifiedBy>Michael M. Morgan</cp:lastModifiedBy>
  <cp:lastPrinted>2001-10-23T10:27:00Z</cp:lastPrinted>
  <dcterms:modified xsi:type="dcterms:W3CDTF">2001-10-23T14:49:00Z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Attorneys for">
    <vt:lpwstr>   </vt:lpwstr>
  </property>
  <property fmtid="{D5CDD505-2E9C-101B-9397-08002B2CF9AE}" pid="4" name="Caption Bank Document">
    <vt:lpwstr>   </vt:lpwstr>
  </property>
  <property fmtid="{D5CDD505-2E9C-101B-9397-08002B2CF9AE}" pid="5" name="Caption Client Name">
    <vt:lpwstr>   </vt:lpwstr>
  </property>
  <property fmtid="{D5CDD505-2E9C-101B-9397-08002B2CF9AE}" pid="6" name="Caption Opp Counsel Client Name">
    <vt:lpwstr>   </vt:lpwstr>
  </property>
  <property fmtid="{D5CDD505-2E9C-101B-9397-08002B2CF9AE}" pid="7" name="Caption Opp Counsel for">
    <vt:lpwstr>   </vt:lpwstr>
  </property>
  <property fmtid="{D5CDD505-2E9C-101B-9397-08002B2CF9AE}" pid="8" name="Cause No.">
    <vt:lpwstr> </vt:lpwstr>
  </property>
  <property fmtid="{D5CDD505-2E9C-101B-9397-08002B2CF9AE}" pid="9" name="Client Name">
    <vt:lpwstr>Enron Corporation</vt:lpwstr>
  </property>
  <property fmtid="{D5CDD505-2E9C-101B-9397-08002B2CF9AE}" pid="10" name="Client No.">
    <vt:lpwstr>009697</vt:lpwstr>
  </property>
  <property fmtid="{D5CDD505-2E9C-101B-9397-08002B2CF9AE}" pid="11" name="Doc Name">
    <vt:lpwstr>Document7</vt:lpwstr>
  </property>
  <property fmtid="{D5CDD505-2E9C-101B-9397-08002B2CF9AE}" pid="12" name="Doc No.">
    <vt:lpwstr>009697\00003\422620 V001</vt:lpwstr>
  </property>
  <property fmtid="{D5CDD505-2E9C-101B-9397-08002B2CF9AE}" pid="13" name="Doc Path">
    <vt:lpwstr/>
  </property>
  <property fmtid="{D5CDD505-2E9C-101B-9397-08002B2CF9AE}" pid="14" name="Document Management Library">
    <vt:lpwstr>PDX</vt:lpwstr>
  </property>
  <property fmtid="{D5CDD505-2E9C-101B-9397-08002B2CF9AE}" pid="15" name="Local Office">
    <vt:lpwstr>Portland, OR  97204-2099</vt:lpwstr>
  </property>
  <property fmtid="{D5CDD505-2E9C-101B-9397-08002B2CF9AE}" pid="16" name="Matter Name">
    <vt:lpwstr>Project Twist</vt:lpwstr>
  </property>
  <property fmtid="{D5CDD505-2E9C-101B-9397-08002B2CF9AE}" pid="17" name="Matter No.">
    <vt:lpwstr>00003</vt:lpwstr>
  </property>
  <property fmtid="{D5CDD505-2E9C-101B-9397-08002B2CF9AE}" pid="18" name="Orig Doc Path">
    <vt:lpwstr/>
  </property>
  <property fmtid="{D5CDD505-2E9C-101B-9397-08002B2CF9AE}" pid="19" name="Parties">
    <vt:lpwstr> </vt:lpwstr>
  </property>
  <property fmtid="{D5CDD505-2E9C-101B-9397-08002B2CF9AE}" pid="20" name="Redline">
    <vt:lpwstr>   </vt:lpwstr>
  </property>
  <property fmtid="{D5CDD505-2E9C-101B-9397-08002B2CF9AE}" pid="21" name="Signer(s)">
    <vt:lpwstr>Michael M. Morgan</vt:lpwstr>
  </property>
</Properties>
</file>