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  <w:smallCaps/>
        </w:rPr>
        <w:t>Closing Checklist</w:t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  <w:t>East Coast Power, L.L.C.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102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8"/>
        <w:gridCol w:w="5328"/>
      </w:tblGrid>
      <w:tr>
        <w:trPr/>
        <w:tc>
          <w:tcPr>
            <w:tcW w:w="4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</w:rPr>
              <w:t>East Coast Power, LLC (“</w:t>
            </w:r>
            <w:r>
              <w:rPr>
                <w:b/>
                <w:bCs/>
                <w:sz w:val="22"/>
              </w:rPr>
              <w:t>ECP</w:t>
            </w:r>
            <w:r>
              <w:rPr>
                <w:sz w:val="22"/>
              </w:rPr>
              <w:t>”)</w:t>
            </w:r>
          </w:p>
          <w:p>
            <w:pPr>
              <w:pStyle w:val="Normal"/>
              <w:rPr/>
            </w:pPr>
            <w:r>
              <w:rPr>
                <w:sz w:val="22"/>
              </w:rPr>
              <w:t>East Coast Power Holding Company, LLC (“</w:t>
            </w:r>
            <w:r>
              <w:rPr>
                <w:b/>
                <w:bCs/>
                <w:sz w:val="22"/>
              </w:rPr>
              <w:t>ECPH</w:t>
            </w:r>
            <w:r>
              <w:rPr>
                <w:sz w:val="22"/>
              </w:rPr>
              <w:t>”)</w:t>
            </w:r>
          </w:p>
          <w:p>
            <w:pPr>
              <w:pStyle w:val="Normal"/>
              <w:jc w:val="both"/>
              <w:rPr/>
            </w:pPr>
            <w:r>
              <w:rPr>
                <w:sz w:val="22"/>
              </w:rPr>
              <w:t>ECTMI Trutta Holdings LP (“</w:t>
            </w:r>
            <w:r>
              <w:rPr>
                <w:b/>
                <w:bCs/>
                <w:sz w:val="22"/>
              </w:rPr>
              <w:t>Trutta</w:t>
            </w:r>
            <w:r>
              <w:rPr>
                <w:sz w:val="22"/>
              </w:rPr>
              <w:t>”)</w:t>
            </w:r>
          </w:p>
          <w:p>
            <w:pPr>
              <w:pStyle w:val="Normal"/>
              <w:jc w:val="both"/>
              <w:rPr/>
            </w:pPr>
            <w:r>
              <w:rPr>
                <w:sz w:val="22"/>
              </w:rPr>
              <w:t>Vinson &amp; Elkins L.L.P. (“</w:t>
            </w:r>
            <w:r>
              <w:rPr>
                <w:b/>
                <w:bCs/>
                <w:sz w:val="22"/>
              </w:rPr>
              <w:t>V&amp;E</w:t>
            </w:r>
            <w:r>
              <w:rPr>
                <w:sz w:val="22"/>
              </w:rPr>
              <w:t>”)</w:t>
            </w:r>
          </w:p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69" w:end="0"/>
              <w:jc w:val="both"/>
              <w:rPr/>
            </w:pPr>
            <w:r>
              <w:rPr>
                <w:sz w:val="22"/>
              </w:rPr>
              <w:t>Mesquite Investors, LLC (“</w:t>
            </w:r>
            <w:r>
              <w:rPr>
                <w:b/>
                <w:bCs/>
                <w:sz w:val="22"/>
              </w:rPr>
              <w:t>Mesquite</w:t>
            </w:r>
            <w:r>
              <w:rPr>
                <w:sz w:val="22"/>
              </w:rPr>
              <w:t>”)</w:t>
            </w:r>
          </w:p>
          <w:p>
            <w:pPr>
              <w:pStyle w:val="Normal"/>
              <w:ind w:start="-69" w:end="0"/>
              <w:jc w:val="both"/>
              <w:rPr/>
            </w:pPr>
            <w:r>
              <w:rPr>
                <w:sz w:val="22"/>
              </w:rPr>
              <w:t>El Paso Energy Corporation (“</w:t>
            </w:r>
            <w:r>
              <w:rPr>
                <w:b/>
                <w:bCs/>
                <w:sz w:val="22"/>
              </w:rPr>
              <w:t>El Paso</w:t>
            </w:r>
            <w:r>
              <w:rPr>
                <w:sz w:val="22"/>
              </w:rPr>
              <w:t>”)</w:t>
            </w:r>
          </w:p>
          <w:p>
            <w:pPr>
              <w:pStyle w:val="Normal"/>
              <w:ind w:start="-69" w:end="0"/>
              <w:jc w:val="both"/>
              <w:rPr/>
            </w:pPr>
            <w:r>
              <w:rPr>
                <w:sz w:val="22"/>
              </w:rPr>
              <w:t>Bonneville Pacific Corporation (“</w:t>
            </w:r>
            <w:r>
              <w:rPr>
                <w:b/>
                <w:bCs/>
                <w:sz w:val="22"/>
              </w:rPr>
              <w:t>BPC</w:t>
            </w:r>
            <w:r>
              <w:rPr>
                <w:sz w:val="22"/>
              </w:rPr>
              <w:t>”)</w:t>
            </w:r>
          </w:p>
          <w:p>
            <w:pPr>
              <w:pStyle w:val="Normal"/>
              <w:ind w:start="-69" w:end="0"/>
              <w:jc w:val="both"/>
              <w:rPr/>
            </w:pPr>
            <w:r>
              <w:rPr>
                <w:sz w:val="22"/>
              </w:rPr>
              <w:t>El Paso Merchant Energy-Gas, L.P. (“</w:t>
            </w:r>
            <w:r>
              <w:rPr>
                <w:b/>
                <w:bCs/>
                <w:sz w:val="22"/>
              </w:rPr>
              <w:t>EPME</w:t>
            </w:r>
            <w:r>
              <w:rPr>
                <w:sz w:val="22"/>
              </w:rPr>
              <w:t>”)</w:t>
            </w:r>
          </w:p>
          <w:p>
            <w:pPr>
              <w:pStyle w:val="Normal"/>
              <w:ind w:start="-69" w:end="0"/>
              <w:rPr/>
            </w:pPr>
            <w:r>
              <w:rPr>
                <w:sz w:val="22"/>
              </w:rPr>
              <w:t>El Paso Merchant Energy Holding Company (“</w:t>
            </w:r>
            <w:r>
              <w:rPr>
                <w:b/>
                <w:bCs/>
                <w:sz w:val="22"/>
              </w:rPr>
              <w:t>EPMEH</w:t>
            </w:r>
            <w:r>
              <w:rPr>
                <w:sz w:val="22"/>
              </w:rPr>
              <w:t>”)</w:t>
            </w:r>
          </w:p>
          <w:p>
            <w:pPr>
              <w:pStyle w:val="Normal"/>
              <w:ind w:start="-69" w:end="0"/>
              <w:jc w:val="both"/>
              <w:rPr/>
            </w:pPr>
            <w:r>
              <w:rPr>
                <w:sz w:val="22"/>
              </w:rPr>
              <w:t>Bracewell &amp; Patterson L.L.P. (“</w:t>
            </w:r>
            <w:r>
              <w:rPr>
                <w:b/>
                <w:bCs/>
                <w:sz w:val="22"/>
              </w:rPr>
              <w:t>BP</w:t>
            </w:r>
            <w:r>
              <w:rPr>
                <w:sz w:val="22"/>
              </w:rPr>
              <w:t>”)</w:t>
            </w:r>
          </w:p>
        </w:tc>
      </w:tr>
    </w:tbl>
    <w:p>
      <w:pPr>
        <w:pStyle w:val="Normal"/>
        <w:jc w:val="center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jc w:val="center"/>
        <w:rPr>
          <w:b/>
          <w:bCs/>
          <w:smallCaps/>
          <w:sz w:val="22"/>
        </w:rPr>
      </w:pPr>
      <w:r>
        <w:rPr>
          <w:b/>
          <w:bCs/>
          <w:smallCaps/>
          <w:sz w:val="22"/>
        </w:rPr>
      </w:r>
    </w:p>
    <w:tbl>
      <w:tblPr>
        <w:tblW w:w="101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6"/>
        <w:gridCol w:w="4646"/>
        <w:gridCol w:w="1506"/>
        <w:gridCol w:w="900"/>
        <w:gridCol w:w="900"/>
        <w:gridCol w:w="1800"/>
      </w:tblGrid>
      <w:tr>
        <w:trPr>
          <w:tblHeader w:val="true"/>
        </w:trPr>
        <w:tc>
          <w:tcPr>
            <w:tcW w:w="436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  <w:shd w:fill="E0E0E0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mallCaps/>
                <w:sz w:val="22"/>
              </w:rPr>
            </w:pPr>
            <w:r>
              <w:rPr>
                <w:b/>
                <w:bCs/>
                <w:smallCaps/>
                <w:sz w:val="22"/>
              </w:rPr>
              <w:t>#</w:t>
            </w:r>
          </w:p>
        </w:tc>
        <w:tc>
          <w:tcPr>
            <w:tcW w:w="4646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0E0E0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mallCaps/>
                <w:sz w:val="22"/>
              </w:rPr>
            </w:pPr>
            <w:r>
              <w:rPr>
                <w:b/>
                <w:bCs/>
                <w:smallCaps/>
                <w:sz w:val="22"/>
              </w:rPr>
              <w:t>Document</w:t>
            </w:r>
          </w:p>
        </w:tc>
        <w:tc>
          <w:tcPr>
            <w:tcW w:w="1506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0E0E0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mallCaps/>
                <w:sz w:val="22"/>
              </w:rPr>
            </w:pPr>
            <w:r>
              <w:rPr>
                <w:b/>
                <w:bCs/>
                <w:smallCaps/>
                <w:sz w:val="22"/>
              </w:rPr>
              <w:t>Responsible</w:t>
            </w:r>
          </w:p>
        </w:tc>
        <w:tc>
          <w:tcPr>
            <w:tcW w:w="90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0E0E0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mallCaps/>
                <w:sz w:val="22"/>
              </w:rPr>
            </w:pPr>
            <w:r>
              <w:rPr>
                <w:b/>
                <w:bCs/>
                <w:smallCaps/>
                <w:sz w:val="22"/>
              </w:rPr>
              <w:t>Doc. #</w:t>
            </w:r>
          </w:p>
        </w:tc>
        <w:tc>
          <w:tcPr>
            <w:tcW w:w="90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0E0E0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mallCaps/>
                <w:sz w:val="22"/>
              </w:rPr>
            </w:pPr>
            <w:r>
              <w:rPr>
                <w:b/>
                <w:bCs/>
                <w:smallCaps/>
                <w:sz w:val="22"/>
              </w:rPr>
              <w:t>TA §.</w:t>
            </w:r>
          </w:p>
        </w:tc>
        <w:tc>
          <w:tcPr>
            <w:tcW w:w="180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  <w:shd w:fill="E0E0E0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mallCaps/>
                <w:sz w:val="22"/>
              </w:rPr>
            </w:pPr>
            <w:r>
              <w:rPr>
                <w:b/>
                <w:bCs/>
                <w:smallCaps/>
                <w:sz w:val="22"/>
              </w:rPr>
              <w:t>Status</w:t>
            </w:r>
          </w:p>
        </w:tc>
      </w:tr>
      <w:tr>
        <w:trPr>
          <w:trHeight w:val="360" w:hRule="atLeast"/>
        </w:trPr>
        <w:tc>
          <w:tcPr>
            <w:tcW w:w="10188" w:type="dxa"/>
            <w:gridSpan w:val="6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3F3F3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DAY 1 CLOSING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Amendment No. 2 to Second Amended and Restated LLC Agr. of ECP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V&amp;E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350093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2.01(a)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BPC Security Agreement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392508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2.01(b)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BPC Financing Statement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392590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2.01(b)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Class A Certificate issued to BPC (Certificate #11)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392696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2.01(b)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Certificate affirming amount of Capital Accounts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5.09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1018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3F3F3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DAY 2 CLOSING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Assignment of Membership Interests (ECPH to Mesquite)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V&amp;E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353041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2.02(b)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Swap Agreement (Mesquite and EPME)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2.02(a)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Assignment of Swap Agreement (by Mesquite, El Paso &amp; EPME to ECPH)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2.02(a)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El Paso Guarantee (re: Swap Agreement)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2.02(a)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Letter Agreement (EPMEH to ECPH)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2.02(a)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Wire Transfer from Mesquite to ECPH of $15,083,510.20 (plus any cash contributions)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2.02(a)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12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Third Amended and Restated LLC Agreement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338837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2.02(c)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13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Amendment to ECPH Security Agreement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353242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2.02(d)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14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Amendment to ECPH Financing Statement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353263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2.02(d)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15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Amendment to Mesquite Security Agreement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358431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2.02(d)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16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Amendment to Mesquite Financing Statement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358451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2.02(d)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17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Amendment to BPC Security Agreement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392598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2.02(d)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Amendment to BPC Financing Statement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392601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2.02(d)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19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Certificate representing Preferred Interests (ECPH) (Certificate #12)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358465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2.02(d)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Certificate representing Common Interests (Mesquite) (Certificate #13)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358467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2.02(d)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21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Certificate representing Common Interests (BPC) (Certificate #14)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392695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2.02(d)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22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Note Assignment and Acknowledgement (by Trutta to Mesquite)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385473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2.02(e)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23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Assignment of Swap Agreement (by Mesquite, El Paso &amp; EPME to Trutta)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2.02(e)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El Paso Guarantee (re: Swap Agreement)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2.02(e)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Letter Agreement (EPMEH to Trutta)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2.02(e)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26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Wire Transfer from Mesquite to Trutta of 49% of accrued interest on notes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2.02(e)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27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Release of ENA Guaranty in favor of Cogen Technologies Linden Venture LP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5.08(a)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28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Release of Enron under the Credit Support Agreement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5.08(a)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29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Release of Enron letters of credit in favor of Trustee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5.08(a)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30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Substitute letters of credit by El Paso in favor of Trustee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5.08(a)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31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Notice to Company Note Trustee of termination of Enron Undertaking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5.08(b)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32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Ratings Agencies confirmation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6.01(b)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33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Bayonne ISRA Approval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6.01(c)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34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Camden ISRA Approval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6.01(c)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35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Linden ISRA Approval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6.01(c)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36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El Paso Undertaking/Debt Service Credit Support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6.01(e)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37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Transition Services Agreement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6.01(f)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38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Consent/Waiver by Venturers of Cogen Technologies NJ Venture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6.01(g)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39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ECPH Closing Certificate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6.02(c)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40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Trutta Closing Certificate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6.02(c)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41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Opinion of V&amp;E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6.02(e)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42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Opinion of internal counsel of ECPH and Trutta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6.02(e)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43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ECPH “foreign person” Affidavit 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6.02(f)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44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ECPH’s “no conflicts” representation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6.02(g)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45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Mesquite Closing Certificate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6.03(d)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46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El Paso Closing Certificate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6.03(d)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47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Opinion of BP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6.03(e)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48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Opinion of internal counsel of Mesquite and El Paso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6.03(e)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49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ECPH Good Standing Certificate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3.01(a)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Trutta Good Standing Certificate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3.01(b)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51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Mesquite Good Standing Certificate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4.01(a)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52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El Paso Good Standing Certificate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4.01(b)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1018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3F3F3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POST CLOSING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53</w:t>
            </w:r>
          </w:p>
        </w:tc>
        <w:tc>
          <w:tcPr>
            <w:tcW w:w="4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Notice to bond holders of transaction</w:t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jc w:val="both"/>
        <w:rPr>
          <w:sz w:val="22"/>
        </w:rPr>
      </w:pPr>
      <w:r>
        <w:rPr>
          <w:sz w:val="22"/>
        </w:rPr>
      </w:r>
    </w:p>
    <w:sectPr>
      <w:headerReference w:type="default" r:id="rId2"/>
      <w:footerReference w:type="default" r:id="rId3"/>
      <w:type w:val="nextPage"/>
      <w:pgSz w:w="12240" w:h="15840"/>
      <w:pgMar w:left="1080" w:right="1080" w:gutter="0" w:header="720" w:top="900" w:footer="518" w:bottom="9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680"/>
        <w:tab w:val="clear" w:pos="9360"/>
        <w:tab w:val="right" w:pos="13680" w:leader="none"/>
      </w:tabs>
      <w:rPr>
        <w:sz w:val="18"/>
      </w:rPr>
    </w:pPr>
    <w:r>
      <w:rPr>
        <w:sz w:val="18"/>
      </w:rPr>
      <w:t>Houston: 421231</w:t>
      <w:tab/>
      <w:t>Last Updated:  December 29, 2000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80"/>
        <w:tab w:val="clear" w:pos="9360"/>
      </w:tabs>
      <w:rPr>
        <w:b/>
        <w:bCs/>
      </w:rPr>
    </w:pPr>
    <w:r>
      <w:rPr>
        <w:b/>
        <w:bCs/>
      </w:rPr>
    </w:r>
  </w:p>
</w:hdr>
</file>

<file path=word/settings.xml><?xml version="1.0" encoding="utf-8"?>
<w:settings xmlns:w="http://schemas.openxmlformats.org/wordprocessingml/2006/main">
  <w:zoom w:percent="111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2000-12-29T14:28:00Z</dcterms:created>
  <dc:creator>Matt Cook</dc:creator>
  <dc:description/>
  <dc:language>en-CA</dc:language>
  <cp:lastModifiedBy>Matt Cook</cp:lastModifiedBy>
  <dcterms:modified xsi:type="dcterms:W3CDTF">2000-12-29T14:28:00Z</dcterms:modified>
  <cp:revision>2</cp:revision>
  <dc:subject/>
  <dc:title>CLOSING CHECKLIST</dc:title>
</cp:coreProperties>
</file>