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bidi w:val="0"/>
        <w:ind w:hanging="0" w:start="0" w:end="0"/>
        <w:jc w:val="start"/>
        <w:rPr>
          <w:b/>
          <w:color w:val="000000"/>
          <w:sz w:val="30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89535</wp:posOffset>
            </wp:positionH>
            <wp:positionV relativeFrom="paragraph">
              <wp:posOffset>-111760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MS Sans Serif" w:hAnsi="MS Sans Serif"/>
          <w:sz w:val="20"/>
        </w:rPr>
        <w:tab/>
      </w:r>
      <w:r>
        <w:rPr>
          <w:b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bidi w:val="0"/>
        <w:spacing w:before="1767" w:after="0"/>
        <w:ind w:hanging="0" w:start="0" w:end="0"/>
        <w:jc w:val="start"/>
        <w:rPr>
          <w:color w:val="000000"/>
          <w:sz w:val="25"/>
        </w:rPr>
      </w:pPr>
      <w:r>
        <w:rPr>
          <w:color w:val="000000"/>
          <w:sz w:val="20"/>
        </w:rPr>
        <w:t>To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0"/>
        </w:rPr>
        <w:t xml:space="preserve">Rick Buy, Ted Murphy, David Port, Cassandra Schultz, John </w:t>
      </w:r>
    </w:p>
    <w:p>
      <w:pPr>
        <w:pStyle w:val="Normal"/>
        <w:widowControl w:val="false"/>
        <w:tabs>
          <w:tab w:val="clear" w:pos="720"/>
          <w:tab w:val="left" w:pos="960" w:leader="none"/>
        </w:tabs>
        <w:bidi w:val="0"/>
        <w:ind w:hanging="0" w:start="0" w:end="0"/>
        <w:jc w:val="start"/>
        <w:rPr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color w:val="000000"/>
          <w:sz w:val="20"/>
        </w:rPr>
        <w:t>Lavorato, Louise Kitchen, Jeff Skilling, File Copy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bidi w:val="0"/>
        <w:spacing w:before="86" w:after="0"/>
        <w:ind w:hanging="0" w:start="0" w:end="0"/>
        <w:jc w:val="start"/>
        <w:rPr>
          <w:color w:val="000000"/>
          <w:sz w:val="25"/>
        </w:rPr>
      </w:pPr>
      <w:r>
        <w:rPr>
          <w:color w:val="000000"/>
          <w:sz w:val="20"/>
        </w:rPr>
        <w:t>From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0"/>
        </w:rPr>
        <w:t>Shona Wilson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0"/>
        </w:rPr>
        <w:t>Department: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0"/>
        </w:rPr>
        <w:t>Global Risk Operations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bidi w:val="0"/>
        <w:spacing w:before="13" w:after="0"/>
        <w:ind w:hanging="0" w:start="0" w:end="0"/>
        <w:jc w:val="start"/>
        <w:rPr>
          <w:color w:val="000000"/>
          <w:sz w:val="25"/>
        </w:rPr>
      </w:pPr>
      <w:r>
        <w:rPr>
          <w:color w:val="000000"/>
          <w:sz w:val="20"/>
        </w:rPr>
        <w:t>Subject: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0"/>
        </w:rPr>
        <w:t>Limit Violation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0"/>
        </w:rPr>
        <w:t>Date: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0"/>
        </w:rPr>
        <w:t>April 23,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ind w:hanging="0" w:start="0" w:end="0"/>
        <w:jc w:val="start"/>
        <w:rPr>
          <w:b/>
          <w:color w:val="000000"/>
          <w:sz w:val="82"/>
        </w:rPr>
      </w:pPr>
      <w:r>
        <w:rPr>
          <w:b/>
          <w:color w:val="000000"/>
          <w:sz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ind w:hanging="0" w:start="0" w:end="0"/>
        <w:jc w:val="start"/>
        <w:rPr>
          <w:color w:val="000000"/>
          <w:sz w:val="25"/>
        </w:rPr>
      </w:pPr>
      <w:r>
        <w:rPr>
          <w:color w:val="000000"/>
          <w:sz w:val="20"/>
        </w:rPr>
        <w:t>Please note below the occurrence of the following limit violation as of the close of business April 20, 2001.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373" w:after="0"/>
        <w:ind w:hanging="0" w:start="0" w:end="0"/>
        <w:jc w:val="start"/>
        <w:rPr>
          <w:b/>
          <w:color w:val="000000"/>
          <w:sz w:val="25"/>
          <w:u w:val="single"/>
        </w:rPr>
      </w:pPr>
      <w:r>
        <w:rPr>
          <w:b/>
          <w:color w:val="000000"/>
          <w:sz w:val="20"/>
          <w:u w:val="single"/>
        </w:rPr>
        <w:t>Enron - Gas Trading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bidi w:val="0"/>
        <w:spacing w:before="193" w:after="0"/>
        <w:ind w:hanging="0" w:start="0" w:end="0"/>
        <w:jc w:val="start"/>
        <w:rPr>
          <w:color w:val="000000"/>
          <w:sz w:val="25"/>
        </w:rPr>
      </w:pPr>
      <w:r>
        <w:rPr>
          <w:rFonts w:ascii="MS Sans Serif" w:hAnsi="MS Sans Serif"/>
          <w:sz w:val="20"/>
        </w:rPr>
        <w:tab/>
      </w:r>
      <w:r>
        <w:rPr>
          <w:color w:val="000000"/>
          <w:sz w:val="20"/>
        </w:rPr>
        <w:t>Violation: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0"/>
        </w:rPr>
        <w:t>VaR Limit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bidi w:val="0"/>
        <w:spacing w:before="88" w:after="0"/>
        <w:ind w:hanging="0" w:start="0" w:end="0"/>
        <w:jc w:val="start"/>
        <w:rPr>
          <w:color w:val="000000"/>
          <w:sz w:val="25"/>
        </w:rPr>
      </w:pPr>
      <w:r>
        <w:rPr>
          <w:rFonts w:ascii="MS Sans Serif" w:hAnsi="MS Sans Serif"/>
          <w:sz w:val="20"/>
        </w:rPr>
        <w:tab/>
      </w:r>
      <w:r>
        <w:rPr>
          <w:color w:val="000000"/>
          <w:sz w:val="20"/>
        </w:rPr>
        <w:t>Limit: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0"/>
        </w:rPr>
        <w:t>$85.00 Million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bidi w:val="0"/>
        <w:spacing w:before="73" w:after="0"/>
        <w:ind w:hanging="0" w:start="0" w:end="0"/>
        <w:jc w:val="start"/>
        <w:rPr>
          <w:color w:val="000000"/>
          <w:sz w:val="25"/>
        </w:rPr>
      </w:pPr>
      <w:r>
        <w:rPr>
          <w:rFonts w:ascii="MS Sans Serif" w:hAnsi="MS Sans Serif"/>
          <w:sz w:val="20"/>
        </w:rPr>
        <w:tab/>
      </w:r>
      <w:r>
        <w:rPr>
          <w:color w:val="000000"/>
          <w:sz w:val="20"/>
        </w:rPr>
        <w:t>VaR: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0"/>
        </w:rPr>
        <w:t>$102.65 Million</w:t>
      </w:r>
    </w:p>
    <w:p>
      <w:pPr>
        <w:pStyle w:val="Normal"/>
        <w:widowControl w:val="false"/>
        <w:tabs>
          <w:tab w:val="left" w:pos="720" w:leader="none"/>
        </w:tabs>
        <w:bidi w:val="0"/>
        <w:spacing w:before="253" w:after="0"/>
        <w:ind w:hanging="0" w:start="0" w:end="0"/>
        <w:jc w:val="start"/>
        <w:rPr>
          <w:b/>
          <w:color w:val="000000"/>
          <w:sz w:val="25"/>
        </w:rPr>
      </w:pPr>
      <w:r>
        <w:rPr>
          <w:rFonts w:ascii="MS Sans Serif" w:hAnsi="MS Sans Serif"/>
          <w:sz w:val="20"/>
        </w:rPr>
        <w:tab/>
      </w:r>
      <w:r>
        <w:rPr>
          <w:b/>
          <w:color w:val="000000"/>
          <w:sz w:val="20"/>
        </w:rPr>
        <w:t>Explanation:</w:t>
      </w:r>
    </w:p>
    <w:p>
      <w:pPr>
        <w:pStyle w:val="Normal"/>
        <w:widowControl w:val="false"/>
        <w:tabs>
          <w:tab w:val="clear" w:pos="720"/>
          <w:tab w:val="left" w:pos="2520" w:leader="none"/>
        </w:tabs>
        <w:bidi w:val="0"/>
        <w:ind w:hanging="0" w:start="0" w:end="0"/>
        <w:jc w:val="start"/>
        <w:rPr>
          <w:color w:val="000000"/>
          <w:sz w:val="25"/>
        </w:rPr>
      </w:pPr>
      <w:r>
        <w:rPr>
          <w:rFonts w:ascii="MS Sans Serif" w:hAnsi="MS Sans Serif"/>
          <w:sz w:val="20"/>
        </w:rPr>
        <w:tab/>
      </w:r>
      <w:r>
        <w:rPr>
          <w:color w:val="000000"/>
          <w:sz w:val="20"/>
        </w:rPr>
        <w:t xml:space="preserve">Due to recent fluctuations in the Western US, the correlation factors had to be updated to </w:t>
      </w:r>
    </w:p>
    <w:p>
      <w:pPr>
        <w:pStyle w:val="Normal"/>
        <w:widowControl w:val="false"/>
        <w:tabs>
          <w:tab w:val="clear" w:pos="720"/>
          <w:tab w:val="left" w:pos="2520" w:leader="none"/>
        </w:tabs>
        <w:bidi w:val="0"/>
        <w:ind w:hanging="0" w:start="0" w:end="0"/>
        <w:jc w:val="start"/>
        <w:rPr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color w:val="000000"/>
          <w:sz w:val="20"/>
        </w:rPr>
        <w:t xml:space="preserve">capture the increased volatility in the market.  The updated correlations reflect the </w:t>
      </w:r>
    </w:p>
    <w:p>
      <w:pPr>
        <w:pStyle w:val="Normal"/>
        <w:widowControl w:val="false"/>
        <w:tabs>
          <w:tab w:val="clear" w:pos="720"/>
          <w:tab w:val="left" w:pos="2520" w:leader="none"/>
        </w:tabs>
        <w:bidi w:val="0"/>
        <w:ind w:hanging="0" w:start="0" w:end="0"/>
        <w:jc w:val="start"/>
        <w:rPr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color w:val="000000"/>
          <w:sz w:val="20"/>
        </w:rPr>
        <w:t>increased risk in that market and result in a higher VAR.</w:t>
      </w:r>
    </w:p>
    <w:p>
      <w:pPr>
        <w:pStyle w:val="Normal"/>
        <w:widowControl w:val="false"/>
        <w:tabs>
          <w:tab w:val="left" w:pos="720" w:leader="none"/>
        </w:tabs>
        <w:bidi w:val="0"/>
        <w:spacing w:before="140" w:after="0"/>
        <w:ind w:hanging="0" w:start="0" w:end="0"/>
        <w:jc w:val="start"/>
        <w:rPr>
          <w:b/>
          <w:color w:val="000000"/>
          <w:sz w:val="25"/>
        </w:rPr>
      </w:pPr>
      <w:r>
        <w:rPr>
          <w:rFonts w:ascii="MS Sans Serif" w:hAnsi="MS Sans Serif"/>
          <w:sz w:val="20"/>
        </w:rPr>
        <w:tab/>
      </w:r>
      <w:r>
        <w:rPr>
          <w:b/>
          <w:color w:val="000000"/>
          <w:sz w:val="20"/>
        </w:rPr>
        <w:t>RAC Comments:</w:t>
      </w:r>
    </w:p>
    <w:p>
      <w:pPr>
        <w:pStyle w:val="Normal"/>
        <w:widowControl w:val="false"/>
        <w:tabs>
          <w:tab w:val="left" w:pos="720" w:leader="none"/>
        </w:tabs>
        <w:bidi w:val="0"/>
        <w:spacing w:before="373" w:after="0"/>
        <w:ind w:hanging="0" w:start="0" w:end="0"/>
        <w:jc w:val="start"/>
        <w:rPr>
          <w:b/>
          <w:color w:val="000000"/>
          <w:sz w:val="20"/>
        </w:rPr>
      </w:pPr>
      <w:r>
        <w:rPr>
          <w:rFonts w:ascii="MS Sans Serif" w:hAnsi="MS Sans Serif"/>
          <w:sz w:val="20"/>
        </w:rPr>
        <w:tab/>
      </w:r>
      <w:r>
        <w:rPr>
          <w:b/>
          <w:color w:val="000000"/>
          <w:sz w:val="20"/>
        </w:rPr>
        <w:t>Recommended Course of Action:</w:t>
      </w:r>
    </w:p>
    <w:p>
      <w:pPr>
        <w:pStyle w:val="Normal"/>
        <w:widowControl w:val="false"/>
        <w:tabs>
          <w:tab w:val="left" w:pos="720" w:leader="none"/>
        </w:tabs>
        <w:bidi w:val="0"/>
        <w:spacing w:before="373" w:after="0"/>
        <w:ind w:hanging="0" w:start="0" w:end="0"/>
        <w:jc w:val="start"/>
        <w:rPr>
          <w:b/>
          <w:color w:val="000000"/>
          <w:sz w:val="20"/>
        </w:rPr>
      </w:pPr>
      <w:r>
        <w:rPr>
          <w:b/>
          <w:color w:val="000000"/>
          <w:sz w:val="20"/>
        </w:rPr>
      </w:r>
    </w:p>
    <w:p>
      <w:pPr>
        <w:pStyle w:val="Normal"/>
        <w:widowControl w:val="false"/>
        <w:tabs>
          <w:tab w:val="left" w:pos="720" w:leader="none"/>
        </w:tabs>
        <w:bidi w:val="0"/>
        <w:spacing w:before="373" w:after="0"/>
        <w:ind w:hanging="0" w:start="0" w:end="0"/>
        <w:jc w:val="start"/>
        <w:rPr>
          <w:b/>
          <w:color w:val="000000"/>
          <w:sz w:val="25"/>
        </w:rPr>
      </w:pPr>
      <w:r>
        <w:rPr>
          <w:b/>
          <w:color w:val="000000"/>
          <w:sz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bidi w:val="0"/>
        <w:ind w:hanging="0" w:start="0" w:end="0"/>
        <w:jc w:val="start"/>
        <w:rPr>
          <w:rFonts w:ascii="Map Symbols" w:hAnsi="Map Symbols"/>
          <w:b/>
          <w:color w:val="000000"/>
          <w:sz w:val="65"/>
        </w:rPr>
      </w:pPr>
      <w:r>
        <w:rPr>
          <w:rFonts w:ascii="MS Sans Serif" w:hAnsi="MS Sans Serif"/>
          <w:sz w:val="20"/>
        </w:rPr>
        <w:tab/>
      </w:r>
      <w:r>
        <w:rPr>
          <w:color w:val="000000"/>
          <w:sz w:val="20"/>
        </w:rPr>
        <w:t xml:space="preserve">Increase </w:t>
      </w:r>
      <w:r>
        <w:rPr>
          <w:rFonts w:ascii="MS Sans Serif" w:hAnsi="MS Sans Serif"/>
          <w:sz w:val="20"/>
        </w:rPr>
        <w:tab/>
      </w:r>
      <w:r>
        <w:rPr>
          <w:rFonts w:eastAsia="Symbol" w:cs="Symbol" w:ascii="Symbol" w:hAnsi="Symbol"/>
          <w:sz w:val="48"/>
        </w:rPr>
        <w:sym w:font="Symbol" w:char="a0"/>
      </w:r>
      <w:r>
        <w:rPr>
          <w:rFonts w:ascii="MS Sans Serif" w:hAnsi="MS Sans Serif"/>
          <w:sz w:val="20"/>
        </w:rPr>
        <w:tab/>
      </w:r>
      <w:r>
        <w:rPr>
          <w:color w:val="000000"/>
          <w:sz w:val="20"/>
        </w:rPr>
        <w:t xml:space="preserve">Decrease </w:t>
      </w:r>
      <w:r>
        <w:rPr>
          <w:rFonts w:ascii="MS Sans Serif" w:hAnsi="MS Sans Serif"/>
          <w:sz w:val="20"/>
        </w:rPr>
        <w:tab/>
      </w:r>
      <w:r>
        <w:rPr>
          <w:rFonts w:eastAsia="Symbol" w:cs="Symbol" w:ascii="Symbol" w:hAnsi="Symbol"/>
          <w:sz w:val="48"/>
        </w:rPr>
        <w:sym w:font="Symbol" w:char="a0"/>
      </w:r>
      <w:r>
        <w:rPr>
          <w:rFonts w:ascii="MS Sans Serif" w:hAnsi="MS Sans Serif"/>
          <w:sz w:val="20"/>
        </w:rPr>
        <w:tab/>
      </w:r>
      <w:r>
        <w:rPr>
          <w:color w:val="000000"/>
          <w:sz w:val="20"/>
        </w:rPr>
        <w:t>No Action</w:t>
      </w:r>
      <w:r>
        <w:rPr>
          <w:rFonts w:ascii="MS Sans Serif" w:hAnsi="MS Sans Serif"/>
          <w:sz w:val="20"/>
        </w:rPr>
        <w:tab/>
      </w:r>
      <w:r>
        <w:rPr>
          <w:rFonts w:eastAsia="Symbol" w:cs="Symbol" w:ascii="Symbol" w:hAnsi="Symbol"/>
          <w:sz w:val="48"/>
        </w:rPr>
        <w:sym w:font="Symbol" w:char="a0"/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bidi w:val="0"/>
        <w:ind w:hanging="0" w:start="0" w:end="0"/>
        <w:jc w:val="start"/>
        <w:rPr>
          <w:rFonts w:ascii="Map Symbols" w:hAnsi="Map Symbols"/>
          <w:b/>
          <w:color w:val="000000"/>
          <w:sz w:val="65"/>
        </w:rPr>
      </w:pPr>
      <w:r>
        <w:rPr>
          <w:rFonts w:ascii="Map Symbols" w:hAnsi="Map Symbols"/>
          <w:b/>
          <w:color w:val="000000"/>
          <w:sz w:val="6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bidi w:val="0"/>
        <w:ind w:hanging="0" w:start="0" w:end="0"/>
        <w:jc w:val="start"/>
        <w:rPr>
          <w:rFonts w:ascii="Map Symbols" w:hAnsi="Map Symbols"/>
          <w:b/>
          <w:color w:val="000000"/>
          <w:sz w:val="65"/>
        </w:rPr>
      </w:pPr>
      <w:r>
        <w:rPr>
          <w:rFonts w:ascii="Map Symbols" w:hAnsi="Map Symbols"/>
          <w:b/>
          <w:color w:val="000000"/>
          <w:sz w:val="6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bidi w:val="0"/>
        <w:ind w:hanging="0" w:start="0" w:end="0"/>
        <w:jc w:val="start"/>
        <w:rPr>
          <w:rFonts w:ascii="Map Symbols" w:hAnsi="Map Symbols"/>
          <w:b/>
          <w:color w:val="000000"/>
          <w:sz w:val="65"/>
        </w:rPr>
      </w:pPr>
      <w:r>
        <w:rPr>
          <w:rFonts w:ascii="Map Symbols" w:hAnsi="Map Symbols"/>
          <w:b/>
          <w:color w:val="000000"/>
          <w:sz w:val="6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bidi w:val="0"/>
        <w:ind w:hanging="0" w:start="0" w:end="0"/>
        <w:jc w:val="start"/>
        <w:rPr>
          <w:rFonts w:ascii="Map Symbols" w:hAnsi="Map Symbols"/>
          <w:b/>
          <w:color w:val="000000"/>
          <w:sz w:val="65"/>
        </w:rPr>
      </w:pPr>
      <w:r>
        <w:rPr>
          <w:rFonts w:ascii="Map Symbols" w:hAnsi="Map Symbols"/>
          <w:b/>
          <w:color w:val="000000"/>
          <w:sz w:val="6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bidi w:val="0"/>
        <w:ind w:hanging="0" w:start="0" w:end="0"/>
        <w:jc w:val="start"/>
        <w:rPr>
          <w:b/>
          <w:color w:val="000000"/>
          <w:sz w:val="25"/>
        </w:rPr>
      </w:pPr>
      <w:r>
        <w:rPr>
          <w:b/>
          <w:color w:val="000000"/>
          <w:sz w:val="20"/>
        </w:rPr>
        <w:t>Approvals: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bidi w:val="0"/>
        <w:spacing w:before="73" w:after="0"/>
        <w:ind w:hanging="0" w:start="0" w:end="0"/>
        <w:jc w:val="start"/>
        <w:rPr>
          <w:b/>
          <w:color w:val="000000"/>
          <w:sz w:val="39"/>
        </w:rPr>
      </w:pPr>
      <w:r>
        <w:rPr>
          <w:color w:val="000000"/>
          <w:sz w:val="20"/>
        </w:rPr>
        <w:t>Trader</w:t>
      </w:r>
      <w:r>
        <w:rPr>
          <w:rFonts w:ascii="MS Sans Serif" w:hAnsi="MS Sans Serif"/>
          <w:sz w:val="20"/>
        </w:rPr>
        <w:tab/>
      </w:r>
      <w:r>
        <w:rPr>
          <w:b/>
          <w:color w:val="000000"/>
          <w:sz w:val="32"/>
        </w:rPr>
        <w:t>—————————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0"/>
        </w:rPr>
        <w:t>Risk Assessment and Control</w:t>
      </w:r>
      <w:r>
        <w:rPr>
          <w:rFonts w:ascii="MS Sans Serif" w:hAnsi="MS Sans Serif"/>
          <w:sz w:val="20"/>
        </w:rPr>
        <w:tab/>
      </w:r>
      <w:r>
        <w:rPr>
          <w:b/>
          <w:color w:val="000000"/>
          <w:sz w:val="32"/>
        </w:rPr>
        <w:t>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bidi w:val="0"/>
        <w:spacing w:before="116" w:after="0"/>
        <w:ind w:hanging="0" w:start="0" w:end="0"/>
        <w:jc w:val="start"/>
        <w:rPr>
          <w:b/>
          <w:color w:val="000000"/>
          <w:sz w:val="21"/>
        </w:rPr>
      </w:pPr>
      <w:r>
        <w:rPr>
          <w:b/>
          <w:color w:val="000000"/>
          <w:sz w:val="16"/>
        </w:rPr>
        <w:t>Respect</w:t>
      </w:r>
      <w:r>
        <w:rPr>
          <w:rFonts w:ascii="MS Sans Serif" w:hAnsi="MS Sans Serif"/>
          <w:sz w:val="20"/>
        </w:rPr>
        <w:tab/>
      </w:r>
      <w:r>
        <w:rPr>
          <w:b/>
          <w:color w:val="000000"/>
          <w:sz w:val="16"/>
        </w:rPr>
        <w:t>Integrity</w:t>
      </w:r>
      <w:r>
        <w:rPr>
          <w:rFonts w:ascii="MS Sans Serif" w:hAnsi="MS Sans Serif"/>
          <w:sz w:val="20"/>
        </w:rPr>
        <w:tab/>
      </w:r>
      <w:r>
        <w:rPr>
          <w:b/>
          <w:color w:val="000000"/>
          <w:sz w:val="16"/>
        </w:rPr>
        <w:t>Communication</w:t>
      </w:r>
      <w:r>
        <w:rPr>
          <w:rFonts w:ascii="MS Sans Serif" w:hAnsi="MS Sans Serif"/>
          <w:sz w:val="20"/>
        </w:rPr>
        <w:tab/>
      </w:r>
      <w:r>
        <w:rPr>
          <w:b/>
          <w:color w:val="000000"/>
          <w:sz w:val="16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1" w:characterSet="utf-8"/>
    <w:family w:val="roman"/>
    <w:pitch w:val="variable"/>
  </w:font>
  <w:font w:name="Map Symbols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start"/>
      <w:textAlignment w:val="auto"/>
    </w:pPr>
    <w:rPr>
      <w:rFonts w:ascii="Times New Roman" w:hAnsi="Times New Roman" w:eastAsia="MS Sans Serif" w:cs="Map Symbols"/>
      <w:color w:val="auto"/>
      <w:kern w:val="2"/>
      <w:sz w:val="24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130</Words>
  <Characters>912</Characters>
  <CharactersWithSpaces>743</CharactersWithSpaces>
  <Company>Enron Corp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2001-04-23T16:23:00Z</dcterms:created>
  <dc:creator>Shona A. Wilson</dc:creator>
  <dc:description/>
  <dc:language>en-US</dc:language>
  <cp:lastModifiedBy/>
  <dcterms:modified xsi:type="dcterms:W3CDTF">2001-04-23T16:24:00Z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Shona A. Wilson</vt:lpwstr>
  </property>
</Properties>
</file>