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September 19,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AEC Marketing (USA), Inc.</w:t>
      </w:r>
      <w:r>
        <w:rPr/>
        <w:fldChar w:fldCharType="end"/>
      </w:r>
    </w:p>
    <w:p>
      <w:pPr>
        <w:pStyle w:val="Normal"/>
        <w:rPr/>
      </w:pPr>
      <w:r>
        <w:rPr/>
        <w:fldChar w:fldCharType="begin"/>
      </w:r>
      <w:r>
        <w:rPr/>
        <w:instrText xml:space="preserve"> MERGEFIELD CounterpartyAddr1 </w:instrText>
      </w:r>
      <w:r>
        <w:rPr/>
        <w:fldChar w:fldCharType="separate"/>
      </w:r>
      <w:r>
        <w:rPr/>
        <w:t>3900, 421-7th Ave SW</w:t>
      </w:r>
      <w:r>
        <w:rPr/>
        <w:fldChar w:fldCharType="end"/>
      </w:r>
    </w:p>
    <w:p>
      <w:pPr>
        <w:pStyle w:val="Normal"/>
        <w:rPr/>
      </w:pPr>
      <w:r>
        <w:rPr/>
        <w:fldChar w:fldCharType="begin"/>
      </w:r>
      <w:r>
        <w:rPr/>
        <w:instrText xml:space="preserve"> MERGEFIELD CounterpartyAddr2 </w:instrText>
      </w:r>
      <w:r>
        <w:rPr/>
        <w:fldChar w:fldCharType="separate"/>
      </w:r>
      <w:r>
        <w:rPr/>
        <w:t>Calgary, AB T2P 4K9</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(403) 266-9733</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Q02140.1</w:t>
      </w:r>
      <w:r>
        <w:rPr/>
        <w:fldChar w:fldCharType="end"/>
      </w:r>
      <w:r>
        <w:rPr/>
        <w:t xml:space="preserve"> / 415547</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AEC Marketing (USA), Inc.</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15,000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fldChar w:fldCharType="begin"/>
            </w:r>
            <w:r>
              <w:rPr/>
              <w:instrText xml:space="preserve"> MERGEFIELD DeliveryPtName </w:instrText>
            </w:r>
            <w:r>
              <w:rPr/>
              <w:fldChar w:fldCharType="separate"/>
            </w:r>
            <w:r>
              <w:rPr/>
              <w:t>National Fuel Gas Supply -  Leidy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2001 through October 31, 2002</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The settlement price of the NYMEX Henry Hub gas futures contract for the last trading day of the applicable Delivery Month plus US Dollars $0.57000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Citygates – Transco Z6 (non-NY)</w:t>
            </w:r>
          </w:p>
        </w:tc>
      </w:tr>
    </w:tbl>
    <w:p>
      <w:pPr>
        <w:pStyle w:val="Normal"/>
        <w:rPr/>
      </w:pPr>
      <w:r>
        <w:rPr/>
      </w:r>
    </w:p>
    <w:p>
      <w:pPr>
        <w:pStyle w:val="Normal"/>
        <w:rPr/>
      </w:pPr>
      <w:r>
        <w:rPr/>
      </w:r>
    </w:p>
    <w:p>
      <w:pPr>
        <w:pStyle w:val="Normal"/>
        <w:jc w:val="both"/>
        <w:rPr/>
      </w:pPr>
      <w:r>
        <w:rPr/>
        <w:fldChar w:fldCharType="begin"/>
      </w:r>
      <w:r>
        <w:rPr/>
        <w:instrText xml:space="preserve"> MERGEFIELD CanadaSecurityLanguage </w:instrText>
      </w:r>
      <w:r>
        <w:rPr/>
        <w:fldChar w:fldCharType="separate"/>
      </w:r>
      <w:r>
        <w:rPr/>
        <w:t>Each party represents to the other party that on the date a Transaction is entered into:  (i) such Transaction shall constitute an “OTC Derivative” as defined in the Securities Act (Alberta) and the Securities Act (British Columbia) either of which may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r>
        <w:rPr/>
        <w:fldChar w:fldCharType="end"/>
      </w:r>
    </w:p>
    <w:p>
      <w:pPr>
        <w:pStyle w:val="Normal"/>
        <w:jc w:val="both"/>
        <w:rPr/>
      </w:pPr>
      <w:r>
        <w:rPr/>
      </w:r>
    </w:p>
    <w:p>
      <w:pPr>
        <w:pStyle w:val="Normal"/>
        <w:jc w:val="both"/>
        <w:rPr/>
      </w:pPr>
      <w:r>
        <w:rPr/>
        <w:t>This Transaction Agreement is being provided pursuant to and in accordance with the ENFOLIO Master Firm Purchase/Sales Agreement dated March 01, 1997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Robert Bowen</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continuous"/>
      <w:pgSz w:w="12240" w:h="15840"/>
      <w:pgMar w:left="1440" w:right="1440" w:gutter="0" w:header="720" w:top="1440" w:footer="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AEC Marketing (USA), Inc.</w:t>
    </w:r>
    <w:r>
      <w:rPr/>
      <w:fldChar w:fldCharType="end"/>
    </w:r>
  </w:p>
  <w:p>
    <w:pPr>
      <w:pStyle w:val="Header"/>
      <w:rPr/>
    </w:pPr>
    <w:r>
      <w:rPr/>
      <w:t xml:space="preserve">Trans. #:  </w:t>
    </w:r>
    <w:r>
      <w:rPr/>
      <w:fldChar w:fldCharType="begin"/>
    </w:r>
    <w:r>
      <w:rPr/>
      <w:instrText xml:space="preserve"> TITLE </w:instrText>
    </w:r>
    <w:r>
      <w:rPr/>
      <w:fldChar w:fldCharType="separate"/>
    </w:r>
    <w:r>
      <w:rPr/>
      <w:t>Q02140.1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2001-10-15T18:58:00Z</dcterms:created>
  <dc:creator>ECT</dc:creator>
  <dc:description/>
  <dc:language>en-CA</dc:language>
  <cp:lastModifiedBy>srichar2</cp:lastModifiedBy>
  <dcterms:modified xsi:type="dcterms:W3CDTF">2001-10-15T18:58:00Z</dcterms:modified>
  <cp:revision>2</cp:revision>
  <dc:subject>AEC Marketing (USA), Inc.</dc:subject>
  <dc:title>Q02140.1</dc:title>
</cp:coreProperties>
</file>