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lang w:val="en-CA"/>
        </w:rPr>
      </w:r>
      <w:r>
        <w:rPr/>
        <w:t>ATTORNEY WORK  PRODUCT</w:t>
      </w:r>
    </w:p>
    <w:p>
      <w:pPr>
        <w:pStyle w:val="Normal"/>
        <w:jc w:val="end"/>
        <w:rPr>
          <w:u w:val="single"/>
        </w:rPr>
      </w:pPr>
      <w:r>
        <w:rPr>
          <w:u w:val="single"/>
        </w:rPr>
        <w:t>PRIVILEGED AND CONFIDENTIAL</w:t>
      </w:r>
    </w:p>
    <w:p>
      <w:pPr>
        <w:pStyle w:val="Memoradum"/>
        <w:spacing w:before="620" w:after="900"/>
        <w:rPr/>
      </w:pPr>
      <w:r>
        <w:rPr/>
        <w:t>M E M O R A N D U M</w:t>
      </w:r>
    </w:p>
    <w:p>
      <w:pPr>
        <w:pStyle w:val="Date"/>
        <w:tabs>
          <w:tab w:val="clear" w:pos="720"/>
          <w:tab w:val="left" w:pos="4320" w:leader="none"/>
        </w:tabs>
        <w:spacing w:before="0" w:after="600"/>
        <w:rPr/>
      </w:pPr>
      <w:r>
        <w:rPr/>
        <w:tab/>
        <w:t>December 2, 2000</w:t>
      </w:r>
    </w:p>
    <w:p>
      <w:pPr>
        <w:pStyle w:val="Normal"/>
        <w:rPr/>
      </w:pPr>
      <w:r>
        <w:rPr/>
        <w:t>TO:</w:t>
        <w:tab/>
        <w:tab/>
        <w:t xml:space="preserve">Mark Haedicke </w:t>
      </w:r>
    </w:p>
    <w:p>
      <w:pPr>
        <w:pStyle w:val="Normal"/>
        <w:ind w:firstLine="720" w:start="720" w:end="0"/>
        <w:rPr/>
      </w:pPr>
      <w:r>
        <w:rPr/>
        <w:t xml:space="preserve">John Novak </w:t>
      </w:r>
    </w:p>
    <w:p>
      <w:pPr>
        <w:pStyle w:val="Normal"/>
        <w:ind w:firstLine="720" w:start="720" w:end="0"/>
        <w:rPr/>
      </w:pPr>
      <w:r>
        <w:rPr/>
        <w:t>Elizabeth Sager</w:t>
      </w:r>
    </w:p>
    <w:p>
      <w:pPr>
        <w:pStyle w:val="Normal"/>
        <w:ind w:firstLine="720" w:start="720" w:end="0"/>
        <w:rPr/>
      </w:pPr>
      <w:r>
        <w:rPr/>
        <w:t>Lisa Alfaro</w:t>
      </w:r>
    </w:p>
    <w:p>
      <w:pPr>
        <w:pStyle w:val="Normal"/>
        <w:rPr/>
      </w:pPr>
      <w:r>
        <w:rPr/>
      </w:r>
    </w:p>
    <w:p>
      <w:pPr>
        <w:pStyle w:val="Normal"/>
        <w:rPr/>
      </w:pPr>
      <w:r>
        <w:rPr/>
        <w:t>FROM:</w:t>
        <w:tab/>
        <w:t>Tom Weil</w:t>
      </w:r>
    </w:p>
    <w:p>
      <w:pPr>
        <w:pStyle w:val="Normal"/>
        <w:rPr/>
      </w:pPr>
      <w:r>
        <w:rPr/>
        <w:tab/>
        <w:tab/>
        <w:t>Brian Bradshaw</w:t>
      </w:r>
    </w:p>
    <w:p>
      <w:pPr>
        <w:pStyle w:val="Normal"/>
        <w:rPr/>
      </w:pPr>
      <w:r>
        <w:rPr/>
      </w:r>
    </w:p>
    <w:p>
      <w:pPr>
        <w:pStyle w:val="Normal"/>
        <w:ind w:firstLine="720" w:start="2160" w:end="0"/>
        <w:rPr>
          <w:u w:val="single"/>
        </w:rPr>
      </w:pPr>
      <w:r>
        <w:rPr/>
        <w:t>RE:</w:t>
        <w:tab/>
        <w:t>Electrobolt – Consortium Agreement</w:t>
      </w:r>
    </w:p>
    <w:p>
      <w:pPr>
        <w:pStyle w:val="Normal"/>
        <w:rPr>
          <w:u w:val="single"/>
        </w:rPr>
      </w:pPr>
      <w:r>
        <w:rPr>
          <w:u w:val="single"/>
        </w:rPr>
      </w:r>
    </w:p>
    <w:p>
      <w:pPr>
        <w:pStyle w:val="Normal"/>
        <w:ind w:firstLine="360" w:end="0"/>
        <w:rPr/>
      </w:pPr>
      <w:r>
        <w:rPr/>
        <w:t xml:space="preserve">Per your request, set forth below is our preliminary listing and assessment of the principal areas of potential exposure to </w:t>
      </w:r>
      <w:r>
        <w:rPr>
          <w:color w:val="000000"/>
          <w:spacing w:val="-5"/>
          <w:szCs w:val="24"/>
        </w:rPr>
        <w:t>SFE – Sociedade Fluminense de Energia Ltda.</w:t>
      </w:r>
      <w:r>
        <w:rPr/>
        <w:t xml:space="preserve"> ("SFE") associated with  the consortium agreement ("CA") among SFE, Enron Comercializadora de Energia Ltda. ("ECE"), and </w:t>
      </w:r>
      <w:r>
        <w:rPr>
          <w:color w:val="000000"/>
          <w:spacing w:val="-5"/>
          <w:szCs w:val="24"/>
        </w:rPr>
        <w:t>Petróleo Brasileiro S.A.– Petrobras</w:t>
      </w:r>
      <w:r>
        <w:rPr/>
        <w:t xml:space="preserve"> ("Petrobras").  As discussed, this memorandum is limited in scope and is not intended to be exhaustive or comprehensive with respect to the CA or the project as a whole.</w:t>
      </w:r>
    </w:p>
    <w:p>
      <w:pPr>
        <w:pStyle w:val="Normal"/>
        <w:rPr/>
      </w:pPr>
      <w:r>
        <w:rPr/>
      </w:r>
    </w:p>
    <w:p>
      <w:pPr>
        <w:pStyle w:val="BodyText"/>
        <w:numPr>
          <w:ilvl w:val="0"/>
          <w:numId w:val="2"/>
        </w:numPr>
        <w:rPr/>
      </w:pPr>
      <w:r>
        <w:rPr>
          <w:u w:val="single"/>
        </w:rPr>
        <w:t>Dollar Indexation</w:t>
      </w:r>
      <w:r>
        <w:rPr/>
        <w:t xml:space="preserve"> – The "payment" obligation of Petrobras to the Consortium under the CA may not be enforceable with respect to the indexation of any amounts to Dollars</w:t>
      </w:r>
      <w:r>
        <w:rPr>
          <w:color w:val="000000"/>
        </w:rPr>
        <w:t xml:space="preserve">.  In general, two Brazilian entities may not index payments to Dollars.  However, the "payment" by Petrobras under the CA is characterized as a "capital contribution" and not a payment.  This represents an exception to the general prohibition.  Local counsel will deliver an opinion regarding the enforceability of this provision. </w:t>
      </w:r>
    </w:p>
    <w:p>
      <w:pPr>
        <w:pStyle w:val="BodyText"/>
        <w:rPr/>
      </w:pPr>
      <w:r>
        <w:rPr/>
      </w:r>
    </w:p>
    <w:p>
      <w:pPr>
        <w:pStyle w:val="BodyText"/>
        <w:numPr>
          <w:ilvl w:val="0"/>
          <w:numId w:val="2"/>
        </w:numPr>
        <w:rPr>
          <w:color w:val="000000"/>
        </w:rPr>
      </w:pPr>
      <w:r>
        <w:rPr>
          <w:u w:val="single"/>
        </w:rPr>
        <w:t>Arbitration Provision and Award</w:t>
      </w:r>
      <w:r>
        <w:rPr/>
        <w:t xml:space="preserve"> – Currently, a case is before the Supreme Court in Brazil that brings a constitutional challenge to the enforceability of a binding agreement to settle disputes under international arbitration. The Supreme Court in Brazil may delay the enforcement of the arbitration award.</w:t>
      </w:r>
    </w:p>
    <w:p>
      <w:pPr>
        <w:pStyle w:val="BodyText"/>
        <w:rPr>
          <w:color w:val="000000"/>
        </w:rPr>
      </w:pPr>
      <w:r>
        <w:rPr>
          <w:color w:val="000000"/>
        </w:rPr>
      </w:r>
    </w:p>
    <w:p>
      <w:pPr>
        <w:pStyle w:val="BodyText"/>
        <w:numPr>
          <w:ilvl w:val="0"/>
          <w:numId w:val="2"/>
        </w:numPr>
        <w:rPr>
          <w:color w:val="000000"/>
        </w:rPr>
      </w:pPr>
      <w:r>
        <w:rPr>
          <w:u w:val="single"/>
        </w:rPr>
        <w:t>Construction Risk</w:t>
      </w:r>
      <w:r>
        <w:rPr/>
        <w:t xml:space="preserve"> – SFE runs the risk of cost overruns and delays in construction.  The CA does not adjust the monthly capacity payment or energy payment for these potential increases in project costs.</w:t>
      </w:r>
    </w:p>
    <w:p>
      <w:pPr>
        <w:pStyle w:val="BodyText"/>
        <w:rPr>
          <w:color w:val="000000"/>
        </w:rPr>
      </w:pPr>
      <w:r>
        <w:rPr>
          <w:color w:val="000000"/>
        </w:rPr>
      </w:r>
    </w:p>
    <w:p>
      <w:pPr>
        <w:pStyle w:val="BodyText"/>
        <w:numPr>
          <w:ilvl w:val="0"/>
          <w:numId w:val="2"/>
        </w:numPr>
        <w:rPr>
          <w:color w:val="000000"/>
        </w:rPr>
      </w:pPr>
      <w:r>
        <w:rPr>
          <w:color w:val="000000"/>
          <w:u w:val="single"/>
        </w:rPr>
        <w:t>Operating Risk</w:t>
      </w:r>
      <w:r>
        <w:rPr>
          <w:color w:val="000000"/>
        </w:rPr>
        <w:t xml:space="preserve"> – SFE has operational risk of the plant.  If the heat rate or availability factor is worse than expected, SFE will experience reduced profit margins, or, in extreme circumstances, may have to absorb actual losses. </w:t>
      </w:r>
    </w:p>
    <w:p>
      <w:pPr>
        <w:pStyle w:val="BodyText"/>
        <w:rPr>
          <w:color w:val="000000"/>
        </w:rPr>
      </w:pPr>
      <w:r>
        <w:rPr>
          <w:color w:val="000000"/>
        </w:rPr>
      </w:r>
    </w:p>
    <w:p>
      <w:pPr>
        <w:pStyle w:val="BodyText"/>
        <w:numPr>
          <w:ilvl w:val="0"/>
          <w:numId w:val="2"/>
        </w:numPr>
        <w:rPr>
          <w:color w:val="000000"/>
        </w:rPr>
      </w:pPr>
      <w:r>
        <w:rPr>
          <w:color w:val="000000"/>
          <w:u w:val="single"/>
        </w:rPr>
        <w:t>Commissioning Delay Charges</w:t>
      </w:r>
      <w:r>
        <w:rPr>
          <w:color w:val="000000"/>
        </w:rPr>
        <w:t xml:space="preserve"> – SFE is required to finance, subject to a right of reimbursement upon achieving commercial operations, all expenses associated with delays in commissioning of the plant resulting from the failure of Petrobras to deliver natural gas.  SFE may lack sufficient funds to finance these costs.</w:t>
      </w:r>
    </w:p>
    <w:p>
      <w:pPr>
        <w:pStyle w:val="BodyText"/>
        <w:rPr>
          <w:color w:val="000000"/>
        </w:rPr>
      </w:pPr>
      <w:r>
        <w:rPr>
          <w:color w:val="000000"/>
        </w:rPr>
      </w:r>
    </w:p>
    <w:p>
      <w:pPr>
        <w:pStyle w:val="BodyText"/>
        <w:numPr>
          <w:ilvl w:val="0"/>
          <w:numId w:val="2"/>
        </w:numPr>
        <w:rPr>
          <w:color w:val="000000"/>
        </w:rPr>
      </w:pPr>
      <w:r>
        <w:rPr>
          <w:color w:val="000000"/>
          <w:u w:val="single"/>
        </w:rPr>
        <w:t>Excused Failures to SFE's Performance</w:t>
      </w:r>
      <w:r>
        <w:rPr>
          <w:color w:val="000000"/>
        </w:rPr>
        <w:t xml:space="preserve"> – SFE is excused from performance under the CA under certain limited categories such as force majeure, political force majeure, maintenance (scheduled and unscheduled) and failure of the fuel supply.  If SFE fails to perform and such failure does not satisfy the requirements set forth in the CA, SFE will have a reduction in its capacity payment. </w:t>
      </w:r>
    </w:p>
    <w:p>
      <w:pPr>
        <w:pStyle w:val="BodyText"/>
        <w:rPr>
          <w:color w:val="000000"/>
        </w:rPr>
      </w:pPr>
      <w:r>
        <w:rPr>
          <w:color w:val="000000"/>
        </w:rPr>
      </w:r>
    </w:p>
    <w:p>
      <w:pPr>
        <w:pStyle w:val="BodyText"/>
        <w:numPr>
          <w:ilvl w:val="0"/>
          <w:numId w:val="2"/>
        </w:numPr>
        <w:rPr>
          <w:color w:val="000000"/>
        </w:rPr>
      </w:pPr>
      <w:r>
        <w:rPr>
          <w:color w:val="000000"/>
          <w:u w:val="single"/>
        </w:rPr>
        <w:t>Calculation of Termination Damages</w:t>
      </w:r>
      <w:r>
        <w:rPr>
          <w:color w:val="000000"/>
        </w:rPr>
        <w:t xml:space="preserve"> – The amount SFE must pay to Petrobras upon a termination resulting from a SFE default contains broad language that may be construed as being inconsistent with the limitations on liability established elsewhere in the CA.  Mitigating this exposure is the low likelihood of default by SFE and the lack of parent or affiliate liability for SFE's payment obligations upon an event of default.</w:t>
      </w:r>
    </w:p>
    <w:p>
      <w:pPr>
        <w:pStyle w:val="BodyText"/>
        <w:rPr>
          <w:color w:val="000000"/>
        </w:rPr>
      </w:pPr>
      <w:r>
        <w:rPr>
          <w:color w:val="000000"/>
        </w:rPr>
      </w:r>
    </w:p>
    <w:p>
      <w:pPr>
        <w:pStyle w:val="BodyText"/>
        <w:numPr>
          <w:ilvl w:val="0"/>
          <w:numId w:val="2"/>
        </w:numPr>
        <w:rPr>
          <w:color w:val="000000"/>
        </w:rPr>
      </w:pPr>
      <w:r>
        <w:rPr>
          <w:color w:val="000000"/>
          <w:u w:val="single"/>
        </w:rPr>
        <w:t>Fuel Supply</w:t>
      </w:r>
      <w:r>
        <w:rPr>
          <w:color w:val="000000"/>
        </w:rPr>
        <w:t xml:space="preserve"> –  Under the CA, Petrobras is obligated to deliver fuel satisfying specific requirements.  If Petrobras fails to deliver fuel that conforms to these requirements, SFE may reject such fuel.  Petrobras is further obligated to contribute capital to the Consortium to cover any shortfall in revenues so that SFE receives its capacity allocation each month.</w:t>
      </w:r>
    </w:p>
    <w:p>
      <w:pPr>
        <w:pStyle w:val="BodyText"/>
        <w:rPr>
          <w:color w:val="000000"/>
        </w:rPr>
      </w:pPr>
      <w:r>
        <w:rPr>
          <w:color w:val="000000"/>
        </w:rPr>
      </w:r>
    </w:p>
    <w:p>
      <w:pPr>
        <w:pStyle w:val="BodyText"/>
        <w:numPr>
          <w:ilvl w:val="0"/>
          <w:numId w:val="2"/>
        </w:numPr>
        <w:rPr>
          <w:color w:val="000000"/>
        </w:rPr>
      </w:pPr>
      <w:r>
        <w:rPr>
          <w:color w:val="000000"/>
          <w:u w:val="single"/>
        </w:rPr>
        <w:t>Regulatory Uncertainty</w:t>
      </w:r>
      <w:r>
        <w:rPr>
          <w:color w:val="000000"/>
        </w:rPr>
        <w:t xml:space="preserve">  – The regulatory environment in Brazil is still evolving.  The rules regarding dispatch of the plant and declarations of availability currently only exist in draft form.  Any changes in the actual regulatory environment from the anticipated one may have a negative impact on the project.</w:t>
      </w:r>
    </w:p>
    <w:p>
      <w:pPr>
        <w:pStyle w:val="BodyText"/>
        <w:rPr>
          <w:color w:val="000000"/>
        </w:rPr>
      </w:pPr>
      <w:r>
        <w:rPr>
          <w:color w:val="000000"/>
        </w:rPr>
      </w:r>
    </w:p>
    <w:p>
      <w:pPr>
        <w:pStyle w:val="BodyText"/>
        <w:numPr>
          <w:ilvl w:val="0"/>
          <w:numId w:val="2"/>
        </w:numPr>
        <w:rPr>
          <w:color w:val="000000"/>
        </w:rPr>
      </w:pPr>
      <w:r>
        <w:rPr>
          <w:color w:val="000000"/>
          <w:u w:val="single"/>
        </w:rPr>
        <w:t>Gas Nominations and Dispatch of the Plant</w:t>
      </w:r>
      <w:r>
        <w:rPr>
          <w:color w:val="000000"/>
        </w:rPr>
        <w:t xml:space="preserve"> –  Because both the fuel nomination procedures and the dispatch procedures for the plant are still being developed, a potential mismatch may develop if the final procedures for nomination and dispatch of the plant are not appropriately synchronized.</w:t>
      </w:r>
    </w:p>
    <w:p>
      <w:pPr>
        <w:pStyle w:val="BodyText"/>
        <w:rPr>
          <w:color w:val="000000"/>
        </w:rPr>
      </w:pPr>
      <w:r>
        <w:rPr>
          <w:color w:val="000000"/>
        </w:rPr>
      </w:r>
    </w:p>
    <w:p>
      <w:pPr>
        <w:pStyle w:val="BodyText"/>
        <w:numPr>
          <w:ilvl w:val="0"/>
          <w:numId w:val="2"/>
        </w:numPr>
        <w:rPr>
          <w:color w:val="000000"/>
        </w:rPr>
      </w:pPr>
      <w:r>
        <w:rPr>
          <w:color w:val="000000"/>
          <w:u w:val="single"/>
        </w:rPr>
        <w:t>Political Force Majeure</w:t>
      </w:r>
      <w:r>
        <w:rPr>
          <w:color w:val="000000"/>
        </w:rPr>
        <w:t xml:space="preserve"> – Termination for political force majeure was heavily negotiated between the parties.  The final result apportioned risk between each of the parties.</w:t>
      </w:r>
      <w:r>
        <w:rPr>
          <w:rFonts w:cs="Arial"/>
          <w:color w:val="000000"/>
        </w:rPr>
        <w:t xml:space="preserve">  If the CA is terminated as a result of political force majeure that began prior to March 31, 2001, SFE is entitled to receive the lesser of its actual costs and $15 million.  If the CA is terminated as a result of political force majeure that occurs following March 31, 2001 (unless SFE has not shipped the turbines), the parent of SFE is entitled to terminate the CA, following the payment by Petrobras of the capacity payment for 12 consecutive months, and either (a) transfer the site with all fixtures to Petrobras, or (b) transfer the shares in SFE  in consideration of the net asset value of SFE.  These amounts may be insufficient to reimburse SFE or actual costs incurred.</w:t>
      </w:r>
    </w:p>
    <w:p>
      <w:pPr>
        <w:pStyle w:val="BodyText"/>
        <w:rPr>
          <w:color w:val="000000"/>
        </w:rPr>
      </w:pPr>
      <w:r>
        <w:rPr>
          <w:color w:val="000000"/>
        </w:rPr>
      </w:r>
    </w:p>
    <w:p>
      <w:pPr>
        <w:pStyle w:val="BodyText"/>
        <w:numPr>
          <w:ilvl w:val="0"/>
          <w:numId w:val="2"/>
        </w:numPr>
        <w:rPr>
          <w:color w:val="000000"/>
        </w:rPr>
      </w:pPr>
      <w:r>
        <w:rPr>
          <w:color w:val="000000"/>
          <w:u w:val="single"/>
        </w:rPr>
        <w:t>Market Prices Revenues</w:t>
      </w:r>
      <w:r>
        <w:rPr>
          <w:color w:val="000000"/>
        </w:rPr>
        <w:t xml:space="preserve"> – The actual revenues received by the consortium may not match projected amounts due to inadequate demand or over supply of power, or governmental restraints on the price of electricity.  In any month in which market revenues are insufficient to cover the capacity and energy charge owed to SFE, Petrobras is obligated to contribute capital to the Consortium to cover any shortfall in revenues.</w:t>
      </w:r>
    </w:p>
    <w:p>
      <w:pPr>
        <w:pStyle w:val="BodyText"/>
        <w:rPr>
          <w:color w:val="000000"/>
        </w:rPr>
      </w:pPr>
      <w:r>
        <w:rPr>
          <w:color w:val="000000"/>
        </w:rPr>
      </w:r>
    </w:p>
    <w:p>
      <w:pPr>
        <w:pStyle w:val="BodyText"/>
        <w:ind w:firstLine="360" w:end="0"/>
        <w:rPr/>
      </w:pPr>
      <w:r>
        <w:rPr/>
        <w:t xml:space="preserve">Please note that the CA is governed by Brazilian law.  We are not licensed to practice law in Brazil and can form no opinion regarding the applicability of Brazilian law to the project.  Accordingly, the views of local counsel should be considered in evaluating those of the foregoing issues that may turn on an interpretation of Brazilian law.  We have appreciated the opportunity to work on this transaction, if you have any questions or comments, please feel free to contact either Tom at 713-655-5210 or Brian at 713-655-5141. </w:t>
      </w:r>
    </w:p>
    <w:p>
      <w:pPr>
        <w:pStyle w:val="BodyText"/>
        <w:rPr/>
      </w:pPr>
      <w:r>
        <w:rPr/>
      </w:r>
    </w:p>
    <w:p>
      <w:pPr>
        <w:pStyle w:val="BodyText"/>
        <w:rPr/>
      </w:pPr>
      <w:r>
        <w:rPr/>
      </w:r>
    </w:p>
    <w:sectPr>
      <w:headerReference w:type="default" r:id="rId2"/>
      <w:headerReference w:type="first" r:id="rId3"/>
      <w:footerReference w:type="default" r:id="rId4"/>
      <w:footerReference w:type="first" r:id="rId5"/>
      <w:type w:val="nextPage"/>
      <w:pgSz w:w="12240" w:h="15840"/>
      <w:pgMar w:left="2160" w:right="1872" w:gutter="0" w:header="1080" w:top="1872"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2.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B"/>
      <w:ind w:end="-1440"/>
      <w:rPr/>
    </w:pPr>
    <w:r>
      <w:rPr/>
      <w:t>41370.1-Houston Server 1A</w:t>
      <w:tab/>
      <w:tab/>
      <w:t>Draft December 2, 2000 - 2:38 PM</w:t>
    </w:r>
  </w:p>
  <w:p>
    <w:pPr>
      <w:pStyle w:val="FooterB"/>
      <w:ind w:end="-1440"/>
      <w:rPr/>
    </w:pPr>
    <w:r>
      <w:rPr/>
      <w:tab/>
      <w:tab/>
      <w:t xml:space="preserve">WORD Document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ind w:end="-1440"/>
      <w:rPr/>
    </w:pPr>
    <w:r>
      <w:rPr/>
      <w:t>41370.1-Houston Server 1A</w:t>
      <w:tab/>
      <w:tab/>
      <w:t>Draft December 2, 2000 - 2:38 PM</w:t>
    </w:r>
  </w:p>
  <w:p>
    <w:pPr>
      <w:pStyle w:val="FooterB"/>
      <w:ind w:end="-1440"/>
      <w:rPr/>
    </w:pPr>
    <w:r>
      <w:rPr/>
      <w:tab/>
      <w:tab/>
      <w:t xml:space="preserve">WORD Document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pPr>
    <w:r>
      <w:fldChar w:fldCharType="begin"/>
    </w:r>
    <w:r>
      <w:rPr/>
      <w:instrText xml:space="preserve"> advance \x -50</w:instrText>
    </w:r>
    <w:r>
      <w:rPr/>
    </w:r>
    <w:r>
      <w:rPr/>
      <w:fldChar w:fldCharType="separate"/>
    </w:r>
    <w:r>
      <w:rPr/>
    </w:r>
    <w:r>
      <w:rPr/>
    </w:r>
    <w:r>
      <w:rPr/>
      <w:fldChar w:fldCharType="end"/>
    </w:r>
    <w:r>
      <w:rPr/>
      <w:t>Skadden, Arps, Slate, Meagher &amp; Flom llp and affiliates</w:t>
    </w:r>
  </w:p>
  <w:p>
    <w:pPr>
      <w:pStyle w:val="Header"/>
      <w:ind w:start="-99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
    <w:qFormat/>
    <w:pPr>
      <w:keepNext w:val="true"/>
      <w:numPr>
        <w:ilvl w:val="2"/>
        <w:numId w:val="1"/>
      </w:numPr>
      <w:jc w:val="center"/>
      <w:outlineLvl w:val="2"/>
    </w:pPr>
    <w:rPr>
      <w:u w:val="single"/>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raftline">
    <w:name w:val="Draftline"/>
    <w:basedOn w:val="DefaultParagraphFont"/>
    <w:qFormat/>
    <w:rPr>
      <w:rFonts w:ascii="Times New Roman" w:hAnsi="Times New Roman" w:cs="Times New Roman"/>
      <w:vanish/>
      <w:color w:val="FF0000"/>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LetterHead">
    <w:name w:val="LetterHead"/>
    <w:basedOn w:val="Normal"/>
    <w:qFormat/>
    <w:pPr/>
    <w:rPr>
      <w:rFonts w:ascii="EngraversGothic BT" w:hAnsi="EngraversGothic BT" w:cs="EngraversGothic BT"/>
      <w:smallCaps/>
      <w:color w:val="80808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Memoradum">
    <w:name w:val="Memoradum"/>
    <w:basedOn w:val="Normal"/>
    <w:qFormat/>
    <w:pPr>
      <w:spacing w:before="720" w:after="720"/>
      <w:jc w:val="center"/>
    </w:pPr>
    <w:rPr>
      <w:u w:val="single"/>
    </w:rPr>
  </w:style>
  <w:style w:type="paragraph" w:styleId="ReferenceLine">
    <w:name w:val="Reference Line"/>
    <w:basedOn w:val="Normal"/>
    <w:next w:val="Normal"/>
    <w:qFormat/>
    <w:pPr>
      <w:tabs>
        <w:tab w:val="clear" w:pos="720"/>
        <w:tab w:val="left" w:pos="8194" w:leader="none"/>
      </w:tabs>
      <w:spacing w:before="240" w:after="480"/>
      <w:ind w:hanging="864" w:start="3024" w:end="0"/>
    </w:pPr>
    <w:rPr/>
  </w:style>
  <w:style w:type="paragraph" w:styleId="Date">
    <w:name w:val="Date"/>
    <w:basedOn w:val="Normal"/>
    <w:next w:val="Normal"/>
    <w:qFormat/>
    <w:pPr>
      <w:spacing w:before="0" w:after="480"/>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before="0" w:after="120"/>
    </w:pPr>
    <w:rPr/>
  </w:style>
  <w:style w:type="paragraph" w:styleId="Confidential">
    <w:name w:val="Confidential"/>
    <w:basedOn w:val="Normal"/>
    <w:qFormat/>
    <w:pPr>
      <w:jc w:val="end"/>
    </w:pPr>
    <w:rPr/>
  </w:style>
  <w:style w:type="paragraph" w:styleId="To">
    <w:name w:val="To"/>
    <w:basedOn w:val="Normal"/>
    <w:qFormat/>
    <w:pPr>
      <w:spacing w:before="60" w:after="60"/>
    </w:pPr>
    <w:rPr>
      <w:sz w:val="20"/>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ToText">
    <w:name w:val="To Text"/>
    <w:basedOn w:val="Normal"/>
    <w:qFormat/>
    <w:pPr>
      <w:tabs>
        <w:tab w:val="clear" w:pos="720"/>
        <w:tab w:val="left" w:pos="1080" w:leader="none"/>
      </w:tabs>
    </w:pPr>
    <w:rPr/>
  </w:style>
  <w:style w:type="paragraph" w:styleId="FromText">
    <w:name w:val="From Text"/>
    <w:basedOn w:val="Normal"/>
    <w:qFormat/>
    <w:pPr>
      <w:tabs>
        <w:tab w:val="clear" w:pos="720"/>
        <w:tab w:val="left" w:pos="1080" w:leader="none"/>
      </w:tabs>
    </w:pPr>
    <w:rPr/>
  </w:style>
  <w:style w:type="paragraph" w:styleId="PlainText">
    <w:name w:val="Plain Text"/>
    <w:basedOn w:val="Normal"/>
    <w:qFormat/>
    <w:pPr/>
    <w:rPr>
      <w:rFonts w:cs="EngraversGothic BT"/>
    </w:rPr>
  </w:style>
  <w:style w:type="paragraph" w:styleId="From">
    <w:name w:val="From"/>
    <w:basedOn w:val="Normal"/>
    <w:qFormat/>
    <w:pPr>
      <w:spacing w:before="60" w:after="6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2000-12-01T23:10:00Z</dcterms:created>
  <dc:creator/>
  <dc:description/>
  <dc:language>en-CA</dc:language>
  <cp:lastModifiedBy>USER</cp:lastModifiedBy>
  <cp:lastPrinted>2000-12-02T14:38:00Z</cp:lastPrinted>
  <dcterms:modified xsi:type="dcterms:W3CDTF">2000-12-02T20:21:00Z</dcterms:modified>
  <cp:revision>27</cp:revision>
  <dc:subject/>
  <dc:title/>
</cp:coreProperties>
</file>