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7.xml" ContentType="application/vnd.openxmlformats-officedocument.wordprocessingml.header+xml"/>
  <Override PartName="/word/document.xml" ContentType="application/vnd.openxmlformats-officedocument.wordprocessingml.document.main+xml"/>
  <Override PartName="/word/header6.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media/image1.wmf" ContentType="image/x-wmf"/>
  <Override PartName="/word/footer5.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Override PartName="/word/_rels/document.xml.rels" ContentType="application/vnd.openxmlformats-package.relationships+xml"/>
  <Override PartName="/word/header8.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1"/>
        <w:rPr/>
      </w:pPr>
      <w:r>
        <w:rPr/>
        <w:t>Court of Appeals No.</w:t>
      </w:r>
      <w:bookmarkStart w:id="0" w:name="No"/>
      <w:bookmarkEnd w:id="0"/>
      <w:r>
        <w:rPr/>
        <w:t xml:space="preserve"> 01-15449</w:t>
      </w:r>
    </w:p>
    <w:p>
      <w:pPr>
        <w:pStyle w:val="Normal"/>
        <w:jc w:val="center"/>
        <w:rPr/>
      </w:pPr>
      <w:r>
        <w:rPr/>
        <w:t>__________________________________________________</w:t>
      </w:r>
    </w:p>
    <w:p>
      <w:pPr>
        <w:pStyle w:val="Normal"/>
        <w:jc w:val="center"/>
        <w:rPr/>
      </w:pPr>
      <w:r>
        <w:rPr/>
      </w:r>
    </w:p>
    <w:p>
      <w:pPr>
        <w:pStyle w:val="Normal"/>
        <w:jc w:val="center"/>
        <w:rPr/>
      </w:pPr>
      <w:r>
        <w:rPr/>
        <w:t>UNITED STATES COURT OF APPEALS</w:t>
      </w:r>
    </w:p>
    <w:p>
      <w:pPr>
        <w:pStyle w:val="Normal"/>
        <w:jc w:val="center"/>
        <w:rPr/>
      </w:pPr>
      <w:r>
        <w:rPr/>
        <w:t>FOR THE NINTH CIRCUIT</w:t>
      </w:r>
    </w:p>
    <w:p>
      <w:pPr>
        <w:pStyle w:val="Normal"/>
        <w:jc w:val="center"/>
        <w:rPr/>
      </w:pPr>
      <w:r>
        <w:rPr/>
        <w:t>__________________________________________________</w:t>
      </w:r>
    </w:p>
    <w:p>
      <w:pPr>
        <w:pStyle w:val="Normal"/>
        <w:jc w:val="center"/>
        <w:rPr/>
      </w:pPr>
      <w:r>
        <w:rPr/>
      </w:r>
    </w:p>
    <w:p>
      <w:pPr>
        <w:pStyle w:val="Normal"/>
        <w:jc w:val="center"/>
        <w:rPr/>
      </w:pPr>
      <w:bookmarkStart w:id="1" w:name="pl"/>
      <w:bookmarkEnd w:id="1"/>
      <w:r>
        <w:rPr/>
        <w:t>TRANSMISSION AGENCY OF NORTHERN CALIFORNIA,</w:t>
      </w:r>
    </w:p>
    <w:p>
      <w:pPr>
        <w:pStyle w:val="Normal"/>
        <w:jc w:val="center"/>
        <w:rPr/>
      </w:pPr>
      <w:r>
        <w:rPr/>
      </w:r>
    </w:p>
    <w:p>
      <w:pPr>
        <w:pStyle w:val="Normal"/>
        <w:jc w:val="center"/>
        <w:rPr/>
      </w:pPr>
      <w:bookmarkStart w:id="2" w:name="pl2"/>
      <w:bookmarkEnd w:id="2"/>
      <w:r>
        <w:rPr/>
        <w:t>Plaintiff and Appellant,</w:t>
      </w:r>
    </w:p>
    <w:p>
      <w:pPr>
        <w:pStyle w:val="Normal"/>
        <w:jc w:val="center"/>
        <w:rPr/>
      </w:pPr>
      <w:r>
        <w:rPr/>
      </w:r>
    </w:p>
    <w:p>
      <w:pPr>
        <w:pStyle w:val="Normal"/>
        <w:jc w:val="center"/>
        <w:rPr/>
      </w:pPr>
      <w:r>
        <w:rPr/>
        <w:t>v.</w:t>
      </w:r>
    </w:p>
    <w:p>
      <w:pPr>
        <w:pStyle w:val="Normal"/>
        <w:jc w:val="center"/>
        <w:rPr/>
      </w:pPr>
      <w:r>
        <w:rPr/>
      </w:r>
    </w:p>
    <w:p>
      <w:pPr>
        <w:pStyle w:val="Normal"/>
        <w:jc w:val="center"/>
        <w:rPr/>
      </w:pPr>
      <w:bookmarkStart w:id="3" w:name="de"/>
      <w:bookmarkEnd w:id="3"/>
      <w:r>
        <w:rPr/>
        <w:t>SIERRA PACIFIC POWER COMPANY, BONNEVILLE POWER ADMINISTRATION, PACIFICORP, and</w:t>
      </w:r>
    </w:p>
    <w:p>
      <w:pPr>
        <w:pStyle w:val="Normal"/>
        <w:jc w:val="center"/>
        <w:rPr/>
      </w:pPr>
      <w:r>
        <w:rPr/>
        <w:t>PORTLAND GENERAL ELECTRIC COMPANY,</w:t>
      </w:r>
    </w:p>
    <w:p>
      <w:pPr>
        <w:pStyle w:val="Normal"/>
        <w:jc w:val="center"/>
        <w:rPr/>
      </w:pPr>
      <w:r>
        <w:rPr/>
      </w:r>
    </w:p>
    <w:p>
      <w:pPr>
        <w:pStyle w:val="Normal"/>
        <w:jc w:val="center"/>
        <w:rPr/>
      </w:pPr>
      <w:bookmarkStart w:id="4" w:name="de2"/>
      <w:bookmarkEnd w:id="4"/>
      <w:r>
        <w:rPr/>
        <w:t>Defendants and Appellees</w:t>
      </w:r>
    </w:p>
    <w:p>
      <w:pPr>
        <w:pStyle w:val="Normal"/>
        <w:ind w:end="1170"/>
        <w:jc w:val="end"/>
        <w:rPr/>
      </w:pPr>
      <w:r>
        <w:rPr/>
        <w:t>__________________________________________________</w:t>
      </w:r>
    </w:p>
    <w:p>
      <w:pPr>
        <w:pStyle w:val="Normal"/>
        <w:jc w:val="center"/>
        <w:rPr/>
      </w:pPr>
      <w:r>
        <w:rPr/>
      </w:r>
    </w:p>
    <w:p>
      <w:pPr>
        <w:pStyle w:val="Normal"/>
        <w:jc w:val="center"/>
        <w:rPr/>
      </w:pPr>
      <w:r>
        <w:rPr/>
        <w:t xml:space="preserve">On Appeal From </w:t>
      </w:r>
      <w:bookmarkStart w:id="5" w:name="court"/>
      <w:bookmarkEnd w:id="5"/>
      <w:r>
        <w:rPr/>
        <w:t>a Judgment of the United States District Court</w:t>
      </w:r>
    </w:p>
    <w:p>
      <w:pPr>
        <w:pStyle w:val="Normal"/>
        <w:jc w:val="center"/>
        <w:rPr/>
      </w:pPr>
      <w:r>
        <w:rPr/>
        <w:t xml:space="preserve">For The </w:t>
      </w:r>
      <w:bookmarkStart w:id="6" w:name="District"/>
      <w:bookmarkEnd w:id="6"/>
      <w:r>
        <w:rPr/>
        <w:t>Eastern District of California</w:t>
      </w:r>
    </w:p>
    <w:p>
      <w:pPr>
        <w:pStyle w:val="Normal"/>
        <w:jc w:val="center"/>
        <w:rPr/>
      </w:pPr>
      <w:bookmarkStart w:id="7" w:name="LowerNo"/>
      <w:bookmarkEnd w:id="7"/>
      <w:r>
        <w:rPr/>
        <w:t>Case No. CIV S-00-1081 WBS DAD</w:t>
      </w:r>
    </w:p>
    <w:p>
      <w:pPr>
        <w:pStyle w:val="Normal"/>
        <w:jc w:val="center"/>
        <w:rPr/>
      </w:pPr>
      <w:r>
        <w:rPr/>
        <w:t xml:space="preserve">The Honorable </w:t>
      </w:r>
      <w:bookmarkStart w:id="8" w:name="judge"/>
      <w:bookmarkEnd w:id="8"/>
      <w:r>
        <w:rPr/>
        <w:t>William B. Shubb, United States District Judge</w:t>
      </w:r>
    </w:p>
    <w:p>
      <w:pPr>
        <w:pStyle w:val="Normal"/>
        <w:jc w:val="center"/>
        <w:rPr/>
      </w:pPr>
      <w:r>
        <w:rPr/>
        <w:t>__________________________________________________</w:t>
      </w:r>
    </w:p>
    <w:p>
      <w:pPr>
        <w:pStyle w:val="Normal"/>
        <w:jc w:val="center"/>
        <w:rPr/>
      </w:pPr>
      <w:r>
        <w:rPr/>
      </w:r>
    </w:p>
    <w:p>
      <w:pPr>
        <w:pStyle w:val="Normal"/>
        <w:jc w:val="center"/>
        <w:rPr>
          <w:b/>
          <w:bCs/>
        </w:rPr>
      </w:pPr>
      <w:bookmarkStart w:id="9" w:name="title"/>
      <w:bookmarkEnd w:id="9"/>
      <w:r>
        <w:rPr>
          <w:b/>
          <w:bCs/>
        </w:rPr>
        <w:t>APPELLEE PORTLAND GENERAL ELECTRIC COMPANY'S ANSWERING BRIEF</w:t>
      </w:r>
    </w:p>
    <w:p>
      <w:pPr>
        <w:pStyle w:val="Normal"/>
        <w:jc w:val="center"/>
        <w:rPr/>
      </w:pPr>
      <w:r>
        <w:rPr/>
        <w:t>__________________________________________________</w:t>
      </w:r>
    </w:p>
    <w:p>
      <w:pPr>
        <w:pStyle w:val="Normal"/>
        <w:jc w:val="center"/>
        <w:rPr/>
      </w:pPr>
      <w:r>
        <w:rPr/>
      </w:r>
    </w:p>
    <w:p>
      <w:pPr>
        <w:pStyle w:val="Signature"/>
        <w:rPr/>
      </w:pPr>
      <w:bookmarkStart w:id="10" w:name="FirmName"/>
      <w:bookmarkStart w:id="11" w:name="atty"/>
      <w:bookmarkEnd w:id="10"/>
      <w:bookmarkEnd w:id="11"/>
      <w:r>
        <w:rPr/>
        <w:t>William F. Martson, Jr.</w:t>
      </w:r>
    </w:p>
    <w:p>
      <w:pPr>
        <w:pStyle w:val="Signature"/>
        <w:rPr/>
      </w:pPr>
      <w:r>
        <w:rPr/>
        <w:t>Steven M. Wilker</w:t>
      </w:r>
    </w:p>
    <w:p>
      <w:pPr>
        <w:pStyle w:val="Signature"/>
        <w:rPr/>
      </w:pPr>
      <w:r>
        <w:rPr/>
        <w:t>David S. Aman</w:t>
      </w:r>
    </w:p>
    <w:p>
      <w:pPr>
        <w:pStyle w:val="Signature"/>
        <w:rPr/>
      </w:pPr>
      <w:r>
        <w:rPr/>
        <w:t>TONKON TORP LLP</w:t>
      </w:r>
    </w:p>
    <w:p>
      <w:pPr>
        <w:pStyle w:val="Signature"/>
        <w:rPr/>
      </w:pPr>
      <w:bookmarkStart w:id="12" w:name="FirmAddress"/>
      <w:bookmarkEnd w:id="12"/>
      <w:r>
        <w:rPr/>
        <w:t>1600 Pioneer Tower</w:t>
      </w:r>
    </w:p>
    <w:p>
      <w:pPr>
        <w:pStyle w:val="Signature"/>
        <w:rPr/>
      </w:pPr>
      <w:r>
        <w:rPr/>
        <w:t>888 SW Fifth Avenue</w:t>
      </w:r>
    </w:p>
    <w:p>
      <w:pPr>
        <w:pStyle w:val="Signature"/>
        <w:rPr/>
      </w:pPr>
      <w:r>
        <w:rPr/>
        <w:t>Portland, OR  97204-2099</w:t>
      </w:r>
    </w:p>
    <w:p>
      <w:pPr>
        <w:pStyle w:val="Signature"/>
        <w:rPr/>
      </w:pPr>
      <w:bookmarkStart w:id="13" w:name="FirmPhone"/>
      <w:bookmarkEnd w:id="13"/>
      <w:r>
        <w:rPr/>
        <w:t>Telephone:</w:t>
        <w:tab/>
        <w:t>(503) 221-1440</w:t>
      </w:r>
    </w:p>
    <w:p>
      <w:pPr>
        <w:sectPr>
          <w:headerReference w:type="default" r:id="rId2"/>
          <w:type w:val="nextPage"/>
          <w:pgSz w:w="12240" w:h="15840"/>
          <w:pgMar w:left="1440" w:right="1440" w:gutter="0" w:header="720" w:top="1440" w:footer="0" w:bottom="1440"/>
          <w:pgNumType w:start="0" w:fmt="decimal"/>
          <w:formProt w:val="false"/>
          <w:textDirection w:val="lrTb"/>
          <w:docGrid w:type="default" w:linePitch="360" w:charSpace="0"/>
        </w:sectPr>
        <w:pStyle w:val="Signature"/>
        <w:rPr/>
      </w:pPr>
      <w:r>
        <w:rPr/>
        <w:t xml:space="preserve">Attorneys for </w:t>
      </w:r>
      <w:bookmarkStart w:id="14" w:name="client"/>
      <w:bookmarkEnd w:id="14"/>
      <w:r>
        <w:rPr/>
        <w:t>Appellee Portland General Electric Company</w:t>
      </w:r>
    </w:p>
    <w:p>
      <w:pPr>
        <w:pStyle w:val="Normal"/>
        <w:jc w:val="center"/>
        <w:rPr>
          <w:b/>
          <w:bCs/>
        </w:rPr>
      </w:pPr>
      <w:r>
        <w:rPr>
          <w:b/>
          <w:bCs/>
        </w:rPr>
        <w:t>CORPORATE DISCLOSURE STATEMENT</w:t>
      </w:r>
    </w:p>
    <w:p>
      <w:pPr>
        <w:pStyle w:val="Normal"/>
        <w:jc w:val="center"/>
        <w:rPr>
          <w:b/>
          <w:bCs/>
        </w:rPr>
      </w:pPr>
      <w:r>
        <w:rPr>
          <w:b/>
          <w:bCs/>
        </w:rPr>
        <w:t>PURSUANT TO FRAP 26.1</w:t>
      </w:r>
    </w:p>
    <w:p>
      <w:pPr>
        <w:pStyle w:val="Normal"/>
        <w:rPr>
          <w:b/>
          <w:bCs/>
        </w:rPr>
      </w:pPr>
      <w:r>
        <w:rPr>
          <w:b/>
          <w:bCs/>
        </w:rPr>
      </w:r>
    </w:p>
    <w:p>
      <w:pPr>
        <w:pStyle w:val="Body"/>
        <w:rPr>
          <w:sz w:val="28"/>
        </w:rPr>
      </w:pPr>
      <w:bookmarkStart w:id="15" w:name="StartOfDoc"/>
      <w:bookmarkEnd w:id="15"/>
      <w:r>
        <w:rPr>
          <w:sz w:val="28"/>
        </w:rPr>
        <w:t>Pursuant to Rule 26.1 of the Federal Rules of Appellate Procedure, appellee Portland General Electric Company states that Enron Corporation owns 100 percent of the stock in Portland General Electric Company.  Enron Corporation is a publicly held company.</w:t>
      </w:r>
    </w:p>
    <w:p>
      <w:pPr>
        <w:pStyle w:val="Signature"/>
        <w:keepNext w:val="true"/>
        <w:tabs>
          <w:tab w:val="clear" w:pos="720"/>
          <w:tab w:val="right" w:pos="9360" w:leader="none"/>
        </w:tabs>
        <w:rPr>
          <w:sz w:val="28"/>
        </w:rPr>
      </w:pPr>
      <w:r>
        <w:rPr>
          <w:sz w:val="28"/>
        </w:rPr>
      </w:r>
      <w:bookmarkStart w:id="16" w:name="Sig1"/>
      <w:bookmarkStart w:id="17" w:name="Sig1"/>
      <w:bookmarkEnd w:id="17"/>
    </w:p>
    <w:p>
      <w:pPr>
        <w:pStyle w:val="Signature"/>
        <w:keepNext w:val="true"/>
        <w:tabs>
          <w:tab w:val="clear" w:pos="720"/>
          <w:tab w:val="right" w:pos="9360" w:leader="none"/>
        </w:tabs>
        <w:rPr/>
      </w:pPr>
      <w:r>
        <w:rPr/>
        <w:t>TONKON TORP LLP</w:t>
      </w:r>
    </w:p>
    <w:p>
      <w:pPr>
        <w:pStyle w:val="Signature"/>
        <w:keepNext w:val="true"/>
        <w:tabs>
          <w:tab w:val="clear" w:pos="720"/>
          <w:tab w:val="right" w:pos="9360" w:leader="none"/>
        </w:tabs>
        <w:rPr/>
      </w:pPr>
      <w:r>
        <w:rPr/>
      </w:r>
    </w:p>
    <w:p>
      <w:pPr>
        <w:pStyle w:val="Signature"/>
        <w:keepNext w:val="true"/>
        <w:tabs>
          <w:tab w:val="clear" w:pos="720"/>
          <w:tab w:val="right" w:pos="9360" w:leader="none"/>
        </w:tabs>
        <w:rPr/>
      </w:pPr>
      <w:r>
        <w:rPr/>
      </w:r>
    </w:p>
    <w:p>
      <w:pPr>
        <w:pStyle w:val="Signature"/>
        <w:keepNext w:val="true"/>
        <w:tabs>
          <w:tab w:val="clear" w:pos="720"/>
          <w:tab w:val="right" w:pos="9360" w:leader="none"/>
        </w:tabs>
        <w:rPr/>
      </w:pPr>
      <w:r>
        <w:rPr/>
      </w:r>
    </w:p>
    <w:p>
      <w:pPr>
        <w:pStyle w:val="Signature"/>
        <w:keepNext w:val="true"/>
        <w:tabs>
          <w:tab w:val="clear" w:pos="720"/>
          <w:tab w:val="right" w:pos="9360" w:leader="none"/>
        </w:tabs>
        <w:rPr/>
      </w:pPr>
      <w:r>
        <w:rPr/>
        <w:t xml:space="preserve">By </w:t>
      </w:r>
      <w:r>
        <w:rPr>
          <w:u w:val="single"/>
        </w:rPr>
        <w:tab/>
      </w:r>
    </w:p>
    <w:p>
      <w:pPr>
        <w:pStyle w:val="Signature"/>
        <w:keepNext w:val="true"/>
        <w:tabs>
          <w:tab w:val="clear" w:pos="720"/>
          <w:tab w:val="right" w:pos="9360" w:leader="none"/>
        </w:tabs>
        <w:ind w:start="5040" w:end="0"/>
        <w:rPr/>
      </w:pPr>
      <w:r>
        <w:rPr/>
        <w:t>William F. Martson, Jr.</w:t>
      </w:r>
    </w:p>
    <w:p>
      <w:pPr>
        <w:pStyle w:val="Signature"/>
        <w:keepNext w:val="true"/>
        <w:tabs>
          <w:tab w:val="clear" w:pos="720"/>
          <w:tab w:val="right" w:pos="9360" w:leader="none"/>
        </w:tabs>
        <w:ind w:start="5040" w:end="0"/>
        <w:rPr/>
      </w:pPr>
      <w:r>
        <w:rPr/>
        <w:t>Steven M. Wilker</w:t>
      </w:r>
    </w:p>
    <w:p>
      <w:pPr>
        <w:pStyle w:val="Signature"/>
        <w:keepNext w:val="true"/>
        <w:tabs>
          <w:tab w:val="clear" w:pos="720"/>
          <w:tab w:val="right" w:pos="9360" w:leader="none"/>
        </w:tabs>
        <w:ind w:start="5040" w:end="0"/>
        <w:rPr/>
      </w:pPr>
      <w:r>
        <w:rPr/>
        <w:t>David S. Aman</w:t>
      </w:r>
    </w:p>
    <w:p>
      <w:pPr>
        <w:pStyle w:val="Signature"/>
        <w:keepNext w:val="true"/>
        <w:tabs>
          <w:tab w:val="clear" w:pos="720"/>
          <w:tab w:val="right" w:pos="9360" w:leader="none"/>
        </w:tabs>
        <w:ind w:start="5040" w:end="0"/>
        <w:rPr/>
      </w:pPr>
      <w:r>
        <w:rPr/>
        <w:t>Attorneys for Appellee Portland General Electric</w:t>
      </w:r>
    </w:p>
    <w:p>
      <w:pPr>
        <w:sectPr>
          <w:headerReference w:type="default" r:id="rId3"/>
          <w:headerReference w:type="first" r:id="rId4"/>
          <w:type w:val="nextPage"/>
          <w:pgSz w:w="12240" w:h="15840"/>
          <w:pgMar w:left="1440" w:right="1440" w:gutter="0" w:header="720" w:top="1440" w:footer="0" w:bottom="1440"/>
          <w:pgNumType w:start="1" w:fmt="decimal"/>
          <w:formProt w:val="false"/>
          <w:textDirection w:val="lrTb"/>
          <w:docGrid w:type="default" w:linePitch="360" w:charSpace="0"/>
        </w:sectPr>
        <w:pStyle w:val="Normal"/>
        <w:rPr/>
      </w:pPr>
      <w:r>
        <w:rPr/>
      </w:r>
    </w:p>
    <w:p>
      <w:pPr>
        <w:pStyle w:val="Normal"/>
        <w:jc w:val="center"/>
        <w:rPr>
          <w:b/>
          <w:bCs/>
        </w:rPr>
      </w:pPr>
      <w:r>
        <w:rPr>
          <w:b/>
          <w:bCs/>
        </w:rPr>
        <w:t>TABLE OF CONTENTS OF BRIEF</w:t>
      </w:r>
    </w:p>
    <w:p>
      <w:pPr>
        <w:pStyle w:val="Normal"/>
        <w:rPr>
          <w:b/>
          <w:bCs/>
        </w:rPr>
      </w:pPr>
      <w:r>
        <w:rPr>
          <w:b/>
          <w:bCs/>
        </w:rPr>
      </w:r>
    </w:p>
    <w:p>
      <w:pPr>
        <w:pStyle w:val="Normal"/>
        <w:rPr/>
      </w:pPr>
      <w:r>
        <w:rPr/>
      </w:r>
    </w:p>
    <w:p>
      <w:pPr>
        <w:pStyle w:val="Normal"/>
        <w:jc w:val="end"/>
        <w:rPr/>
      </w:pPr>
      <w:r>
        <w:rPr/>
        <w:t>Page</w:t>
      </w:r>
    </w:p>
    <w:sdt>
      <w:sdtPr>
        <w:docPartObj>
          <w:docPartGallery w:val="Table of Contents"/>
          <w:docPartUnique w:val="true"/>
        </w:docPartObj>
      </w:sdtPr>
      <w:sdtContent>
        <w:p>
          <w:pPr>
            <w:pStyle w:val="TOC1"/>
            <w:tabs>
              <w:tab w:val="clear" w:pos="720"/>
              <w:tab w:val="right" w:pos="9350" w:leader="dot"/>
            </w:tabs>
            <w:rPr>
              <w:b w:val="false"/>
              <w:bCs w:val="false"/>
              <w:sz w:val="24"/>
              <w:lang w:val="en-CA" w:eastAsia="en-CA"/>
            </w:rPr>
          </w:pPr>
          <w:r>
            <w:fldChar w:fldCharType="begin"/>
          </w:r>
          <w:r>
            <w:rPr>
              <w:rStyle w:val="IndexLink"/>
              <w:u w:val="none"/>
              <w:b/>
              <w:szCs w:val="28"/>
              <w:bCs/>
              <w:lang w:val="en-CA" w:eastAsia="en-CA"/>
            </w:rPr>
            <w:instrText xml:space="preserve"> TOC \o "1-6" \h \z </w:instrText>
          </w:r>
          <w:r>
            <w:rPr>
              <w:rStyle w:val="IndexLink"/>
              <w:u w:val="none"/>
              <w:b/>
              <w:szCs w:val="28"/>
              <w:bCs/>
              <w:lang w:val="en-CA" w:eastAsia="en-CA"/>
            </w:rPr>
            <w:fldChar w:fldCharType="separate"/>
          </w:r>
          <w:hyperlink w:anchor="__RefHeading___Toc522587488">
            <w:r>
              <w:rPr>
                <w:rStyle w:val="IndexLink"/>
                <w:b/>
                <w:bCs/>
                <w:szCs w:val="28"/>
                <w:u w:val="none"/>
                <w:lang w:val="en-CA" w:eastAsia="en-CA"/>
              </w:rPr>
              <w:t>INTRODUCTION</w:t>
            </w:r>
            <w:r>
              <w:rPr>
                <w:rStyle w:val="IndexLink"/>
                <w:b w:val="false"/>
                <w:bCs w:val="false"/>
                <w:lang w:val="en-CA" w:eastAsia="en-CA"/>
              </w:rPr>
              <w:tab/>
              <w:t>1</w:t>
            </w:r>
          </w:hyperlink>
        </w:p>
        <w:p>
          <w:pPr>
            <w:pStyle w:val="TOC1"/>
            <w:tabs>
              <w:tab w:val="clear" w:pos="720"/>
              <w:tab w:val="right" w:pos="9350" w:leader="dot"/>
            </w:tabs>
            <w:rPr>
              <w:b w:val="false"/>
              <w:bCs w:val="false"/>
              <w:sz w:val="24"/>
              <w:lang w:val="en-CA" w:eastAsia="en-CA"/>
            </w:rPr>
          </w:pPr>
          <w:hyperlink w:anchor="__RefHeading___Toc522587489">
            <w:r>
              <w:rPr>
                <w:rStyle w:val="IndexLink"/>
                <w:b/>
                <w:bCs/>
                <w:szCs w:val="28"/>
                <w:u w:val="none"/>
                <w:lang w:val="en-CA" w:eastAsia="en-CA"/>
              </w:rPr>
              <w:t>STATEMENT OF JURISDICTION</w:t>
            </w:r>
            <w:r>
              <w:rPr>
                <w:rStyle w:val="IndexLink"/>
                <w:b w:val="false"/>
                <w:bCs w:val="false"/>
                <w:lang w:val="en-CA" w:eastAsia="en-CA"/>
              </w:rPr>
              <w:tab/>
              <w:t>1</w:t>
            </w:r>
          </w:hyperlink>
        </w:p>
        <w:p>
          <w:pPr>
            <w:pStyle w:val="TOC1"/>
            <w:tabs>
              <w:tab w:val="clear" w:pos="720"/>
              <w:tab w:val="right" w:pos="9350" w:leader="dot"/>
            </w:tabs>
            <w:rPr>
              <w:b w:val="false"/>
              <w:bCs w:val="false"/>
              <w:sz w:val="24"/>
              <w:lang w:val="en-CA" w:eastAsia="en-CA"/>
            </w:rPr>
          </w:pPr>
          <w:hyperlink w:anchor="__RefHeading___Toc522587490">
            <w:r>
              <w:rPr>
                <w:rStyle w:val="IndexLink"/>
                <w:b/>
                <w:bCs/>
                <w:szCs w:val="28"/>
                <w:u w:val="none"/>
                <w:lang w:val="en-CA" w:eastAsia="en-CA"/>
              </w:rPr>
              <w:t>STATEMENT OF ISSUES PRESENTED FOR REVIEW</w:t>
            </w:r>
            <w:r>
              <w:rPr>
                <w:rStyle w:val="IndexLink"/>
                <w:b w:val="false"/>
                <w:bCs w:val="false"/>
                <w:lang w:val="en-CA" w:eastAsia="en-CA"/>
              </w:rPr>
              <w:tab/>
              <w:t>1</w:t>
            </w:r>
          </w:hyperlink>
        </w:p>
        <w:p>
          <w:pPr>
            <w:pStyle w:val="TOC1"/>
            <w:tabs>
              <w:tab w:val="clear" w:pos="720"/>
              <w:tab w:val="right" w:pos="9350" w:leader="dot"/>
            </w:tabs>
            <w:rPr>
              <w:b w:val="false"/>
              <w:bCs w:val="false"/>
              <w:sz w:val="24"/>
              <w:lang w:val="en-CA" w:eastAsia="en-CA"/>
            </w:rPr>
          </w:pPr>
          <w:hyperlink w:anchor="__RefHeading___Toc522587491">
            <w:r>
              <w:rPr>
                <w:rStyle w:val="IndexLink"/>
                <w:b/>
                <w:bCs/>
                <w:szCs w:val="28"/>
                <w:u w:val="none"/>
                <w:lang w:val="en-CA" w:eastAsia="en-CA"/>
              </w:rPr>
              <w:t>STATEMENT OF THE CASE</w:t>
            </w:r>
            <w:r>
              <w:rPr>
                <w:rStyle w:val="IndexLink"/>
                <w:b w:val="false"/>
                <w:bCs w:val="false"/>
                <w:lang w:val="en-CA" w:eastAsia="en-CA"/>
              </w:rPr>
              <w:tab/>
              <w:t>1</w:t>
            </w:r>
          </w:hyperlink>
        </w:p>
        <w:p>
          <w:pPr>
            <w:pStyle w:val="TOC2"/>
            <w:rPr>
              <w:sz w:val="24"/>
            </w:rPr>
          </w:pPr>
          <w:hyperlink w:anchor="__RefHeading___Toc522587492">
            <w:r>
              <w:rPr>
                <w:rStyle w:val="IndexLink"/>
                <w:u w:val="none"/>
              </w:rPr>
              <w:t>A.</w:t>
            </w:r>
            <w:r>
              <w:rPr>
                <w:rStyle w:val="IndexLink"/>
                <w:sz w:val="24"/>
              </w:rPr>
              <w:tab/>
            </w:r>
            <w:r>
              <w:rPr>
                <w:rStyle w:val="IndexLink"/>
                <w:u w:val="none"/>
              </w:rPr>
              <w:t>Nature of the Case</w:t>
            </w:r>
            <w:r>
              <w:rPr>
                <w:rStyle w:val="IndexLink"/>
              </w:rPr>
              <w:tab/>
              <w:t>1</w:t>
            </w:r>
          </w:hyperlink>
        </w:p>
        <w:p>
          <w:pPr>
            <w:pStyle w:val="TOC2"/>
            <w:rPr>
              <w:sz w:val="24"/>
            </w:rPr>
          </w:pPr>
          <w:hyperlink w:anchor="__RefHeading___Toc522587493">
            <w:r>
              <w:rPr>
                <w:rStyle w:val="IndexLink"/>
                <w:u w:val="none"/>
              </w:rPr>
              <w:t>B.</w:t>
            </w:r>
            <w:r>
              <w:rPr>
                <w:rStyle w:val="IndexLink"/>
                <w:sz w:val="24"/>
              </w:rPr>
              <w:tab/>
            </w:r>
            <w:r>
              <w:rPr>
                <w:rStyle w:val="IndexLink"/>
                <w:u w:val="none"/>
              </w:rPr>
              <w:t>Course of Proceedings</w:t>
            </w:r>
            <w:r>
              <w:rPr>
                <w:rStyle w:val="IndexLink"/>
              </w:rPr>
              <w:tab/>
              <w:t>1</w:t>
            </w:r>
          </w:hyperlink>
        </w:p>
        <w:p>
          <w:pPr>
            <w:pStyle w:val="TOC2"/>
            <w:rPr>
              <w:sz w:val="24"/>
            </w:rPr>
          </w:pPr>
          <w:hyperlink w:anchor="__RefHeading___Toc522587494">
            <w:r>
              <w:rPr>
                <w:rStyle w:val="IndexLink"/>
                <w:u w:val="none"/>
              </w:rPr>
              <w:t>C.</w:t>
            </w:r>
            <w:r>
              <w:rPr>
                <w:rStyle w:val="IndexLink"/>
                <w:sz w:val="24"/>
              </w:rPr>
              <w:tab/>
            </w:r>
            <w:r>
              <w:rPr>
                <w:rStyle w:val="IndexLink"/>
                <w:u w:val="none"/>
              </w:rPr>
              <w:t>Disposition in the Court Below</w:t>
            </w:r>
            <w:r>
              <w:rPr>
                <w:rStyle w:val="IndexLink"/>
              </w:rPr>
              <w:tab/>
              <w:t>2</w:t>
            </w:r>
          </w:hyperlink>
        </w:p>
        <w:p>
          <w:pPr>
            <w:pStyle w:val="TOC1"/>
            <w:tabs>
              <w:tab w:val="clear" w:pos="720"/>
              <w:tab w:val="right" w:pos="9350" w:leader="dot"/>
            </w:tabs>
            <w:rPr>
              <w:b w:val="false"/>
              <w:bCs w:val="false"/>
              <w:sz w:val="24"/>
              <w:lang w:val="en-CA" w:eastAsia="en-CA"/>
            </w:rPr>
          </w:pPr>
          <w:hyperlink w:anchor="__RefHeading___Toc522587495">
            <w:r>
              <w:rPr>
                <w:rStyle w:val="IndexLink"/>
                <w:b/>
                <w:bCs/>
                <w:szCs w:val="28"/>
                <w:u w:val="none"/>
                <w:lang w:val="en-CA" w:eastAsia="en-CA"/>
              </w:rPr>
              <w:t>STATEMENT OF THE FACTS</w:t>
            </w:r>
            <w:r>
              <w:rPr>
                <w:rStyle w:val="IndexLink"/>
                <w:b w:val="false"/>
                <w:bCs w:val="false"/>
                <w:lang w:val="en-CA" w:eastAsia="en-CA"/>
              </w:rPr>
              <w:tab/>
              <w:t>2</w:t>
            </w:r>
          </w:hyperlink>
        </w:p>
        <w:p>
          <w:pPr>
            <w:pStyle w:val="TOC1"/>
            <w:tabs>
              <w:tab w:val="clear" w:pos="720"/>
              <w:tab w:val="right" w:pos="9350" w:leader="dot"/>
            </w:tabs>
            <w:rPr>
              <w:b w:val="false"/>
              <w:bCs w:val="false"/>
              <w:sz w:val="24"/>
              <w:lang w:val="en-CA" w:eastAsia="en-CA"/>
            </w:rPr>
          </w:pPr>
          <w:hyperlink w:anchor="__RefHeading___Toc522587496">
            <w:r>
              <w:rPr>
                <w:rStyle w:val="IndexLink"/>
                <w:b/>
                <w:bCs/>
                <w:szCs w:val="28"/>
                <w:u w:val="none"/>
                <w:lang w:val="en-CA" w:eastAsia="en-CA"/>
              </w:rPr>
              <w:t>SUMMARY OF ARGUMENT</w:t>
            </w:r>
            <w:r>
              <w:rPr>
                <w:rStyle w:val="IndexLink"/>
                <w:b w:val="false"/>
                <w:bCs w:val="false"/>
                <w:lang w:val="en-CA" w:eastAsia="en-CA"/>
              </w:rPr>
              <w:tab/>
              <w:t>2</w:t>
            </w:r>
          </w:hyperlink>
        </w:p>
        <w:p>
          <w:pPr>
            <w:pStyle w:val="TOC1"/>
            <w:tabs>
              <w:tab w:val="clear" w:pos="720"/>
              <w:tab w:val="right" w:pos="9350" w:leader="dot"/>
            </w:tabs>
            <w:rPr>
              <w:b w:val="false"/>
              <w:bCs w:val="false"/>
              <w:sz w:val="24"/>
              <w:lang w:val="en-CA" w:eastAsia="en-CA"/>
            </w:rPr>
          </w:pPr>
          <w:hyperlink w:anchor="__RefHeading___Toc522587497">
            <w:r>
              <w:rPr>
                <w:rStyle w:val="IndexLink"/>
                <w:b/>
                <w:bCs/>
                <w:szCs w:val="28"/>
                <w:u w:val="none"/>
                <w:lang w:val="en-CA" w:eastAsia="en-CA"/>
              </w:rPr>
              <w:t>ARGUMENT</w:t>
            </w:r>
            <w:r>
              <w:rPr>
                <w:rStyle w:val="IndexLink"/>
                <w:b w:val="false"/>
                <w:bCs w:val="false"/>
                <w:lang w:val="en-CA" w:eastAsia="en-CA"/>
              </w:rPr>
              <w:tab/>
              <w:t>2</w:t>
            </w:r>
          </w:hyperlink>
        </w:p>
        <w:p>
          <w:pPr>
            <w:pStyle w:val="TOC2"/>
            <w:rPr>
              <w:sz w:val="24"/>
            </w:rPr>
          </w:pPr>
          <w:hyperlink w:anchor="__RefHeading___Toc522587498">
            <w:r>
              <w:rPr>
                <w:rStyle w:val="IndexLink"/>
                <w:u w:val="none"/>
              </w:rPr>
              <w:t>A.</w:t>
            </w:r>
            <w:r>
              <w:rPr>
                <w:rStyle w:val="IndexLink"/>
                <w:sz w:val="24"/>
              </w:rPr>
              <w:tab/>
            </w:r>
            <w:r>
              <w:rPr>
                <w:rStyle w:val="IndexLink"/>
                <w:u w:val="none"/>
              </w:rPr>
              <w:t>TANC's State Law Claims are Preempted</w:t>
            </w:r>
            <w:r>
              <w:rPr>
                <w:rStyle w:val="IndexLink"/>
              </w:rPr>
              <w:tab/>
              <w:t>2</w:t>
            </w:r>
          </w:hyperlink>
        </w:p>
        <w:p>
          <w:pPr>
            <w:pStyle w:val="TOC3"/>
            <w:rPr>
              <w:sz w:val="24"/>
            </w:rPr>
          </w:pPr>
          <w:hyperlink w:anchor="__RefHeading___Toc522587499">
            <w:r>
              <w:rPr>
                <w:rStyle w:val="IndexLink"/>
                <w:u w:val="none"/>
              </w:rPr>
              <w:t>1.</w:t>
            </w:r>
            <w:r>
              <w:rPr>
                <w:rStyle w:val="IndexLink"/>
                <w:sz w:val="24"/>
              </w:rPr>
              <w:tab/>
            </w:r>
            <w:r>
              <w:rPr>
                <w:rStyle w:val="IndexLink"/>
                <w:u w:val="none"/>
              </w:rPr>
              <w:t>FERC regulation has displaced state law.</w:t>
            </w:r>
            <w:r>
              <w:rPr>
                <w:rStyle w:val="IndexLink"/>
              </w:rPr>
              <w:tab/>
              <w:t>2</w:t>
            </w:r>
          </w:hyperlink>
        </w:p>
        <w:p>
          <w:pPr>
            <w:pStyle w:val="TOC3"/>
            <w:rPr>
              <w:sz w:val="24"/>
            </w:rPr>
          </w:pPr>
          <w:hyperlink w:anchor="__RefHeading___Toc522587500">
            <w:r>
              <w:rPr>
                <w:rStyle w:val="IndexLink"/>
                <w:u w:val="none"/>
              </w:rPr>
              <w:t>2.</w:t>
            </w:r>
            <w:r>
              <w:rPr>
                <w:rStyle w:val="IndexLink"/>
                <w:sz w:val="24"/>
              </w:rPr>
              <w:tab/>
            </w:r>
            <w:r>
              <w:rPr>
                <w:rStyle w:val="IndexLink"/>
                <w:u w:val="none"/>
              </w:rPr>
              <w:t>TANC's reliance on aviation cases is clearly misplaced.</w:t>
            </w:r>
            <w:r>
              <w:rPr>
                <w:rStyle w:val="IndexLink"/>
              </w:rPr>
              <w:tab/>
              <w:t>5</w:t>
            </w:r>
          </w:hyperlink>
        </w:p>
        <w:p>
          <w:pPr>
            <w:pStyle w:val="TOC2"/>
            <w:rPr>
              <w:sz w:val="24"/>
            </w:rPr>
          </w:pPr>
          <w:hyperlink w:anchor="__RefHeading___Toc522587501">
            <w:r>
              <w:rPr>
                <w:rStyle w:val="IndexLink"/>
                <w:u w:val="none"/>
              </w:rPr>
              <w:t>B.</w:t>
            </w:r>
            <w:r>
              <w:rPr>
                <w:rStyle w:val="IndexLink"/>
                <w:sz w:val="24"/>
              </w:rPr>
              <w:tab/>
            </w:r>
            <w:r>
              <w:rPr>
                <w:rStyle w:val="IndexLink"/>
                <w:u w:val="none"/>
              </w:rPr>
              <w:t>Even if TANC's Claims were not Preempted, They Would Fail</w:t>
            </w:r>
            <w:r>
              <w:rPr>
                <w:rStyle w:val="IndexLink"/>
                <w:i/>
                <w:iCs/>
                <w:u w:val="none"/>
              </w:rPr>
              <w:br/>
            </w:r>
            <w:r>
              <w:rPr>
                <w:rStyle w:val="IndexLink"/>
                <w:u w:val="none"/>
              </w:rPr>
              <w:t>as a Matter of Law</w:t>
            </w:r>
            <w:r>
              <w:rPr>
                <w:rStyle w:val="IndexLink"/>
              </w:rPr>
              <w:tab/>
              <w:t>9</w:t>
            </w:r>
          </w:hyperlink>
        </w:p>
        <w:p>
          <w:pPr>
            <w:pStyle w:val="TOC3"/>
            <w:rPr>
              <w:sz w:val="24"/>
            </w:rPr>
          </w:pPr>
          <w:hyperlink w:anchor="__RefHeading___Toc522587502">
            <w:r>
              <w:rPr>
                <w:rStyle w:val="IndexLink"/>
                <w:u w:val="none"/>
              </w:rPr>
              <w:t>1.</w:t>
            </w:r>
            <w:r>
              <w:rPr>
                <w:rStyle w:val="IndexLink"/>
                <w:sz w:val="24"/>
              </w:rPr>
              <w:tab/>
            </w:r>
            <w:r>
              <w:rPr>
                <w:rStyle w:val="IndexLink"/>
                <w:u w:val="none"/>
              </w:rPr>
              <w:t>TANC Cannot State a Claim for Breach of Contract</w:t>
            </w:r>
            <w:r>
              <w:rPr>
                <w:rStyle w:val="IndexLink"/>
              </w:rPr>
              <w:tab/>
              <w:t>10</w:t>
            </w:r>
          </w:hyperlink>
        </w:p>
        <w:p>
          <w:pPr>
            <w:pStyle w:val="TOC3"/>
            <w:rPr>
              <w:sz w:val="24"/>
            </w:rPr>
          </w:pPr>
          <w:hyperlink w:anchor="__RefHeading___Toc522587503">
            <w:r>
              <w:rPr>
                <w:rStyle w:val="IndexLink"/>
                <w:u w:val="none"/>
              </w:rPr>
              <w:t>2.</w:t>
            </w:r>
            <w:r>
              <w:rPr>
                <w:rStyle w:val="IndexLink"/>
                <w:sz w:val="24"/>
              </w:rPr>
              <w:tab/>
            </w:r>
            <w:r>
              <w:rPr>
                <w:rStyle w:val="IndexLink"/>
                <w:u w:val="none"/>
              </w:rPr>
              <w:t xml:space="preserve">TANC's Tort and Inverse Condemnation Claims Fail as a </w:t>
              <w:br/>
              <w:t>Matter of Law</w:t>
            </w:r>
            <w:r>
              <w:rPr>
                <w:rStyle w:val="IndexLink"/>
              </w:rPr>
              <w:tab/>
              <w:t>11</w:t>
            </w:r>
          </w:hyperlink>
        </w:p>
        <w:p>
          <w:pPr>
            <w:pStyle w:val="TOC1"/>
            <w:tabs>
              <w:tab w:val="clear" w:pos="720"/>
              <w:tab w:val="right" w:pos="9350" w:leader="dot"/>
            </w:tabs>
            <w:rPr>
              <w:sz w:val="24"/>
              <w:lang w:val="en-CA" w:eastAsia="en-CA"/>
            </w:rPr>
          </w:pPr>
          <w:hyperlink w:anchor="__RefHeading___Toc522587504">
            <w:r>
              <w:rPr>
                <w:rStyle w:val="IndexLink"/>
                <w:b w:val="false"/>
                <w:bCs w:val="false"/>
                <w:szCs w:val="28"/>
                <w:u w:val="none"/>
                <w:lang w:val="en-CA" w:eastAsia="en-CA"/>
              </w:rPr>
              <w:t>CONCLUSION</w:t>
            </w:r>
            <w:r>
              <w:rPr>
                <w:rStyle w:val="IndexLink"/>
                <w:b w:val="false"/>
                <w:bCs w:val="false"/>
                <w:lang w:val="en-CA" w:eastAsia="en-CA"/>
              </w:rPr>
              <w:tab/>
              <w:t>13</w:t>
            </w:r>
          </w:hyperlink>
          <w:r>
            <w:rPr>
              <w:rStyle w:val="IndexLink"/>
              <w:b w:val="false"/>
              <w:bCs w:val="false"/>
              <w:lang w:val="en-CA" w:eastAsia="en-CA"/>
            </w:rPr>
            <w:fldChar w:fldCharType="end"/>
          </w:r>
        </w:p>
      </w:sdtContent>
    </w:sdt>
    <w:p>
      <w:pPr>
        <w:pStyle w:val="Normal"/>
        <w:rPr>
          <w:b/>
          <w:bCs/>
          <w:sz w:val="24"/>
          <w:szCs w:val="24"/>
          <w:lang w:val="en-CA" w:eastAsia="en-CA"/>
        </w:rPr>
      </w:pPr>
      <w:r>
        <w:rPr>
          <w:b/>
          <w:bCs/>
          <w:sz w:val="24"/>
          <w:szCs w:val="24"/>
          <w:lang w:val="en-CA" w:eastAsia="en-CA"/>
        </w:rPr>
      </w:r>
      <w:r>
        <w:br w:type="page"/>
      </w:r>
    </w:p>
    <w:p>
      <w:pPr>
        <w:pStyle w:val="Normal"/>
        <w:jc w:val="center"/>
        <w:rPr>
          <w:b/>
          <w:bCs/>
        </w:rPr>
      </w:pPr>
      <w:r>
        <w:rPr>
          <w:b/>
          <w:bCs/>
        </w:rPr>
        <w:t>TABLE OF AUTHORITIES</w:t>
      </w:r>
    </w:p>
    <w:p>
      <w:pPr>
        <w:pStyle w:val="TOAHeading"/>
        <w:tabs>
          <w:tab w:val="clear" w:pos="720"/>
          <w:tab w:val="right" w:pos="9350" w:leader="dot"/>
        </w:tabs>
        <w:rPr>
          <w:b/>
          <w:bCs/>
          <w:lang w:val="en-CA" w:eastAsia="en-CA"/>
        </w:rPr>
      </w:pPr>
      <w:r>
        <w:fldChar w:fldCharType="begin"/>
      </w:r>
      <w:r>
        <w:rPr>
          <w:b/>
          <w:bCs/>
          <w:lang w:val="en-CA" w:eastAsia="en-CA"/>
        </w:rPr>
        <w:instrText xml:space="preserve"> TOA \h \c "1" \p </w:instrText>
      </w:r>
      <w:r>
        <w:rPr>
          <w:b/>
          <w:bCs/>
          <w:lang w:val="en-CA" w:eastAsia="en-CA"/>
        </w:rPr>
      </w:r>
      <w:r>
        <w:rPr>
          <w:b/>
          <w:bCs/>
          <w:lang w:val="en-CA" w:eastAsia="en-CA"/>
        </w:rPr>
        <w:fldChar w:fldCharType="separate"/>
      </w:r>
      <w:r>
        <w:rPr>
          <w:b/>
          <w:bCs/>
          <w:lang w:val="en-CA" w:eastAsia="en-CA"/>
        </w:rPr>
      </w:r>
      <w:r>
        <w:rPr>
          <w:lang w:val="en-CA" w:eastAsia="en-CA"/>
        </w:rPr>
        <w:t>Cases</w:t>
      </w:r>
    </w:p>
    <w:p>
      <w:pPr>
        <w:pStyle w:val="TableofAuthorities"/>
        <w:tabs>
          <w:tab w:val="clear" w:pos="720"/>
          <w:tab w:val="right" w:pos="9350" w:leader="dot"/>
        </w:tabs>
        <w:rPr/>
      </w:pPr>
      <w:r>
        <w:rPr>
          <w:i/>
          <w:iCs/>
          <w:lang w:val="en-CA" w:eastAsia="en-CA"/>
        </w:rPr>
        <w:t>Bieneman v. City of Chicago</w:t>
      </w:r>
      <w:r>
        <w:rPr>
          <w:lang w:val="en-CA" w:eastAsia="en-CA"/>
        </w:rPr>
        <w:t>, 864 F.2d 463 (7</w:t>
      </w:r>
      <w:r>
        <w:rPr>
          <w:vertAlign w:val="superscript"/>
          <w:lang w:val="en-CA" w:eastAsia="en-CA"/>
        </w:rPr>
        <w:t>th</w:t>
      </w:r>
      <w:r>
        <w:rPr>
          <w:lang w:val="en-CA" w:eastAsia="en-CA"/>
        </w:rPr>
        <w:t xml:space="preserve"> Cir. 1988)</w:t>
        <w:tab/>
        <w:t>7, 8, 9</w:t>
      </w:r>
    </w:p>
    <w:p>
      <w:pPr>
        <w:pStyle w:val="Normal"/>
        <w:rPr>
          <w:lang w:val="en-CA" w:eastAsia="en-CA"/>
        </w:rPr>
      </w:pPr>
      <w:r>
        <w:rPr>
          <w:lang w:val="en-CA" w:eastAsia="en-CA"/>
        </w:rPr>
      </w:r>
    </w:p>
    <w:p>
      <w:pPr>
        <w:pStyle w:val="TableofAuthorities"/>
        <w:tabs>
          <w:tab w:val="clear" w:pos="720"/>
          <w:tab w:val="right" w:pos="9350" w:leader="dot"/>
        </w:tabs>
        <w:rPr/>
      </w:pPr>
      <w:r>
        <w:rPr>
          <w:i/>
          <w:iCs/>
          <w:lang w:val="en-CA" w:eastAsia="en-CA"/>
        </w:rPr>
        <w:t>Branch v. Tunnell</w:t>
      </w:r>
      <w:r>
        <w:rPr>
          <w:lang w:val="en-CA" w:eastAsia="en-CA"/>
        </w:rPr>
        <w:t>, 14 F.3d 449 (9th Cir.1994)</w:t>
        <w:tab/>
        <w:t>10</w:t>
      </w:r>
    </w:p>
    <w:p>
      <w:pPr>
        <w:pStyle w:val="Normal"/>
        <w:rPr>
          <w:lang w:val="en-CA" w:eastAsia="en-CA"/>
        </w:rPr>
      </w:pPr>
      <w:r>
        <w:rPr>
          <w:lang w:val="en-CA" w:eastAsia="en-CA"/>
        </w:rPr>
      </w:r>
    </w:p>
    <w:p>
      <w:pPr>
        <w:pStyle w:val="TableofAuthorities"/>
        <w:tabs>
          <w:tab w:val="clear" w:pos="720"/>
          <w:tab w:val="right" w:pos="9350" w:leader="dot"/>
        </w:tabs>
        <w:rPr/>
      </w:pPr>
      <w:r>
        <w:rPr>
          <w:i/>
          <w:iCs/>
          <w:lang w:val="en-CA" w:eastAsia="en-CA"/>
        </w:rPr>
        <w:t>Messerall v. Fulwider</w:t>
      </w:r>
      <w:r>
        <w:rPr>
          <w:lang w:val="en-CA" w:eastAsia="en-CA"/>
        </w:rPr>
        <w:t>, 199 Cal. App.3d 1324 (1988)</w:t>
        <w:tab/>
        <w:t>12</w:t>
      </w:r>
    </w:p>
    <w:p>
      <w:pPr>
        <w:pStyle w:val="Normal"/>
        <w:rPr>
          <w:lang w:val="en-CA" w:eastAsia="en-CA"/>
        </w:rPr>
      </w:pPr>
      <w:r>
        <w:rPr>
          <w:lang w:val="en-CA" w:eastAsia="en-CA"/>
        </w:rPr>
      </w:r>
    </w:p>
    <w:p>
      <w:pPr>
        <w:pStyle w:val="TableofAuthorities"/>
        <w:tabs>
          <w:tab w:val="clear" w:pos="720"/>
          <w:tab w:val="right" w:pos="9350" w:leader="dot"/>
        </w:tabs>
        <w:rPr/>
      </w:pPr>
      <w:r>
        <w:rPr>
          <w:i/>
          <w:iCs/>
          <w:lang w:val="en-CA" w:eastAsia="en-CA"/>
        </w:rPr>
        <w:t>Oliver v. AT&amp;T Wireless Serv.</w:t>
      </w:r>
      <w:r>
        <w:rPr>
          <w:lang w:val="en-CA" w:eastAsia="en-CA"/>
        </w:rPr>
        <w:t>, 76 Cal. App.4</w:t>
      </w:r>
      <w:r>
        <w:rPr>
          <w:vertAlign w:val="superscript"/>
          <w:lang w:val="en-CA" w:eastAsia="en-CA"/>
        </w:rPr>
        <w:t>th</w:t>
      </w:r>
      <w:r>
        <w:rPr>
          <w:lang w:val="en-CA" w:eastAsia="en-CA"/>
        </w:rPr>
        <w:t xml:space="preserve"> 521 (1999)</w:t>
        <w:tab/>
        <w:t>12</w:t>
      </w:r>
    </w:p>
    <w:p>
      <w:pPr>
        <w:pStyle w:val="Normal"/>
        <w:rPr>
          <w:lang w:val="en-CA" w:eastAsia="en-CA"/>
        </w:rPr>
      </w:pPr>
      <w:r>
        <w:rPr>
          <w:lang w:val="en-CA" w:eastAsia="en-CA"/>
        </w:rPr>
      </w:r>
    </w:p>
    <w:p>
      <w:pPr>
        <w:pStyle w:val="TableofAuthorities"/>
        <w:tabs>
          <w:tab w:val="clear" w:pos="720"/>
          <w:tab w:val="right" w:pos="9350" w:leader="dot"/>
        </w:tabs>
        <w:rPr>
          <w:i/>
          <w:i/>
          <w:iCs/>
          <w:lang w:val="en-CA" w:eastAsia="en-CA"/>
        </w:rPr>
      </w:pPr>
      <w:r>
        <w:rPr>
          <w:i/>
          <w:iCs/>
          <w:lang w:val="en-CA" w:eastAsia="en-CA"/>
        </w:rPr>
        <w:t xml:space="preserve">Pacific Gas &amp; Electric Co. v. State Energy Resources Conservation &amp; </w:t>
      </w:r>
    </w:p>
    <w:p>
      <w:pPr>
        <w:pStyle w:val="TableofAuthorities"/>
        <w:tabs>
          <w:tab w:val="clear" w:pos="720"/>
          <w:tab w:val="right" w:pos="9350" w:leader="dot"/>
        </w:tabs>
        <w:rPr/>
      </w:pPr>
      <w:r>
        <w:rPr>
          <w:i/>
          <w:iCs/>
          <w:lang w:val="en-CA" w:eastAsia="en-CA"/>
        </w:rPr>
        <w:tab/>
        <w:t>Development Commission</w:t>
      </w:r>
      <w:r>
        <w:rPr>
          <w:lang w:val="en-CA" w:eastAsia="en-CA"/>
        </w:rPr>
        <w:t>, 461 US 190 (1983)</w:t>
        <w:tab/>
        <w:t>4</w:t>
      </w:r>
    </w:p>
    <w:p>
      <w:pPr>
        <w:pStyle w:val="Normal"/>
        <w:rPr>
          <w:lang w:val="en-CA" w:eastAsia="en-CA"/>
        </w:rPr>
      </w:pPr>
      <w:r>
        <w:rPr>
          <w:lang w:val="en-CA" w:eastAsia="en-CA"/>
        </w:rPr>
      </w:r>
    </w:p>
    <w:p>
      <w:pPr>
        <w:pStyle w:val="TableofAuthorities"/>
        <w:tabs>
          <w:tab w:val="clear" w:pos="720"/>
          <w:tab w:val="right" w:pos="9350" w:leader="dot"/>
        </w:tabs>
        <w:rPr/>
      </w:pPr>
      <w:r>
        <w:rPr>
          <w:i/>
          <w:iCs/>
          <w:lang w:val="en-CA" w:eastAsia="en-CA"/>
        </w:rPr>
        <w:t>Salermon v. United States</w:t>
      </w:r>
      <w:r>
        <w:rPr>
          <w:lang w:val="en-CA" w:eastAsia="en-CA"/>
        </w:rPr>
        <w:t>, 724 F.2d 1357 (9</w:t>
      </w:r>
      <w:r>
        <w:rPr>
          <w:vertAlign w:val="superscript"/>
          <w:lang w:val="en-CA" w:eastAsia="en-CA"/>
        </w:rPr>
        <w:t>th</w:t>
      </w:r>
      <w:r>
        <w:rPr>
          <w:lang w:val="en-CA" w:eastAsia="en-CA"/>
        </w:rPr>
        <w:t xml:space="preserve"> Cir. 1983)</w:t>
        <w:tab/>
        <w:t>10</w:t>
      </w:r>
    </w:p>
    <w:p>
      <w:pPr>
        <w:pStyle w:val="TableofAuthorities"/>
        <w:tabs>
          <w:tab w:val="clear" w:pos="720"/>
          <w:tab w:val="right" w:pos="9350" w:leader="dot"/>
        </w:tabs>
        <w:rPr>
          <w:i/>
          <w:i/>
          <w:iCs/>
          <w:lang w:val="en-CA" w:eastAsia="en-CA"/>
        </w:rPr>
      </w:pPr>
      <w:r>
        <w:rPr>
          <w:i/>
          <w:iCs/>
          <w:lang w:val="en-CA" w:eastAsia="en-CA"/>
        </w:rPr>
      </w:r>
    </w:p>
    <w:p>
      <w:pPr>
        <w:pStyle w:val="TableofAuthorities"/>
        <w:tabs>
          <w:tab w:val="clear" w:pos="720"/>
          <w:tab w:val="right" w:pos="9350" w:leader="dot"/>
        </w:tabs>
        <w:rPr/>
      </w:pPr>
      <w:r>
        <w:rPr>
          <w:i/>
          <w:iCs/>
          <w:lang w:val="en-CA" w:eastAsia="en-CA"/>
        </w:rPr>
        <w:t>San Diego Gas &amp; Elec. v. Superior Court,</w:t>
      </w:r>
      <w:r>
        <w:rPr>
          <w:lang w:val="en-CA" w:eastAsia="en-CA"/>
        </w:rPr>
        <w:t xml:space="preserve"> 13 Cal.4</w:t>
      </w:r>
      <w:r>
        <w:rPr>
          <w:vertAlign w:val="superscript"/>
          <w:lang w:val="en-CA" w:eastAsia="en-CA"/>
        </w:rPr>
        <w:t>th</w:t>
      </w:r>
      <w:r>
        <w:rPr>
          <w:lang w:val="en-CA" w:eastAsia="en-CA"/>
        </w:rPr>
        <w:t xml:space="preserve"> 893 (1996)</w:t>
        <w:tab/>
        <w:t>12</w:t>
      </w:r>
    </w:p>
    <w:p>
      <w:pPr>
        <w:pStyle w:val="Normal"/>
        <w:rPr>
          <w:lang w:val="en-CA" w:eastAsia="en-CA"/>
        </w:rPr>
      </w:pPr>
      <w:r>
        <w:rPr>
          <w:lang w:val="en-CA" w:eastAsia="en-CA"/>
        </w:rPr>
      </w:r>
    </w:p>
    <w:p>
      <w:pPr>
        <w:pStyle w:val="TableofAuthorities"/>
        <w:tabs>
          <w:tab w:val="clear" w:pos="720"/>
          <w:tab w:val="right" w:pos="9350" w:leader="dot"/>
        </w:tabs>
        <w:rPr/>
      </w:pPr>
      <w:r>
        <w:rPr>
          <w:i/>
          <w:iCs/>
          <w:lang w:val="en-CA" w:eastAsia="en-CA"/>
        </w:rPr>
        <w:t>Transmission Access Policy Study Group v. Federal Regulatory Energy Comm'n</w:t>
      </w:r>
      <w:r>
        <w:rPr>
          <w:lang w:val="en-CA" w:eastAsia="en-CA"/>
        </w:rPr>
        <w:t>, 225 F.3d 667 (D.C. Cir 2000)</w:t>
        <w:tab/>
        <w:t>4</w:t>
      </w:r>
    </w:p>
    <w:p>
      <w:pPr>
        <w:pStyle w:val="TOAHeading"/>
        <w:tabs>
          <w:tab w:val="clear" w:pos="720"/>
          <w:tab w:val="right" w:pos="9350" w:leader="dot"/>
        </w:tabs>
        <w:rPr>
          <w:b/>
          <w:bCs/>
          <w:lang w:val="en-CA" w:eastAsia="en-CA"/>
        </w:rPr>
      </w:pPr>
      <w:r>
        <w:rPr>
          <w:lang w:val="en-CA" w:eastAsia="en-CA"/>
        </w:rPr>
      </w:r>
      <w:r>
        <w:rPr>
          <w:lang w:val="en-CA" w:eastAsia="en-CA"/>
        </w:rPr>
        <w:fldChar w:fldCharType="end"/>
      </w:r>
      <w:r>
        <w:rPr>
          <w:lang w:val="en-CA" w:eastAsia="en-CA"/>
        </w:rPr>
        <w:t>Statutes</w:t>
      </w:r>
    </w:p>
    <w:p>
      <w:pPr>
        <w:pStyle w:val="TableofAuthorities"/>
        <w:tabs>
          <w:tab w:val="clear" w:pos="720"/>
          <w:tab w:val="right" w:pos="9350" w:leader="dot"/>
        </w:tabs>
        <w:rPr>
          <w:lang w:val="en-CA" w:eastAsia="en-CA"/>
        </w:rPr>
      </w:pPr>
      <w:r>
        <w:rPr>
          <w:lang w:val="en-CA" w:eastAsia="en-CA"/>
        </w:rPr>
        <w:t>16 U.S.C. § 824e</w:t>
        <w:tab/>
        <w:t>9</w:t>
      </w:r>
    </w:p>
    <w:p>
      <w:pPr>
        <w:pStyle w:val="TableofAuthorities"/>
        <w:tabs>
          <w:tab w:val="clear" w:pos="720"/>
          <w:tab w:val="right" w:pos="9350" w:leader="dot"/>
        </w:tabs>
        <w:rPr>
          <w:lang w:val="en-CA" w:eastAsia="en-CA"/>
        </w:rPr>
      </w:pPr>
      <w:r>
        <w:rPr>
          <w:lang w:val="en-CA" w:eastAsia="en-CA"/>
        </w:rPr>
        <w:t>49 U.S.C. § 1506</w:t>
        <w:tab/>
        <w:t>7</w:t>
      </w:r>
    </w:p>
    <w:p>
      <w:pPr>
        <w:pStyle w:val="TableofAuthorities"/>
        <w:tabs>
          <w:tab w:val="clear" w:pos="720"/>
          <w:tab w:val="right" w:pos="9350" w:leader="dot"/>
        </w:tabs>
        <w:rPr>
          <w:lang w:val="en-CA" w:eastAsia="en-CA"/>
        </w:rPr>
      </w:pPr>
      <w:r>
        <w:rPr>
          <w:lang w:val="en-CA" w:eastAsia="en-CA"/>
        </w:rPr>
        <w:t>49 U.S.C. § 40120(c)</w:t>
        <w:tab/>
        <w:t>7</w:t>
      </w:r>
    </w:p>
    <w:p>
      <w:pPr>
        <w:pStyle w:val="TOAHeading"/>
        <w:tabs>
          <w:tab w:val="clear" w:pos="720"/>
          <w:tab w:val="right" w:pos="9350" w:leader="dot"/>
        </w:tabs>
        <w:rPr>
          <w:lang w:val="en-CA" w:eastAsia="en-CA"/>
        </w:rPr>
      </w:pPr>
      <w:r>
        <w:fldChar w:fldCharType="begin"/>
      </w:r>
      <w:r>
        <w:rPr>
          <w:lang w:val="en-CA" w:eastAsia="en-CA"/>
        </w:rPr>
        <w:instrText xml:space="preserve"> TOA \h \c "4" \p </w:instrText>
      </w:r>
      <w:r>
        <w:rPr>
          <w:lang w:val="en-CA" w:eastAsia="en-CA"/>
        </w:rPr>
      </w:r>
      <w:r>
        <w:rPr>
          <w:lang w:val="en-CA" w:eastAsia="en-CA"/>
        </w:rPr>
        <w:fldChar w:fldCharType="separate"/>
      </w:r>
      <w:r>
        <w:rPr>
          <w:lang w:val="en-CA" w:eastAsia="en-CA"/>
        </w:rPr>
        <w:t>Rul</w:t>
      </w:r>
      <w:r>
        <w:rPr>
          <w:b/>
          <w:bCs/>
          <w:lang w:val="en-CA" w:eastAsia="en-CA"/>
        </w:rPr>
        <w:t>es</w:t>
      </w:r>
    </w:p>
    <w:p>
      <w:pPr>
        <w:pStyle w:val="TableofAuthorities"/>
        <w:tabs>
          <w:tab w:val="clear" w:pos="720"/>
          <w:tab w:val="right" w:pos="9350" w:leader="dot"/>
        </w:tabs>
        <w:rPr>
          <w:lang w:val="en-CA" w:eastAsia="en-CA"/>
        </w:rPr>
      </w:pPr>
      <w:r>
        <w:rPr>
          <w:lang w:val="en-CA" w:eastAsia="en-CA"/>
        </w:rPr>
        <w:t>Fed. R. Civ. P. 12(b)(6)</w:t>
        <w:tab/>
        <w:t>10</w:t>
      </w:r>
    </w:p>
    <w:p>
      <w:pPr>
        <w:pStyle w:val="Normal"/>
        <w:rPr>
          <w:lang w:val="en-CA" w:eastAsia="en-CA"/>
        </w:rPr>
      </w:pPr>
      <w:r/>
      <w:r>
        <w:rPr>
          <w:lang w:val="en-CA" w:eastAsia="en-CA"/>
        </w:rPr>
        <w:fldChar w:fldCharType="end"/>
      </w:r>
      <w:r>
        <w:rPr>
          <w:lang w:val="en-CA" w:eastAsia="en-CA"/>
        </w:rPr>
      </w:r>
    </w:p>
    <w:p>
      <w:pPr>
        <w:pStyle w:val="Normal"/>
        <w:rPr/>
      </w:pPr>
      <w:r>
        <w:rPr/>
      </w:r>
    </w:p>
    <w:p>
      <w:pPr>
        <w:pStyle w:val="Normal"/>
        <w:jc w:val="end"/>
        <w:rPr>
          <w:u w:val="single"/>
        </w:rPr>
      </w:pPr>
      <w:r>
        <w:rPr>
          <w:u w:val="single"/>
        </w:rPr>
        <w:t>Page</w:t>
      </w:r>
    </w:p>
    <w:p>
      <w:pPr>
        <w:pStyle w:val="Normal"/>
        <w:rPr>
          <w:u w:val="single"/>
        </w:rPr>
      </w:pPr>
      <w:r>
        <w:rPr>
          <w:u w:val="single"/>
        </w:rPr>
      </w:r>
    </w:p>
    <w:p>
      <w:pPr>
        <w:sectPr>
          <w:headerReference w:type="default" r:id="rId5"/>
          <w:headerReference w:type="first" r:id="rId6"/>
          <w:footerReference w:type="default" r:id="rId7"/>
          <w:type w:val="nextPage"/>
          <w:pgSz w:w="12240" w:h="15840"/>
          <w:pgMar w:left="1440" w:right="1440" w:gutter="0" w:header="720" w:top="1440" w:footer="720" w:bottom="1440"/>
          <w:pgNumType w:start="1" w:fmt="lowerRoman"/>
          <w:formProt w:val="false"/>
          <w:textDirection w:val="lrTb"/>
          <w:docGrid w:type="default" w:linePitch="360" w:charSpace="0"/>
        </w:sectPr>
        <w:pStyle w:val="Normal"/>
        <w:rPr/>
      </w:pPr>
      <w:r>
        <w:rPr/>
      </w:r>
    </w:p>
    <w:p>
      <w:pPr>
        <w:pStyle w:val="Heading1"/>
        <w:rPr/>
      </w:pPr>
      <w:bookmarkStart w:id="18" w:name="__RefHeading___Toc522587488"/>
      <w:bookmarkEnd w:id="18"/>
      <w:r>
        <w:rPr/>
        <w:t>INTRODUCTION</w:t>
      </w:r>
    </w:p>
    <w:p>
      <w:pPr>
        <w:pStyle w:val="BodyText"/>
        <w:tabs>
          <w:tab w:val="clear" w:pos="720"/>
          <w:tab w:val="left" w:pos="1440" w:leader="none"/>
        </w:tabs>
        <w:ind w:hanging="0" w:end="0"/>
        <w:rPr/>
      </w:pPr>
      <w:r>
        <w:rPr/>
        <w:tab/>
      </w:r>
    </w:p>
    <w:p>
      <w:pPr>
        <w:pStyle w:val="Heading1"/>
        <w:rPr/>
      </w:pPr>
      <w:bookmarkStart w:id="19" w:name="__RefHeading___Toc522587489"/>
      <w:bookmarkEnd w:id="19"/>
      <w:r>
        <w:rPr/>
        <w:t>STATEMENT OF JURISDICTION</w:t>
      </w:r>
    </w:p>
    <w:p>
      <w:pPr>
        <w:pStyle w:val="BodyText"/>
        <w:tabs>
          <w:tab w:val="clear" w:pos="720"/>
          <w:tab w:val="left" w:pos="1440" w:leader="none"/>
        </w:tabs>
        <w:ind w:hanging="0" w:end="0"/>
        <w:rPr/>
      </w:pPr>
      <w:r>
        <w:rPr/>
        <w:tab/>
        <w:t>PGE accepts TANC’s Statement of Jurisdiction.</w:t>
      </w:r>
    </w:p>
    <w:p>
      <w:pPr>
        <w:pStyle w:val="Heading1"/>
        <w:rPr/>
      </w:pPr>
      <w:bookmarkStart w:id="20" w:name="__RefHeading___Toc522587490"/>
      <w:bookmarkEnd w:id="20"/>
      <w:r>
        <w:rPr/>
        <w:t>STATEMENT OF ISSUES PRESENTED FOR REVIEW</w:t>
      </w:r>
    </w:p>
    <w:p>
      <w:pPr>
        <w:pStyle w:val="BodyText"/>
        <w:tabs>
          <w:tab w:val="clear" w:pos="720"/>
          <w:tab w:val="left" w:pos="1440" w:leader="none"/>
        </w:tabs>
        <w:ind w:hanging="0" w:end="0"/>
        <w:rPr/>
      </w:pPr>
      <w:r>
        <w:rPr/>
        <w:tab/>
        <w:t xml:space="preserve">Under the Supremacy Clause of the United States Constitution, when the Federal Energy Regulatory Commission ("FERC") exercises its exclusive jurisdiction over wholesale power and establishes a priority scheme that public utilities must follow in allocating their electric transmission services, can a public utility be held liable under state law for allocating services according to that priority scheme? </w:t>
      </w:r>
    </w:p>
    <w:p>
      <w:pPr>
        <w:pStyle w:val="Heading1"/>
        <w:rPr/>
      </w:pPr>
      <w:r>
        <w:rPr/>
        <w:t>FACTUAL AND PROCEDURAL BACKGROUND</w:t>
      </w:r>
    </w:p>
    <w:p>
      <w:pPr>
        <w:pStyle w:val="BodyText"/>
        <w:tabs>
          <w:tab w:val="clear" w:pos="720"/>
          <w:tab w:val="left" w:pos="1440" w:leader="none"/>
        </w:tabs>
        <w:ind w:hanging="0" w:end="0"/>
        <w:rPr/>
      </w:pPr>
      <w:r>
        <w:rPr/>
        <w:tab/>
        <w:t xml:space="preserve">PGE adopts the “Factual and Procedural Background” set forth in Sierra Pacific’s Answering Brief.  </w:t>
      </w:r>
    </w:p>
    <w:p>
      <w:pPr>
        <w:pStyle w:val="Heading1"/>
        <w:rPr/>
      </w:pPr>
      <w:bookmarkStart w:id="21" w:name="__RefHeading___Toc522587496"/>
      <w:bookmarkEnd w:id="21"/>
      <w:r>
        <w:rPr/>
        <w:t>SUMMARY OF ARGUMENT</w:t>
      </w:r>
    </w:p>
    <w:p>
      <w:pPr>
        <w:pStyle w:val="BodyText"/>
        <w:tabs>
          <w:tab w:val="clear" w:pos="720"/>
          <w:tab w:val="left" w:pos="1440" w:leader="none"/>
        </w:tabs>
        <w:ind w:hanging="0" w:end="0"/>
        <w:rPr/>
      </w:pPr>
      <w:r>
        <w:rPr/>
        <w:tab/>
      </w:r>
    </w:p>
    <w:p>
      <w:pPr>
        <w:pStyle w:val="Heading1"/>
        <w:rPr/>
      </w:pPr>
      <w:bookmarkStart w:id="22" w:name="__RefHeading___Toc522587497"/>
      <w:bookmarkEnd w:id="22"/>
      <w:r>
        <w:rPr/>
        <w:t>ARGUMENT</w:t>
      </w:r>
    </w:p>
    <w:p>
      <w:pPr>
        <w:pStyle w:val="BodyText"/>
        <w:rPr/>
      </w:pPr>
      <w:r>
        <w:rPr/>
        <w:t>PGE adopts the arguments set forth in Sierra Pacific’s Answering Brief, and submits the following to supplement the arguments made by Sierra Pacific:</w:t>
      </w:r>
    </w:p>
    <w:p>
      <w:pPr>
        <w:pStyle w:val="Heading2"/>
        <w:ind w:hanging="0" w:start="0"/>
        <w:rPr/>
      </w:pPr>
      <w:bookmarkStart w:id="23" w:name="__RefHeading___Toc522587498"/>
      <w:r>
        <w:rPr/>
        <w:t>TANC's State Law Claims are Preempted</w:t>
      </w:r>
      <w:bookmarkEnd w:id="23"/>
      <w:r>
        <w:rPr/>
        <w:tab/>
      </w:r>
    </w:p>
    <w:p>
      <w:pPr>
        <w:pStyle w:val="Heading3"/>
        <w:ind w:hanging="0" w:start="0"/>
        <w:rPr/>
      </w:pPr>
      <w:bookmarkStart w:id="24" w:name="__RefHeading___Toc522587499"/>
      <w:bookmarkEnd w:id="24"/>
      <w:r>
        <w:rPr/>
        <w:t>FERC regulation has displaced state law.</w:t>
      </w:r>
    </w:p>
    <w:p>
      <w:pPr>
        <w:pStyle w:val="BodyText"/>
        <w:tabs>
          <w:tab w:val="clear" w:pos="720"/>
          <w:tab w:val="left" w:pos="1440" w:leader="none"/>
        </w:tabs>
        <w:ind w:hanging="0" w:end="0"/>
        <w:rPr/>
      </w:pPr>
      <w:r>
        <w:rPr/>
        <w:tab/>
        <w:t xml:space="preserve">To understand why TANC's claims are preempted, it is helpful to focus on what TANC wants from this lawsuit.  TANC seeks damages under state law because the sale of transmission services through the Alturas Intertie causes a MW for MW reduction in the </w:t>
      </w:r>
      <w:r>
        <w:rPr>
          <w:u w:val="single"/>
        </w:rPr>
        <w:t>capacity</w:t>
      </w:r>
      <w:r>
        <w:rPr/>
        <w:t xml:space="preserve"> potentially available to the COTP (and thus to TANC).  As TANC must acknowledge, the mere interconnection of the Alturas Intertie did not and will not cause any reduced transmission </w:t>
      </w:r>
      <w:r>
        <w:rPr>
          <w:u w:val="single"/>
        </w:rPr>
        <w:t>capacity</w:t>
      </w:r>
      <w:r>
        <w:rPr/>
        <w:t xml:space="preserve">.  It is only the </w:t>
      </w:r>
      <w:r>
        <w:rPr>
          <w:u w:val="single"/>
        </w:rPr>
        <w:t>use</w:t>
      </w:r>
      <w:r>
        <w:rPr/>
        <w:t xml:space="preserve"> of transmission services by others—</w:t>
      </w:r>
      <w:r>
        <w:rPr>
          <w:u w:val="single"/>
        </w:rPr>
        <w:t>i.e.</w:t>
      </w:r>
      <w:r>
        <w:rPr/>
        <w:t>, by customers using the Alturas Intertie—that reduces the capacity potentially available to the COTP and to TANC.  What TANC wants, then, is to use state law to decide whether the Northwest Parties can or cannot sell transmission services to customers using the Alturas Intertie.</w:t>
      </w:r>
    </w:p>
    <w:p>
      <w:pPr>
        <w:pStyle w:val="BodyText"/>
        <w:tabs>
          <w:tab w:val="clear" w:pos="720"/>
          <w:tab w:val="left" w:pos="1440" w:leader="none"/>
        </w:tabs>
        <w:ind w:hanging="0" w:end="0"/>
        <w:rPr/>
      </w:pPr>
      <w:r>
        <w:rPr/>
        <w:tab/>
        <w:t xml:space="preserve">The problem with TANC's claim is that the federal agency with authority to decide this issue, the Federal Energy Regulatory Commission ("FERC"), has already decided it.  FERC has mandated that the Northwest Parties sell transmission services to </w:t>
      </w:r>
      <w:r>
        <w:rPr>
          <w:u w:val="single"/>
        </w:rPr>
        <w:t>all</w:t>
      </w:r>
      <w:r>
        <w:rPr/>
        <w:t xml:space="preserve"> customers—whether they use the Alturas Intertie or the COTP—on a non-discriminatory basis as spelled out in Order 888's open access tariffs.  Thus, TANC cannot use state law to complain that the Northwest Parties have allowed others to </w:t>
      </w:r>
      <w:r>
        <w:rPr>
          <w:u w:val="single"/>
        </w:rPr>
        <w:t>use</w:t>
      </w:r>
      <w:r>
        <w:rPr/>
        <w:t xml:space="preserve"> or purchase their transmission services.  FERC has required them to do so.</w:t>
      </w:r>
    </w:p>
    <w:p>
      <w:pPr>
        <w:pStyle w:val="BodyText"/>
        <w:tabs>
          <w:tab w:val="clear" w:pos="720"/>
          <w:tab w:val="left" w:pos="1440" w:leader="none"/>
        </w:tabs>
        <w:ind w:hanging="0" w:end="0"/>
        <w:rPr/>
      </w:pPr>
      <w:r>
        <w:rPr/>
        <w:tab/>
        <w:t>Nor can TANC complain in this action about the interconnection of the Alturas Intertie.  The interconnection was approved by FERC over TANC's objections.  In any event, the interconnection itself has not harmed TANC.</w:t>
      </w:r>
    </w:p>
    <w:p>
      <w:pPr>
        <w:pStyle w:val="BodyText"/>
        <w:tabs>
          <w:tab w:val="clear" w:pos="720"/>
          <w:tab w:val="left" w:pos="1440" w:leader="none"/>
        </w:tabs>
        <w:ind w:hanging="0" w:end="0"/>
        <w:rPr/>
      </w:pPr>
      <w:r>
        <w:rPr/>
        <w:tab/>
        <w:t>The Court need go no further to decide that TANC's claims are preempted.  TANC, however, insists that it has crafted its claims in such a way that it has avoided any interference with FERC's regulation.  TANC suggests that it is not really challenging a FERC order or "anything else approved by FERC."  (Appellant's Opening Brief pp. 33, 41).  Instead, the argument goes, it is simply seeking damages based on the Northwest Parties' conduct, something which FERC has not done and could not do.</w:t>
      </w:r>
    </w:p>
    <w:p>
      <w:pPr>
        <w:pStyle w:val="BodyText"/>
        <w:tabs>
          <w:tab w:val="clear" w:pos="720"/>
          <w:tab w:val="left" w:pos="1440" w:leader="none"/>
        </w:tabs>
        <w:ind w:hanging="0" w:end="0"/>
        <w:rPr/>
      </w:pPr>
      <w:r>
        <w:rPr/>
        <w:tab/>
        <w:t xml:space="preserve">But no matter how TANC tries to repackage its claims, at bottom, they are preempted.  The touchstone of preemption analysis is the displacement of state regulation by federal regulation.  If regulation by the state will conflict or interfere with the full accomplishment of the objectives of federal regulation, then the state regulation must give way.  </w:t>
      </w:r>
      <w:r>
        <w:rPr>
          <w:i/>
          <w:iCs/>
        </w:rPr>
        <w:t>Pacific Gas &amp; Electric Co. v. State Energy Resources Conservation &amp; Development Commission</w:t>
      </w:r>
      <w:r>
        <w:rPr/>
        <w:t>, 461 US 190, 204 (1983).</w:t>
      </w:r>
    </w:p>
    <w:p>
      <w:pPr>
        <w:pStyle w:val="BodyText"/>
        <w:tabs>
          <w:tab w:val="clear" w:pos="720"/>
          <w:tab w:val="left" w:pos="1440" w:leader="none"/>
        </w:tabs>
        <w:ind w:hanging="0" w:end="0"/>
        <w:rPr/>
      </w:pPr>
      <w:r>
        <w:rPr/>
        <w:tab/>
        <w:t xml:space="preserve">Allowing TANC to pursue its state law claims would unquestionably conflict and interfere with FERC's objectives in its regulation of interstate transmission services.  In passing the FPA, Congress occupied the field of interstate power regulation, preempting all state regulation in the area.  </w:t>
      </w:r>
      <w:r>
        <w:rPr>
          <w:i/>
          <w:iCs/>
        </w:rPr>
        <w:t>See</w:t>
      </w:r>
      <w:r>
        <w:rPr/>
        <w:t xml:space="preserve"> </w:t>
      </w:r>
      <w:r>
        <w:rPr>
          <w:i/>
          <w:iCs/>
        </w:rPr>
        <w:t>Nanathala Power &amp; Light Co. v. Thornburg</w:t>
      </w:r>
      <w:r>
        <w:rPr/>
        <w:t xml:space="preserve">, 476 U.S. 953, 966 (1986) (FPA preempts state regulation of wholesale power without need to engage in case-by-case analysis).  But even if Congress had left some room for state regulation, TANC’s claims would still be preempted because there is a </w:t>
      </w:r>
      <w:r>
        <w:rPr>
          <w:u w:val="single"/>
        </w:rPr>
        <w:t>direct conflict</w:t>
      </w:r>
      <w:r>
        <w:rPr/>
        <w:t xml:space="preserve"> between TANC’s state law claims and FERC’s regulations.  FERC has adopted open access as the national policy.  As a result, the Northwest Parties are now required to sell their transmission services on a non-discriminatory basis.  When there are competing requests for transmission services that exceed the available capacity, Order 888 sets out in detail how and when a customer may claim priority.  </w:t>
      </w:r>
      <w:r>
        <w:rPr>
          <w:i/>
          <w:iCs/>
        </w:rPr>
        <w:t>See Transmission Access Policy Study Group v. Federal Regulatory Energy Comm'n</w:t>
      </w:r>
      <w:r>
        <w:rPr/>
        <w:t xml:space="preserve">, 225 F.3d 667, 681-82 (D.C. Cir 2000).  All public utilities that own transmission facilities </w:t>
      </w:r>
      <w:r>
        <w:rPr>
          <w:u w:val="single"/>
        </w:rPr>
        <w:t>must</w:t>
      </w:r>
      <w:r>
        <w:rPr/>
        <w:t xml:space="preserve"> abide by the hierarchy in Order 888.  This priority scheme is found in the open access tariffs that FERC </w:t>
      </w:r>
      <w:r>
        <w:rPr>
          <w:u w:val="single"/>
        </w:rPr>
        <w:t>requires</w:t>
      </w:r>
      <w:r>
        <w:rPr/>
        <w:t xml:space="preserve"> all public utilities—including the Northwest Parties—to file.</w:t>
      </w:r>
    </w:p>
    <w:p>
      <w:pPr>
        <w:pStyle w:val="BodyText"/>
        <w:tabs>
          <w:tab w:val="clear" w:pos="720"/>
          <w:tab w:val="left" w:pos="1440" w:leader="none"/>
        </w:tabs>
        <w:ind w:hanging="0" w:end="0"/>
        <w:rPr/>
      </w:pPr>
      <w:r>
        <w:rPr/>
        <w:tab/>
        <w:t>FERC regulation has therefore preempted the claims that TANC is pursuing here.  TANC claims that it has a priority right to the 1600 MW capacity of the Northwest AC Intertie.  Order 888 and the corresponding open access tariffs filed by the Northwest Parties establish a different priority.  The direct conflict between TANC's claims and FERC's regulation is obvious.</w:t>
      </w:r>
    </w:p>
    <w:p>
      <w:pPr>
        <w:pStyle w:val="BodyText"/>
        <w:tabs>
          <w:tab w:val="clear" w:pos="720"/>
          <w:tab w:val="left" w:pos="1440" w:leader="none"/>
        </w:tabs>
        <w:ind w:hanging="0" w:end="0"/>
        <w:rPr/>
      </w:pPr>
      <w:r>
        <w:rPr/>
        <w:tab/>
        <w:t xml:space="preserve">Moreover, FERC is currently addressing the very issues that TANC raises in this proceeding, </w:t>
      </w:r>
      <w:r>
        <w:rPr>
          <w:u w:val="single"/>
        </w:rPr>
        <w:t>in response to objections filed by TANC</w:t>
      </w:r>
      <w:r>
        <w:rPr/>
        <w:t xml:space="preserve">.  TANC argued that the Northwest Parties were required to grant priority to the COTP when allocating transmission capacity on the Northwest AC Intertie.  [ER 109].  TANC asked FERC to (1) require the Northwest Parties to expand transfer capability, (2) to implement operating procedures that will avoid harm to TANC or (3) to force customers using the Alturas Intertie to accept curtailments.  [ER 97].  FERC rejected these arguments in approving the interconnection of the Alturas Intertie, but scheduled a hearing to consider "the impact of the interconnected operations and/or the parties' right to use the interconnected systems."  [ER 124].  After the hearing, the Administrative Law Judge issued an order on March 22, 2001, approving the operation of the Alturas Intertie and rejecting TANC’s claim priority to the transmission capacity of the Northwest AC Intertie.  [Sierra Pacific's Second Supplemental Request for Judicial Notice, ___].    </w:t>
      </w:r>
    </w:p>
    <w:p>
      <w:pPr>
        <w:pStyle w:val="BodyText"/>
        <w:tabs>
          <w:tab w:val="clear" w:pos="720"/>
          <w:tab w:val="left" w:pos="1440" w:leader="none"/>
        </w:tabs>
        <w:ind w:hanging="0" w:end="0"/>
        <w:rPr/>
      </w:pPr>
      <w:r>
        <w:rPr/>
        <w:tab/>
        <w:t>It is for FERC, not the states (or the courts through the enforcement of state common law claims), to determine national policy concerning the interstate transmission of electrical energy.  Congress has reserved that role for FERC exclusively.  FERC has made a policy decision in favor of open access, and has mandated that public utilities sell transmission services on a non-discriminatory basis.  TANC had the opportunity to present its arguments against open access to FERC.  Those arguments were rejected.  TANC had the opportunity to object to the interconnection and operation of the Alturas Intertie.  Those arguments were once again rejected.  TANC's attempt to sidestep FERC's policy decisions by seeking refuge in state law should be rejected as well.</w:t>
      </w:r>
    </w:p>
    <w:p>
      <w:pPr>
        <w:pStyle w:val="Heading3"/>
        <w:ind w:hanging="0" w:start="0"/>
        <w:rPr/>
      </w:pPr>
      <w:bookmarkStart w:id="25" w:name="__RefHeading___Toc522587500"/>
      <w:bookmarkEnd w:id="25"/>
      <w:r>
        <w:rPr/>
        <w:t>TANC's reliance on aviation cases is clearly misplaced.</w:t>
      </w:r>
    </w:p>
    <w:p>
      <w:pPr>
        <w:pStyle w:val="BodyText"/>
        <w:tabs>
          <w:tab w:val="clear" w:pos="720"/>
          <w:tab w:val="left" w:pos="1440" w:leader="none"/>
        </w:tabs>
        <w:ind w:hanging="0" w:end="0"/>
        <w:rPr/>
      </w:pPr>
      <w:r>
        <w:rPr/>
        <w:tab/>
        <w:t>Oddly, TANC's argument against preemption does not start with FERC regulation under the Federal Power Act, which is the regulatory scheme relevant to this case.  It begins with an analysis of the Federal Aviation Administration's ("FAA") regulation of air traffic.  TANC attempts to draw an analogy to the aviation context, where courts have allowed certain state law nuisance and inverse condemnation actions for noise "pollution" caused by aircraft, despite the FAA's pervasive regulation of air traffic.  (Appellant's Opening Brief pp. 31</w:t>
        <w:noBreakHyphen/>
        <w:t>34).</w:t>
      </w:r>
    </w:p>
    <w:p>
      <w:pPr>
        <w:pStyle w:val="BodyText"/>
        <w:tabs>
          <w:tab w:val="clear" w:pos="720"/>
          <w:tab w:val="left" w:pos="1440" w:leader="none"/>
        </w:tabs>
        <w:ind w:hanging="0" w:end="0"/>
        <w:rPr/>
      </w:pPr>
      <w:r>
        <w:rPr/>
        <w:tab/>
        <w:t>TANC tries to draw the following analogy:  There is pervasive regulation of air traffic by the FAA.  There is pervasive regulation of transmission service by FERC.  Some courts have allowed nuisance and inverse condemnation claims despite FAA regulation.  Therefore, the argument goes, this Court should allow nuisance and inverse condemnation claims despite FERC regulation.  (</w:t>
      </w:r>
      <w:r>
        <w:rPr>
          <w:i/>
          <w:iCs/>
        </w:rPr>
        <w:t>Id.</w:t>
      </w:r>
      <w:r>
        <w:rPr/>
        <w:t>)</w:t>
      </w:r>
    </w:p>
    <w:p>
      <w:pPr>
        <w:pStyle w:val="BodyText"/>
        <w:tabs>
          <w:tab w:val="clear" w:pos="720"/>
          <w:tab w:val="left" w:pos="1440" w:leader="none"/>
        </w:tabs>
        <w:ind w:hanging="0" w:end="0"/>
        <w:rPr/>
      </w:pPr>
      <w:r>
        <w:rPr/>
        <w:tab/>
        <w:t xml:space="preserve">The flaws in this analogy are apparent from even a quick reading of the relevant statutes and case law.  Not only are the aviation cases distinguishable, the reasoning from those cases actually </w:t>
      </w:r>
      <w:r>
        <w:rPr>
          <w:u w:val="single"/>
        </w:rPr>
        <w:t>mandates</w:t>
      </w:r>
      <w:r>
        <w:rPr/>
        <w:t xml:space="preserve"> preemption of TANC's claims here.</w:t>
      </w:r>
    </w:p>
    <w:p>
      <w:pPr>
        <w:pStyle w:val="BodyText"/>
        <w:tabs>
          <w:tab w:val="clear" w:pos="720"/>
          <w:tab w:val="left" w:pos="1440" w:leader="none"/>
        </w:tabs>
        <w:ind w:hanging="0" w:end="0"/>
        <w:rPr/>
      </w:pPr>
      <w:r>
        <w:rPr/>
        <w:tab/>
      </w:r>
      <w:r>
        <w:rPr>
          <w:u w:val="single"/>
        </w:rPr>
        <w:t>First</w:t>
      </w:r>
      <w:r>
        <w:rPr/>
        <w:t>, TANC's claims involve a very different regulatory scheme than the one involved in the aviation cases.  These regulatory schemes must be considered separately, as the scope of preemption is based on the governing statutes and the extent of the agency's regulation, which differ drastically.</w:t>
      </w:r>
    </w:p>
    <w:p>
      <w:pPr>
        <w:pStyle w:val="BodyText"/>
        <w:tabs>
          <w:tab w:val="clear" w:pos="720"/>
          <w:tab w:val="left" w:pos="1440" w:leader="none"/>
        </w:tabs>
        <w:ind w:hanging="0" w:end="0"/>
        <w:rPr/>
      </w:pPr>
      <w:r>
        <w:rPr/>
        <w:tab/>
        <w:t>An obvious example is the fact that the Federal Aviation Act, unlike the Federal Power Act, contains an express "anti-preemption" or "savings" clause.  It provided that "[n]othing contained in this chapter shall in any way abridge or alter the remedies now existing at common law or by statute, but the provisions of this chapter are in addition to such remedies."  49 U.S.C. § 1506 (revised and renumbered).</w:t>
      </w:r>
      <w:r>
        <w:rPr>
          <w:rStyle w:val="FootnoteCharacters"/>
          <w:rStyle w:val="FootnoteReference"/>
        </w:rPr>
        <w:footnoteReference w:id="2"/>
      </w:r>
      <w:r>
        <w:rPr/>
        <w:t xml:space="preserve">  Congress thus provided that certain traditional state law claims involving air traffic noise should co-exist with federal regulation.  Indeed, the Seventh Circuit in </w:t>
      </w:r>
      <w:r>
        <w:rPr>
          <w:i/>
          <w:iCs/>
        </w:rPr>
        <w:t>Bieneman v. City of Chicago</w:t>
      </w:r>
      <w:r>
        <w:rPr/>
        <w:t>, 864 F.2d 463 (7</w:t>
      </w:r>
      <w:r>
        <w:rPr>
          <w:vertAlign w:val="superscript"/>
        </w:rPr>
        <w:t>th</w:t>
      </w:r>
      <w:r>
        <w:rPr/>
        <w:t xml:space="preserve"> Cir. 1988) (Appellant's Opening Brief p. 32), pointed to this savings clause in holding that homeowners' nuisance claims based on air traffic noise were not preempted by FAA regulation.  864 F.2d at 471.</w:t>
      </w:r>
      <w:r>
        <w:rPr>
          <w:rStyle w:val="FootnoteCharacters"/>
          <w:rStyle w:val="FootnoteReference"/>
        </w:rPr>
        <w:footnoteReference w:id="3"/>
      </w:r>
    </w:p>
    <w:p>
      <w:pPr>
        <w:pStyle w:val="BodyText"/>
        <w:tabs>
          <w:tab w:val="clear" w:pos="720"/>
          <w:tab w:val="left" w:pos="1440" w:leader="none"/>
        </w:tabs>
        <w:ind w:hanging="0" w:end="0"/>
        <w:rPr/>
      </w:pPr>
      <w:r>
        <w:rPr/>
        <w:tab/>
        <w:t xml:space="preserve">The Federal Power Act, however, does </w:t>
      </w:r>
      <w:r>
        <w:rPr>
          <w:u w:val="single"/>
        </w:rPr>
        <w:t>not</w:t>
      </w:r>
      <w:r>
        <w:rPr/>
        <w:t xml:space="preserve"> include a savings clause.  In passing the FPA, Congress did not preserve any traditional state law remedies.  It instead gave FERC exclusive jurisdiction over the interstate transmission of electrical energy, leaving nothing to the states.</w:t>
      </w:r>
    </w:p>
    <w:p>
      <w:pPr>
        <w:pStyle w:val="BodyText"/>
        <w:tabs>
          <w:tab w:val="clear" w:pos="720"/>
          <w:tab w:val="left" w:pos="1440" w:leader="none"/>
        </w:tabs>
        <w:ind w:hanging="0" w:end="0"/>
        <w:rPr/>
      </w:pPr>
      <w:r>
        <w:rPr/>
        <w:tab/>
        <w:t>Given that the Federal Aviation Act contained a savings clause and the FPA does not, cases from the aviation context provide little guidance in this case.  The Court should focus on FERC regulation under the FPA, not on unrelated aviation cases, in determining whether TANC's claims are preempted.</w:t>
      </w:r>
    </w:p>
    <w:p>
      <w:pPr>
        <w:pStyle w:val="BodyText"/>
        <w:tabs>
          <w:tab w:val="clear" w:pos="720"/>
          <w:tab w:val="left" w:pos="1440" w:leader="none"/>
        </w:tabs>
        <w:ind w:hanging="0" w:end="0"/>
        <w:rPr/>
      </w:pPr>
      <w:r>
        <w:rPr/>
        <w:tab/>
      </w:r>
      <w:r>
        <w:rPr>
          <w:u w:val="single"/>
        </w:rPr>
        <w:t>Second</w:t>
      </w:r>
      <w:r>
        <w:rPr/>
        <w:t>, as the Seventh Circuit recognized, even a savings clause could not preserve state law claims based on conduct mandated or approved by federal regulation:</w:t>
      </w:r>
    </w:p>
    <w:p>
      <w:pPr>
        <w:pStyle w:val="BlockText"/>
        <w:rPr/>
      </w:pPr>
      <w:r>
        <w:rPr>
          <w:sz w:val="28"/>
        </w:rPr>
        <w:t>"</w:t>
      </w:r>
      <w:r>
        <w:rPr>
          <w:i/>
          <w:iCs/>
          <w:sz w:val="28"/>
        </w:rPr>
        <w:t>A state court could not award damages against O'Hare or its users for conduct required by these regulations, or for not engaging in noise-abatement procedures that the Federal Aviation Administration considered but rejected as unsafe.</w:t>
      </w:r>
      <w:r>
        <w:rPr>
          <w:sz w:val="28"/>
        </w:rPr>
        <w:t xml:space="preserve">  Bieneman's complaint suggests that damages should be awarded because there are too many flights per hour, or because the aircraft are older models not fitted with high-bypass turbofan engines, or because the planes do not climb at a sufficiently steep rate after takeoff.  These subjects are governed by federal law, and a state may not use common law procedures to question federal decisions or extract money from those who abide by them.  There may be, on the other hand, aspects of O'Hare's operations that offend federal law, or that federal norms do not govern.  Perhaps, as Bieneman insists, the airport does not use adequate noise baffles around the perimeter of the airport, or perhaps it has built more runways than federal law requires (to the detriment of those under the new ones), or is out of compliance with the governing federal rules.   </w:t>
      </w:r>
      <w:r>
        <w:rPr>
          <w:i/>
          <w:iCs/>
          <w:sz w:val="28"/>
        </w:rPr>
        <w:t>The essential point is that the state may employ damages remedies only to enforce federal requirements or to regulate aspects of airport operation over which the state has discretionary authority</w:t>
      </w:r>
      <w:r>
        <w:rPr>
          <w:sz w:val="28"/>
        </w:rPr>
        <w:t>."</w:t>
      </w:r>
    </w:p>
    <w:p>
      <w:pPr>
        <w:pStyle w:val="BlockText"/>
        <w:rPr>
          <w:sz w:val="28"/>
        </w:rPr>
      </w:pPr>
      <w:r>
        <w:rPr>
          <w:sz w:val="28"/>
        </w:rPr>
      </w:r>
    </w:p>
    <w:p>
      <w:pPr>
        <w:pStyle w:val="BlockText"/>
        <w:spacing w:lineRule="auto" w:line="480"/>
        <w:ind w:start="0" w:end="0"/>
        <w:rPr/>
      </w:pPr>
      <w:r>
        <w:rPr>
          <w:sz w:val="28"/>
        </w:rPr>
        <w:t>864 F.2d at 472</w:t>
        <w:noBreakHyphen/>
        <w:t xml:space="preserve">73 (emphasis added).  Thus, even if this Court were to look for guidance to the aviation cases cited by TANC (which it should not), TANC could not pursue its state law claims.  FERC has </w:t>
      </w:r>
      <w:r>
        <w:rPr>
          <w:sz w:val="28"/>
          <w:u w:val="single"/>
        </w:rPr>
        <w:t>mandated</w:t>
      </w:r>
      <w:r>
        <w:rPr>
          <w:sz w:val="28"/>
        </w:rPr>
        <w:t xml:space="preserve"> the sale of transmission services to all customers on a non-discriminatory basis.  It also approved the interconnection of the Alturas Intertie, </w:t>
      </w:r>
      <w:r>
        <w:rPr>
          <w:sz w:val="28"/>
          <w:u w:val="single"/>
        </w:rPr>
        <w:t>rejecting</w:t>
      </w:r>
      <w:r>
        <w:rPr>
          <w:sz w:val="28"/>
        </w:rPr>
        <w:t xml:space="preserve"> the very same arguments that TANC has raised here.  Thus, even under the FAA regulatory scheme, TANC's claims would be preempted.</w:t>
      </w:r>
    </w:p>
    <w:p>
      <w:pPr>
        <w:pStyle w:val="BodyText"/>
        <w:tabs>
          <w:tab w:val="clear" w:pos="720"/>
          <w:tab w:val="left" w:pos="1440" w:leader="none"/>
        </w:tabs>
        <w:ind w:hanging="0" w:end="0"/>
        <w:rPr/>
      </w:pPr>
      <w:r>
        <w:rPr/>
        <w:tab/>
      </w:r>
      <w:r>
        <w:rPr>
          <w:u w:val="single"/>
        </w:rPr>
        <w:t>Finally</w:t>
      </w:r>
      <w:r>
        <w:rPr/>
        <w:t xml:space="preserve">, the aviation cases are not helpful here because TANC is clearly in a different position than a private property owner who brings a nuisance claim based on air traffic noise.  A person can buy property without obtaining any approval from the FAA.  By contrast, TANC could </w:t>
      </w:r>
      <w:r>
        <w:rPr>
          <w:u w:val="single"/>
        </w:rPr>
        <w:t>not</w:t>
      </w:r>
      <w:r>
        <w:rPr/>
        <w:t xml:space="preserve"> interconnect with the Northwest Intertie without FERC's approval.  TANC sought and accepted the benefits of interconnection.  It did so knowing full well that FERC has the power to modify or abrogate the terms and conditions of such agreements (including interconnection agreements) when it finds that those terms and conditions are unjust, unreasonable, unduly discriminatory or preferential.  16 U.S.C. § 824e.  FERC exercised this power when it issued Order 888 to require the open access that TANC now seeks to undo.  TANC gained its "right" to interconnection subject to FERC's power to change the terms and conditions under which the interconnection would operate.</w:t>
      </w:r>
    </w:p>
    <w:p>
      <w:pPr>
        <w:pStyle w:val="Heading2"/>
        <w:ind w:hanging="0" w:start="0"/>
        <w:rPr/>
      </w:pPr>
      <w:bookmarkStart w:id="26" w:name="__RefHeading___Toc522587501"/>
      <w:bookmarkEnd w:id="26"/>
      <w:r>
        <w:rPr/>
        <w:t>Even if TANC's Claims were not Preempted, They Would Fail as a Matter of Law</w:t>
      </w:r>
    </w:p>
    <w:p>
      <w:pPr>
        <w:pStyle w:val="BodyText"/>
        <w:tabs>
          <w:tab w:val="clear" w:pos="720"/>
          <w:tab w:val="left" w:pos="1440" w:leader="none"/>
        </w:tabs>
        <w:ind w:hanging="0" w:end="0"/>
        <w:rPr/>
      </w:pPr>
      <w:r>
        <w:rPr/>
        <w:tab/>
        <w:t xml:space="preserve">The District Court dismissed TANC's claims against PGE on the ground that the claims are preempted by the FPA.  [ER 190].  This Court may, however, affirm the District Court's order on any grounds supported by the record.  </w:t>
      </w:r>
      <w:r>
        <w:rPr>
          <w:i/>
          <w:iCs/>
        </w:rPr>
        <w:t>See Salermon v. United States</w:t>
      </w:r>
      <w:r>
        <w:rPr/>
        <w:t>, 724 F.2d 1357, 1364 (9</w:t>
      </w:r>
      <w:r>
        <w:rPr>
          <w:vertAlign w:val="superscript"/>
        </w:rPr>
        <w:t>th</w:t>
      </w:r>
      <w:r>
        <w:rPr/>
        <w:t xml:space="preserve"> Cir. 1983).  The Court can affirm the District Court's decision on the additional ground that TANC has failed to state claims upon which relief can be granted.</w:t>
      </w:r>
    </w:p>
    <w:p>
      <w:pPr>
        <w:pStyle w:val="Heading3"/>
        <w:ind w:hanging="0" w:start="0"/>
        <w:rPr/>
      </w:pPr>
      <w:bookmarkStart w:id="27" w:name="__RefHeading___Toc522587502"/>
      <w:bookmarkEnd w:id="27"/>
      <w:r>
        <w:rPr/>
        <w:t>TANC Cannot State a Claim for Breach of Contract</w:t>
      </w:r>
    </w:p>
    <w:p>
      <w:pPr>
        <w:pStyle w:val="BodyText"/>
        <w:tabs>
          <w:tab w:val="clear" w:pos="720"/>
          <w:tab w:val="left" w:pos="1440" w:leader="none"/>
        </w:tabs>
        <w:ind w:hanging="0" w:end="0"/>
        <w:rPr/>
      </w:pPr>
      <w:r>
        <w:rPr/>
        <w:tab/>
        <w:t>TANC's breach of contract claim confuses what the Interim Interconnection Agreement does, and does not, require.</w:t>
      </w:r>
      <w:r>
        <w:rPr>
          <w:rStyle w:val="FootnoteCharacters"/>
          <w:rStyle w:val="FootnoteReference"/>
        </w:rPr>
        <w:footnoteReference w:id="4"/>
      </w:r>
      <w:r>
        <w:rPr/>
        <w:t xml:space="preserve">  The Agreement imposes two separate obligations on the Northwest Parties.  First, it requires the Northwest Parties to build and maintain transmission facilities with the </w:t>
      </w:r>
      <w:r>
        <w:rPr>
          <w:u w:val="single"/>
        </w:rPr>
        <w:t>capability</w:t>
      </w:r>
      <w:r>
        <w:rPr/>
        <w:t xml:space="preserve"> of transmitting a total of 4800 MW in total and 1600 MW to the COTP specifically.  [ER 76-77].  Second, it requires the Northwest Parties to reserve 800—and only 800—of the 1600 MW for interregional transfers of power.  [ER 76-77, 80].  In other words, the most that TANC could argue that the Northwest Parties are required to reserve for use by the COTP is 800 MW of transmission services.  Thus, the Interim Interconnection Agreement clearly distinguishes between the </w:t>
      </w:r>
      <w:r>
        <w:rPr>
          <w:u w:val="single"/>
        </w:rPr>
        <w:t>capability</w:t>
      </w:r>
      <w:r>
        <w:rPr/>
        <w:t xml:space="preserve"> of the Northwest Intertie and TANC's right to </w:t>
      </w:r>
      <w:r>
        <w:rPr>
          <w:u w:val="single"/>
        </w:rPr>
        <w:t>use</w:t>
      </w:r>
      <w:r>
        <w:rPr/>
        <w:t xml:space="preserve"> the Northwest Intertie.</w:t>
      </w:r>
    </w:p>
    <w:p>
      <w:pPr>
        <w:pStyle w:val="BodyText"/>
        <w:tabs>
          <w:tab w:val="clear" w:pos="720"/>
          <w:tab w:val="left" w:pos="1440" w:leader="none"/>
        </w:tabs>
        <w:ind w:hanging="0" w:end="0"/>
        <w:rPr/>
      </w:pPr>
      <w:r>
        <w:rPr/>
        <w:tab/>
        <w:t xml:space="preserve">TANC blurs the distinction between capability and use in order to create a claim where none exists.  According to TANC, the Northwest Parties breach their obligations whenever they allow the Alturas Intertie to use </w:t>
      </w:r>
      <w:r>
        <w:rPr>
          <w:u w:val="single"/>
        </w:rPr>
        <w:t>any</w:t>
      </w:r>
      <w:r>
        <w:rPr/>
        <w:t xml:space="preserve"> of the 1600 MW capability of the Northwest Intertie.  First Amended Complaint ¶ 35 [ER 7].  TANC thus claims a right to exclusive use of the entire 1600 MW capability.</w:t>
      </w:r>
    </w:p>
    <w:p>
      <w:pPr>
        <w:pStyle w:val="BodyText"/>
        <w:tabs>
          <w:tab w:val="clear" w:pos="720"/>
          <w:tab w:val="left" w:pos="1440" w:leader="none"/>
        </w:tabs>
        <w:ind w:hanging="0" w:end="0"/>
        <w:rPr/>
      </w:pPr>
      <w:r>
        <w:rPr/>
        <w:tab/>
        <w:t>The problem with TANC's argument is that it is contrary to the plain language of the Agreement.  At best, TANC contracted for the use of 800 MW.  Thus, even under TANC's best case, the Northwest Parties are free to sell up to 800 MW of capacity for use on the Alturas Intertie or, for that matter, any other system that might interconnect with the Northwest Intertie.</w:t>
      </w:r>
    </w:p>
    <w:p>
      <w:pPr>
        <w:pStyle w:val="BodyText"/>
        <w:tabs>
          <w:tab w:val="clear" w:pos="720"/>
          <w:tab w:val="left" w:pos="1440" w:leader="none"/>
        </w:tabs>
        <w:ind w:hanging="0" w:end="0"/>
        <w:rPr/>
      </w:pPr>
      <w:r>
        <w:rPr/>
        <w:tab/>
        <w:t xml:space="preserve">The Northwest Parties have met their contractual obligations.  They have maintained facilities capable of transmitting up to 1600 MW to the COTP.  The </w:t>
      </w:r>
      <w:r>
        <w:rPr>
          <w:u w:val="single"/>
        </w:rPr>
        <w:t>maximum</w:t>
      </w:r>
      <w:r>
        <w:rPr/>
        <w:t xml:space="preserve"> amount of capacity that can be used by the Alturas Intertie is 300 MW.  That leaves 1300 MW available for TANC to purchase, well beyond the 800 MW that TANC, at most, reserved.  TANC therefore has no claim for breach of contract.</w:t>
      </w:r>
    </w:p>
    <w:p>
      <w:pPr>
        <w:pStyle w:val="Heading3"/>
        <w:ind w:hanging="0" w:start="0"/>
        <w:rPr/>
      </w:pPr>
      <w:bookmarkStart w:id="28" w:name="__RefHeading___Toc522587503"/>
      <w:r>
        <w:rPr/>
        <w:t>TANC's Tort and Inverse Condemnation Claims Fail as a Matter of Law</w:t>
      </w:r>
      <w:bookmarkEnd w:id="28"/>
      <w:r>
        <w:rPr/>
        <w:tab/>
      </w:r>
    </w:p>
    <w:p>
      <w:pPr>
        <w:pStyle w:val="BodyText"/>
        <w:tabs>
          <w:tab w:val="clear" w:pos="720"/>
          <w:tab w:val="left" w:pos="1440" w:leader="none"/>
        </w:tabs>
        <w:ind w:hanging="0" w:end="0"/>
        <w:rPr>
          <w:i/>
          <w:i/>
          <w:iCs/>
        </w:rPr>
      </w:pPr>
      <w:r>
        <w:rPr/>
        <w:tab/>
        <w:t xml:space="preserve">TANC has brought claims against PGE for private nuisance, trespass, conversion and inverse condemnation.  Each of these claims fails for the simple reason that PGE has not interfered with, taken or damaged TANC's property.  </w:t>
      </w:r>
      <w:r>
        <w:rPr>
          <w:i/>
          <w:iCs/>
        </w:rPr>
        <w:t>See Messerall v. Fulwider</w:t>
      </w:r>
      <w:r>
        <w:rPr/>
        <w:t xml:space="preserve">, 199 Cal. App.3d 1324, 1329 (1988) (conversion requires assumption of control or ownership of other's property); </w:t>
      </w:r>
      <w:r>
        <w:rPr>
          <w:i/>
          <w:iCs/>
        </w:rPr>
        <w:t>Oliver v. AT&amp;T Wireless Serv.</w:t>
      </w:r>
      <w:r>
        <w:rPr/>
        <w:t>, 76 Cal. App.4</w:t>
      </w:r>
      <w:r>
        <w:rPr>
          <w:vertAlign w:val="superscript"/>
        </w:rPr>
        <w:t>th</w:t>
      </w:r>
      <w:r>
        <w:rPr/>
        <w:t xml:space="preserve"> 521, 530 (1999) (inverse condemnation claim requires physical damage or invasion, or intangible intrusion which causes direct, substantial burden on use and enjoyment of property); </w:t>
      </w:r>
      <w:r>
        <w:rPr>
          <w:i/>
          <w:iCs/>
        </w:rPr>
        <w:t>Id.</w:t>
      </w:r>
      <w:r>
        <w:rPr/>
        <w:t xml:space="preserve"> (private nuisance requires substantial and unreasonable interference with use and enjoyment of property); </w:t>
      </w:r>
      <w:r>
        <w:rPr>
          <w:i/>
          <w:iCs/>
        </w:rPr>
        <w:t>San Diego Gas &amp; Elec. v. Superior Court,</w:t>
      </w:r>
      <w:r>
        <w:rPr/>
        <w:t xml:space="preserve"> 13 Cal.4</w:t>
      </w:r>
      <w:r>
        <w:rPr>
          <w:vertAlign w:val="superscript"/>
        </w:rPr>
        <w:t>th</w:t>
      </w:r>
      <w:r>
        <w:rPr/>
        <w:t xml:space="preserve"> 893, 937-38 (1996) (trespass requires some physical damage or invasion of property).</w:t>
      </w:r>
    </w:p>
    <w:p>
      <w:pPr>
        <w:pStyle w:val="BodyText"/>
        <w:tabs>
          <w:tab w:val="clear" w:pos="720"/>
          <w:tab w:val="left" w:pos="1440" w:leader="none"/>
        </w:tabs>
        <w:ind w:hanging="0" w:end="0"/>
        <w:rPr/>
      </w:pPr>
      <w:r>
        <w:rPr/>
        <w:tab/>
        <w:t xml:space="preserve">It is important to distinguish between what TANC can and cannot claim as its "property".  It cannot claim a property interest in the 300 MW of transmission services used by customers of the Alturas Intertie.  Even if TANC had the right to receive more than 800 MW of capacity from the Northwest Intertie (which it does not, as explained earlier), it would be a simple contract right.  The Interim Interconnection Agreement expressly provides that the Northwest Parties retain all of their ownership interest in the transmission facilities.  [ER 75-76].  TANC could not and does not have any property interest in the transmission services provided by the Northwest Parties.  What TANC </w:t>
      </w:r>
      <w:r>
        <w:rPr>
          <w:u w:val="single"/>
        </w:rPr>
        <w:t>can</w:t>
      </w:r>
      <w:r>
        <w:rPr/>
        <w:t xml:space="preserve"> claim a property interest in is its own facilities.</w:t>
      </w:r>
    </w:p>
    <w:p>
      <w:pPr>
        <w:pStyle w:val="BodyText"/>
        <w:tabs>
          <w:tab w:val="clear" w:pos="720"/>
          <w:tab w:val="left" w:pos="1440" w:leader="none"/>
        </w:tabs>
        <w:ind w:hanging="0" w:end="0"/>
        <w:rPr/>
      </w:pPr>
      <w:r>
        <w:rPr/>
        <w:tab/>
        <w:t>But the Northwest Parties have not damaged, taken or interfered with TANC's use of its own facilities.  TANC can use those facilities as it chooses.  They have not been damaged.  No electrical disturbances have made their way from the Northwest Intertie to the COTP.  And TANC has not indirectly damaged those facilities.</w:t>
      </w:r>
    </w:p>
    <w:p>
      <w:pPr>
        <w:pStyle w:val="BodyText"/>
        <w:tabs>
          <w:tab w:val="clear" w:pos="720"/>
          <w:tab w:val="left" w:pos="1440" w:leader="none"/>
        </w:tabs>
        <w:ind w:hanging="0" w:end="0"/>
        <w:rPr/>
      </w:pPr>
      <w:r>
        <w:rPr/>
        <w:tab/>
        <w:t xml:space="preserve">Once again, TANC's real complaint is that its use of </w:t>
      </w:r>
      <w:r>
        <w:rPr>
          <w:u w:val="single"/>
        </w:rPr>
        <w:t>the Northwest Intertie</w:t>
      </w:r>
      <w:r>
        <w:rPr/>
        <w:t xml:space="preserve"> has been affected, not the use of its </w:t>
      </w:r>
      <w:r>
        <w:rPr>
          <w:u w:val="single"/>
        </w:rPr>
        <w:t>own</w:t>
      </w:r>
      <w:r>
        <w:rPr/>
        <w:t xml:space="preserve"> facilities.  Since it does not have any property interest in the Northwest Intertie, it cannot assert tort and inverse condemnation claims against the Northwest Parties.  These claims therefore cannot be maintained, and the District Court's dismissal should be affirmed.</w:t>
      </w:r>
    </w:p>
    <w:p>
      <w:pPr>
        <w:pStyle w:val="Heading1"/>
        <w:rPr/>
      </w:pPr>
      <w:bookmarkStart w:id="29" w:name="__RefHeading___Toc522587504"/>
      <w:bookmarkEnd w:id="29"/>
      <w:r>
        <w:rPr/>
        <w:t>CONCLUSION</w:t>
      </w:r>
    </w:p>
    <w:p>
      <w:pPr>
        <w:pStyle w:val="BodyText"/>
        <w:rPr/>
      </w:pPr>
      <w:r>
        <w:rPr/>
      </w:r>
    </w:p>
    <w:p>
      <w:pPr>
        <w:pStyle w:val="Signature"/>
        <w:rPr/>
      </w:pPr>
      <w:r>
        <w:rPr/>
        <w:t>Respectfully submitted,</w:t>
      </w:r>
    </w:p>
    <w:p>
      <w:pPr>
        <w:pStyle w:val="Signature"/>
        <w:rPr/>
      </w:pPr>
      <w:r>
        <w:rPr/>
      </w:r>
    </w:p>
    <w:p>
      <w:pPr>
        <w:pStyle w:val="Signature"/>
        <w:rPr/>
      </w:pPr>
      <w:r>
        <w:rPr/>
        <w:t>TONKON TORP LLP</w:t>
      </w:r>
    </w:p>
    <w:p>
      <w:pPr>
        <w:pStyle w:val="Signature"/>
        <w:rPr/>
      </w:pPr>
      <w:r>
        <w:rPr/>
      </w:r>
    </w:p>
    <w:p>
      <w:pPr>
        <w:pStyle w:val="Signature"/>
        <w:rPr/>
      </w:pPr>
      <w:r>
        <w:rPr/>
      </w:r>
    </w:p>
    <w:p>
      <w:pPr>
        <w:pStyle w:val="Signature"/>
        <w:rPr/>
      </w:pPr>
      <w:r>
        <w:rPr/>
      </w:r>
    </w:p>
    <w:p>
      <w:pPr>
        <w:pStyle w:val="Signature"/>
        <w:rPr/>
      </w:pPr>
      <w:r>
        <w:rPr/>
        <w:t xml:space="preserve">By </w:t>
      </w:r>
      <w:r>
        <w:rPr>
          <w:u w:val="single"/>
        </w:rPr>
        <w:tab/>
        <w:tab/>
        <w:tab/>
        <w:tab/>
        <w:tab/>
        <w:tab/>
      </w:r>
    </w:p>
    <w:p>
      <w:pPr>
        <w:pStyle w:val="Signature"/>
        <w:ind w:start="5040" w:end="0"/>
        <w:rPr/>
      </w:pPr>
      <w:r>
        <w:rPr/>
        <w:t>William F. Martson, Jr.</w:t>
      </w:r>
    </w:p>
    <w:p>
      <w:pPr>
        <w:pStyle w:val="Signature"/>
        <w:ind w:start="5040" w:end="0"/>
        <w:rPr/>
      </w:pPr>
      <w:r>
        <w:rPr/>
        <w:t>Steven M. Wilker</w:t>
      </w:r>
    </w:p>
    <w:p>
      <w:pPr>
        <w:pStyle w:val="Signature"/>
        <w:ind w:start="5040" w:end="0"/>
        <w:rPr/>
      </w:pPr>
      <w:r>
        <w:rPr/>
        <w:t>David S. Aman</w:t>
      </w:r>
    </w:p>
    <w:p>
      <w:pPr>
        <w:pStyle w:val="Signature"/>
        <w:ind w:start="5040" w:end="0"/>
        <w:rPr/>
      </w:pPr>
      <w:r>
        <w:rPr/>
        <w:t>Attorneys for Appellee Portland General Electric Company</w:t>
      </w:r>
      <w:r>
        <w:br w:type="page"/>
      </w:r>
    </w:p>
    <w:p>
      <w:pPr>
        <w:pStyle w:val="Normal"/>
        <w:jc w:val="center"/>
        <w:rPr>
          <w:b/>
        </w:rPr>
      </w:pPr>
      <w:bookmarkStart w:id="30" w:name="bCert"/>
      <w:bookmarkStart w:id="31" w:name="Sig2"/>
      <w:bookmarkEnd w:id="30"/>
      <w:bookmarkEnd w:id="31"/>
      <w:r>
        <w:rPr>
          <w:b/>
        </w:rPr>
        <w:t>BRIEF FORMAT CERTIFICATION PURSUANT TO</w:t>
      </w:r>
    </w:p>
    <w:p>
      <w:pPr>
        <w:pStyle w:val="Normal"/>
        <w:jc w:val="center"/>
        <w:rPr>
          <w:b/>
        </w:rPr>
      </w:pPr>
      <w:r>
        <w:rPr>
          <w:b/>
        </w:rPr>
        <w:t>FED. R. APP. P. 32(a)(7)(C)</w:t>
      </w:r>
    </w:p>
    <w:p>
      <w:pPr>
        <w:pStyle w:val="Normal"/>
        <w:rPr>
          <w:b/>
        </w:rPr>
      </w:pPr>
      <w:r>
        <w:rPr>
          <w:b/>
        </w:rPr>
      </w:r>
    </w:p>
    <w:p>
      <w:pPr>
        <w:pStyle w:val="Normal"/>
        <w:tabs>
          <w:tab w:val="clear" w:pos="720"/>
          <w:tab w:val="left" w:pos="1440" w:leader="none"/>
        </w:tabs>
        <w:rPr/>
      </w:pPr>
      <w:r>
        <w:rPr/>
        <w:tab/>
      </w:r>
      <w:r>
        <w:rPr>
          <w:rFonts w:eastAsia="Wingdings" w:cs="Wingdings" w:ascii="Wingdings" w:hAnsi="Wingdings"/>
          <w:sz w:val="36"/>
        </w:rPr>
        <w:sym w:font="Wingdings" w:char="f06f"/>
      </w:r>
      <w:r>
        <w:rPr/>
        <w:tab/>
        <w:t>Pursuant to Fed. R. App. P. 32(a)(7)(C) and Ninth Circuit Rule 32</w:t>
        <w:noBreakHyphen/>
        <w:t>1, the attached answering brief is proportionately spaced, has a typeface of 14 points or more and contains ________ words.</w:t>
      </w:r>
    </w:p>
    <w:p>
      <w:pPr>
        <w:pStyle w:val="Normal"/>
        <w:tabs>
          <w:tab w:val="clear" w:pos="720"/>
          <w:tab w:val="left" w:pos="1440" w:leader="none"/>
        </w:tabs>
        <w:rPr/>
      </w:pPr>
      <w:r>
        <w:rPr/>
      </w:r>
    </w:p>
    <w:p>
      <w:pPr>
        <w:pStyle w:val="Normal"/>
        <w:tabs>
          <w:tab w:val="clear" w:pos="720"/>
          <w:tab w:val="left" w:pos="1440" w:leader="none"/>
        </w:tabs>
        <w:jc w:val="center"/>
        <w:rPr/>
      </w:pPr>
      <w:r>
        <w:rPr/>
        <w:t>- or -</w:t>
      </w:r>
    </w:p>
    <w:p>
      <w:pPr>
        <w:pStyle w:val="Normal"/>
        <w:tabs>
          <w:tab w:val="clear" w:pos="720"/>
          <w:tab w:val="left" w:pos="1440" w:leader="none"/>
        </w:tabs>
        <w:rPr/>
      </w:pPr>
      <w:r>
        <w:rPr/>
      </w:r>
    </w:p>
    <w:p>
      <w:pPr>
        <w:pStyle w:val="Normal"/>
        <w:tabs>
          <w:tab w:val="clear" w:pos="720"/>
          <w:tab w:val="left" w:pos="1440" w:leader="none"/>
        </w:tabs>
        <w:rPr/>
      </w:pPr>
      <w:r>
        <w:rPr/>
        <w:tab/>
      </w:r>
      <w:r>
        <w:rPr>
          <w:rFonts w:eastAsia="Wingdings" w:cs="Wingdings" w:ascii="Wingdings" w:hAnsi="Wingdings"/>
          <w:sz w:val="36"/>
        </w:rPr>
        <w:sym w:font="Wingdings" w:char="f06f"/>
      </w:r>
      <w:r>
        <w:rPr/>
        <w:tab/>
        <w:t xml:space="preserve">The attached brief is </w:t>
      </w:r>
      <w:r>
        <w:rPr>
          <w:b/>
          <w:bCs/>
        </w:rPr>
        <w:t>not</w:t>
      </w:r>
      <w:r>
        <w:rPr/>
        <w:t xml:space="preserve"> subject to the type-volume limitations of Fed. R. App. P. 32(a)(7)(B) because this brief complies with Fed. R. App. P. 32(a)(1)-(7) and is a principal brief of no more than 30 pages.</w:t>
      </w:r>
    </w:p>
    <w:p>
      <w:pPr>
        <w:pStyle w:val="Normal"/>
        <w:tabs>
          <w:tab w:val="clear" w:pos="720"/>
          <w:tab w:val="left" w:pos="1440" w:leader="none"/>
        </w:tabs>
        <w:rPr/>
      </w:pPr>
      <w:r>
        <w:rPr/>
      </w:r>
    </w:p>
    <w:p>
      <w:pPr>
        <w:pStyle w:val="Signature"/>
        <w:keepNext w:val="true"/>
        <w:tabs>
          <w:tab w:val="clear" w:pos="720"/>
          <w:tab w:val="right" w:pos="9360" w:leader="none"/>
        </w:tabs>
        <w:rPr/>
      </w:pPr>
      <w:r>
        <w:rPr/>
        <w:t>TONKON TORP LLP</w:t>
      </w:r>
    </w:p>
    <w:p>
      <w:pPr>
        <w:pStyle w:val="Signature"/>
        <w:keepNext w:val="true"/>
        <w:tabs>
          <w:tab w:val="clear" w:pos="720"/>
          <w:tab w:val="right" w:pos="9360" w:leader="none"/>
        </w:tabs>
        <w:rPr/>
      </w:pPr>
      <w:r>
        <w:rPr/>
      </w:r>
    </w:p>
    <w:p>
      <w:pPr>
        <w:pStyle w:val="Signature"/>
        <w:keepNext w:val="true"/>
        <w:tabs>
          <w:tab w:val="clear" w:pos="720"/>
          <w:tab w:val="right" w:pos="9360" w:leader="none"/>
        </w:tabs>
        <w:rPr/>
      </w:pPr>
      <w:r>
        <w:rPr/>
      </w:r>
    </w:p>
    <w:p>
      <w:pPr>
        <w:pStyle w:val="Signature"/>
        <w:keepNext w:val="true"/>
        <w:tabs>
          <w:tab w:val="clear" w:pos="720"/>
          <w:tab w:val="right" w:pos="9360" w:leader="none"/>
        </w:tabs>
        <w:rPr/>
      </w:pPr>
      <w:r>
        <w:rPr/>
      </w:r>
    </w:p>
    <w:p>
      <w:pPr>
        <w:pStyle w:val="Signature"/>
        <w:keepNext w:val="true"/>
        <w:tabs>
          <w:tab w:val="clear" w:pos="720"/>
          <w:tab w:val="right" w:pos="9360" w:leader="none"/>
        </w:tabs>
        <w:rPr/>
      </w:pPr>
      <w:r>
        <w:rPr/>
        <w:t xml:space="preserve">By </w:t>
      </w:r>
      <w:r>
        <w:rPr>
          <w:u w:val="single"/>
        </w:rPr>
        <w:tab/>
      </w:r>
    </w:p>
    <w:p>
      <w:pPr>
        <w:pStyle w:val="Signature"/>
        <w:keepNext w:val="true"/>
        <w:tabs>
          <w:tab w:val="clear" w:pos="720"/>
          <w:tab w:val="right" w:pos="9360" w:leader="none"/>
        </w:tabs>
        <w:ind w:start="5040" w:end="0"/>
        <w:rPr/>
      </w:pPr>
      <w:r>
        <w:rPr/>
        <w:t>William F. Martson, Jr.</w:t>
      </w:r>
    </w:p>
    <w:p>
      <w:pPr>
        <w:pStyle w:val="Signature"/>
        <w:keepNext w:val="true"/>
        <w:tabs>
          <w:tab w:val="clear" w:pos="720"/>
          <w:tab w:val="right" w:pos="9360" w:leader="none"/>
        </w:tabs>
        <w:ind w:start="5040" w:end="0"/>
        <w:rPr/>
      </w:pPr>
      <w:r>
        <w:rPr/>
        <w:t>Steven M. Wilker</w:t>
      </w:r>
    </w:p>
    <w:p>
      <w:pPr>
        <w:pStyle w:val="Signature"/>
        <w:keepNext w:val="true"/>
        <w:tabs>
          <w:tab w:val="clear" w:pos="720"/>
          <w:tab w:val="right" w:pos="9360" w:leader="none"/>
        </w:tabs>
        <w:ind w:start="5040" w:end="0"/>
        <w:rPr/>
      </w:pPr>
      <w:r>
        <w:rPr/>
        <w:t>David S. Aman</w:t>
      </w:r>
    </w:p>
    <w:p>
      <w:pPr>
        <w:pStyle w:val="Signature"/>
        <w:keepNext w:val="true"/>
        <w:tabs>
          <w:tab w:val="clear" w:pos="720"/>
          <w:tab w:val="right" w:pos="9360" w:leader="none"/>
        </w:tabs>
        <w:ind w:start="5040" w:end="0"/>
        <w:rPr/>
      </w:pPr>
      <w:r>
        <w:rPr/>
        <w:t>Attorneys for Appellee Portland General Electric</w:t>
      </w:r>
    </w:p>
    <w:p>
      <w:pPr>
        <w:sectPr>
          <w:headerReference w:type="default" r:id="rId8"/>
          <w:headerReference w:type="first" r:id="rId9"/>
          <w:footerReference w:type="default" r:id="rId10"/>
          <w:footerReference w:type="first" r:id="rId11"/>
          <w:footnotePr>
            <w:numFmt w:val="decimal"/>
          </w:footnotePr>
          <w:type w:val="nextPage"/>
          <w:pgSz w:w="12240" w:h="15840"/>
          <w:pgMar w:left="1440" w:right="1440" w:gutter="0" w:header="720" w:top="1440" w:footer="720" w:bottom="1440"/>
          <w:pgNumType w:start="1" w:fmt="decimal"/>
          <w:formProt w:val="false"/>
          <w:textDirection w:val="lrTb"/>
          <w:docGrid w:type="default" w:linePitch="360" w:charSpace="0"/>
        </w:sectPr>
        <w:pStyle w:val="Normal"/>
        <w:tabs>
          <w:tab w:val="clear" w:pos="720"/>
          <w:tab w:val="left" w:pos="2880" w:leader="none"/>
        </w:tabs>
        <w:ind w:hanging="720" w:start="2880" w:end="0"/>
        <w:rPr/>
      </w:pPr>
      <w:r>
        <w:rPr/>
      </w:r>
    </w:p>
    <w:p>
      <w:pPr>
        <w:pStyle w:val="Normal"/>
        <w:spacing w:before="0" w:after="120"/>
        <w:jc w:val="center"/>
        <w:rPr>
          <w:b/>
          <w:bCs/>
        </w:rPr>
      </w:pPr>
      <w:r>
        <w:rPr>
          <w:b/>
          <w:bCs/>
        </w:rPr>
        <w:t>CERTIFICATE OF SERVICE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pacing w:lineRule="exact" w:line="480"/>
        <w:rPr/>
      </w:pPr>
      <w:r>
        <w:rPr/>
        <w:tab/>
        <w:tab/>
        <w:t>I hereby certify that I served the foregoing APPELLEE PORTLAND GENERAL ELECTRIC'S ANSWERING BRIEF</w:t>
      </w:r>
      <w:r>
        <w:rPr>
          <w:b/>
          <w:bCs/>
        </w:rPr>
        <w:t xml:space="preserve"> </w:t>
      </w:r>
      <w:r>
        <w:rPr/>
        <w:t>on:</w:t>
      </w:r>
    </w:p>
    <w:p>
      <w:pPr>
        <w:pStyle w:val="Normal"/>
        <w:ind w:firstLine="720" w:start="720" w:end="0"/>
        <w:rPr/>
      </w:pPr>
      <w:r>
        <w:rPr/>
      </w:r>
    </w:p>
    <w:p>
      <w:pPr>
        <w:pStyle w:val="Normal"/>
        <w:ind w:firstLine="720" w:start="720" w:end="0"/>
        <w:rPr/>
      </w:pPr>
      <w:r>
        <w:rPr/>
        <w:t>Dennis L. Viglione</w:t>
      </w:r>
    </w:p>
    <w:p>
      <w:pPr>
        <w:pStyle w:val="Normal"/>
        <w:ind w:firstLine="720" w:start="720" w:end="0"/>
        <w:rPr/>
      </w:pPr>
      <w:r>
        <w:rPr/>
        <w:t>Montague, Cochrane &amp; Viglione</w:t>
      </w:r>
    </w:p>
    <w:p>
      <w:pPr>
        <w:pStyle w:val="Normal"/>
        <w:ind w:firstLine="720" w:start="720" w:end="0"/>
        <w:rPr/>
      </w:pPr>
      <w:r>
        <w:rPr/>
        <w:t>Suite 110</w:t>
      </w:r>
    </w:p>
    <w:p>
      <w:pPr>
        <w:pStyle w:val="Normal"/>
        <w:ind w:firstLine="720" w:start="720" w:end="0"/>
        <w:rPr/>
      </w:pPr>
      <w:r>
        <w:rPr/>
        <w:t>1500 River Park Drive</w:t>
      </w:r>
    </w:p>
    <w:p>
      <w:pPr>
        <w:pStyle w:val="Normal"/>
        <w:ind w:firstLine="720" w:start="720" w:end="0"/>
        <w:rPr/>
      </w:pPr>
      <w:r>
        <w:rPr/>
        <w:t>Sacramento, CA  95815</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start="1440" w:end="0"/>
        <w:rPr/>
      </w:pPr>
      <w:r>
        <w:rPr/>
        <w:tab/>
        <w:t>Attorneys for Plaintiff</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start="1440" w:end="0"/>
        <w:rPr/>
      </w:pPr>
      <w:r>
        <w:rPr/>
      </w:r>
    </w:p>
    <w:p>
      <w:pPr>
        <w:pStyle w:val="Normal"/>
        <w:ind w:firstLine="720" w:start="720" w:end="0"/>
        <w:rPr/>
      </w:pPr>
      <w:r>
        <w:rPr/>
        <w:t>Carmen Legato</w:t>
      </w:r>
    </w:p>
    <w:p>
      <w:pPr>
        <w:pStyle w:val="Normal"/>
        <w:ind w:firstLine="720" w:start="720" w:end="0"/>
        <w:rPr/>
      </w:pPr>
      <w:r>
        <w:rPr/>
        <w:t>Jocelyn A. Aqua</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start="1440" w:end="0"/>
        <w:rPr/>
      </w:pPr>
      <w:r>
        <w:rPr/>
        <w:t>White &amp; Case LLP</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start="1440" w:end="0"/>
        <w:rPr/>
      </w:pPr>
      <w:r>
        <w:rPr/>
        <w:t>Suite 600 South</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start="1440" w:end="0"/>
        <w:rPr/>
      </w:pPr>
      <w:r>
        <w:rPr/>
        <w:t>601 13</w:t>
      </w:r>
      <w:r>
        <w:rPr>
          <w:vertAlign w:val="superscript"/>
        </w:rPr>
        <w:t>th</w:t>
      </w:r>
      <w:r>
        <w:rPr/>
        <w:t xml:space="preserve"> Street, N.W.</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start="1440" w:end="0"/>
        <w:rPr/>
      </w:pPr>
      <w:r>
        <w:rPr/>
        <w:t>Washington, D.C.  20005</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start="1440" w:end="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start="1440" w:end="0"/>
        <w:rPr/>
      </w:pPr>
      <w:r>
        <w:rPr/>
        <w:t>John A. Sturgeon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start="1440" w:end="0"/>
        <w:rPr/>
      </w:pPr>
      <w:r>
        <w:rPr/>
        <w:t>White &amp; Case LLP</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start="1440" w:end="0"/>
        <w:rPr/>
      </w:pPr>
      <w:r>
        <w:rPr/>
        <w:t>Suite 1900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start="1440" w:end="0"/>
        <w:rPr/>
      </w:pPr>
      <w:r>
        <w:rPr/>
        <w:t>633 West Fifth</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start="1440" w:end="0"/>
        <w:rPr/>
      </w:pPr>
      <w:r>
        <w:rPr/>
        <w:t>Los Angeles, CA  90071-2007</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start="1440" w:end="0"/>
        <w:rPr/>
      </w:pPr>
      <w:r>
        <w:rPr/>
        <w:tab/>
        <w:t>Attorneys for Sierra Pacific Power Company</w:t>
      </w:r>
    </w:p>
    <w:p>
      <w:pPr>
        <w:pStyle w:val="Normal"/>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start="1440" w:end="0"/>
        <w:rPr/>
      </w:pPr>
      <w:r>
        <w:rPr/>
        <w:t>Stephen S. Walters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start="1440" w:end="0"/>
        <w:rPr/>
      </w:pPr>
      <w:r>
        <w:rPr/>
        <w:t>Stoel Rives LLP</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start="1440" w:end="0"/>
        <w:rPr/>
      </w:pPr>
      <w:r>
        <w:rPr/>
        <w:t>Suite 2300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start="1440" w:end="0"/>
        <w:rPr/>
      </w:pPr>
      <w:r>
        <w:rPr/>
        <w:t>900 S.W. Fifth Avenue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start="1440" w:end="0"/>
        <w:rPr/>
      </w:pPr>
      <w:r>
        <w:rPr/>
        <w:t>Portland, Oregon  97204</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start="1440" w:end="0"/>
        <w:rPr/>
      </w:pPr>
      <w:r>
        <w:rPr/>
        <w:tab/>
        <w:t>Attorneys for Pacificorp</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start="1440" w:end="0"/>
        <w:rPr/>
      </w:pPr>
      <w:r>
        <w:rPr/>
      </w:r>
    </w:p>
    <w:p>
      <w:pPr>
        <w:pStyle w:val="Normal"/>
        <w:ind w:start="1440" w:end="0"/>
        <w:rPr/>
      </w:pPr>
      <w:r>
        <w:rPr/>
        <w:t>Robert S. Greenspan</w:t>
      </w:r>
    </w:p>
    <w:p>
      <w:pPr>
        <w:pStyle w:val="Normal"/>
        <w:ind w:start="1440" w:end="0"/>
        <w:rPr/>
      </w:pPr>
      <w:r>
        <w:rPr/>
        <w:t>Bruce G. Forrest</w:t>
      </w:r>
    </w:p>
    <w:p>
      <w:pPr>
        <w:pStyle w:val="Normal"/>
        <w:ind w:start="1440" w:end="0"/>
        <w:rPr/>
      </w:pPr>
      <w:r>
        <w:rPr/>
        <w:t>Department of Justice, Civil Division</w:t>
      </w:r>
    </w:p>
    <w:p>
      <w:pPr>
        <w:pStyle w:val="Normal"/>
        <w:ind w:start="1440" w:end="0"/>
        <w:rPr/>
      </w:pPr>
      <w:r>
        <w:rPr/>
        <w:t>Appellate Staff, Room 9149 PHB</w:t>
      </w:r>
    </w:p>
    <w:p>
      <w:pPr>
        <w:pStyle w:val="Normal"/>
        <w:ind w:start="1440" w:end="0"/>
        <w:rPr/>
      </w:pPr>
      <w:r>
        <w:rPr/>
        <w:t>601 "D" Street, N.W.</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start="1440" w:end="0"/>
        <w:rPr/>
      </w:pPr>
      <w:r>
        <w:rPr/>
        <w:t>Washington, D.C.  20530-0001</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start="1440" w:end="0"/>
        <w:rPr/>
      </w:pPr>
      <w:r>
        <w:rPr/>
      </w:r>
    </w:p>
    <w:p>
      <w:pPr>
        <w:pStyle w:val="LabelAddress"/>
        <w:tabs>
          <w:tab w:val="clear" w:pos="720"/>
          <w:tab w:val="left" w:pos="1440" w:leader="none"/>
        </w:tabs>
        <w:ind w:start="1440" w:end="0"/>
        <w:rPr>
          <w:sz w:val="28"/>
        </w:rPr>
      </w:pPr>
      <w:r>
        <w:rPr>
          <w:sz w:val="28"/>
        </w:rPr>
        <w:t>Eric H. Carter</w:t>
      </w:r>
    </w:p>
    <w:p>
      <w:pPr>
        <w:pStyle w:val="LabelAddress"/>
        <w:tabs>
          <w:tab w:val="clear" w:pos="720"/>
          <w:tab w:val="left" w:pos="1440" w:leader="none"/>
        </w:tabs>
        <w:ind w:start="1440" w:end="0"/>
        <w:rPr>
          <w:sz w:val="28"/>
        </w:rPr>
      </w:pPr>
      <w:r>
        <w:rPr>
          <w:sz w:val="28"/>
        </w:rPr>
        <w:t>Charles Combs</w:t>
      </w:r>
    </w:p>
    <w:p>
      <w:pPr>
        <w:pStyle w:val="LabelAddress"/>
        <w:tabs>
          <w:tab w:val="clear" w:pos="720"/>
          <w:tab w:val="left" w:pos="1440" w:leader="none"/>
        </w:tabs>
        <w:ind w:start="1440" w:end="0"/>
        <w:rPr>
          <w:sz w:val="28"/>
        </w:rPr>
      </w:pPr>
      <w:r>
        <w:rPr>
          <w:sz w:val="28"/>
        </w:rPr>
        <w:t>Bonneville Power Administration</w:t>
      </w:r>
    </w:p>
    <w:p>
      <w:pPr>
        <w:pStyle w:val="LabelAddress"/>
        <w:tabs>
          <w:tab w:val="clear" w:pos="720"/>
          <w:tab w:val="left" w:pos="1440" w:leader="none"/>
        </w:tabs>
        <w:ind w:start="1440" w:end="0"/>
        <w:rPr>
          <w:sz w:val="28"/>
        </w:rPr>
      </w:pPr>
      <w:r>
        <w:rPr>
          <w:sz w:val="28"/>
        </w:rPr>
        <w:t>Office of General Counsel LT-7</w:t>
      </w:r>
    </w:p>
    <w:p>
      <w:pPr>
        <w:pStyle w:val="LabelAddress"/>
        <w:tabs>
          <w:tab w:val="clear" w:pos="720"/>
          <w:tab w:val="left" w:pos="1440" w:leader="none"/>
        </w:tabs>
        <w:ind w:start="1440" w:end="0"/>
        <w:rPr/>
      </w:pPr>
      <w:r>
        <w:rPr>
          <w:sz w:val="28"/>
        </w:rPr>
        <w:t>905 N.E. 11</w:t>
      </w:r>
      <w:r>
        <w:rPr>
          <w:sz w:val="28"/>
          <w:vertAlign w:val="superscript"/>
        </w:rPr>
        <w:t xml:space="preserve">th </w:t>
      </w:r>
      <w:r>
        <w:rPr>
          <w:sz w:val="28"/>
        </w:rPr>
        <w:t>Avenue</w:t>
      </w:r>
    </w:p>
    <w:p>
      <w:pPr>
        <w:pStyle w:val="LabelAddress"/>
        <w:tabs>
          <w:tab w:val="clear" w:pos="720"/>
          <w:tab w:val="left" w:pos="1440" w:leader="none"/>
        </w:tabs>
        <w:ind w:start="1440" w:end="0"/>
        <w:rPr>
          <w:sz w:val="28"/>
        </w:rPr>
      </w:pPr>
      <w:r>
        <w:rPr>
          <w:sz w:val="28"/>
        </w:rPr>
        <w:t>P.O. Box 3621</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start="1440" w:end="0"/>
        <w:rPr/>
      </w:pPr>
      <w:r>
        <w:rPr/>
        <w:t>Portland, OR  97208-3621</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start="1440" w:end="0"/>
        <w:rPr/>
      </w:pPr>
      <w:r>
        <w:rPr/>
        <w:tab/>
        <w:t>Attorneys for Bonneville Power Administration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start="1440" w:end="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start="1440" w:end="0"/>
        <w:rPr/>
      </w:pPr>
      <w:r>
        <w:rPr/>
        <w:t>Clerk of the Court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start="1440" w:end="0"/>
        <w:rPr/>
      </w:pPr>
      <w:r>
        <w:rPr/>
        <w:t>United States Court of Appeals for the Ninth Circuit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start="1440" w:end="0"/>
        <w:rPr/>
      </w:pPr>
      <w:r>
        <w:rPr/>
        <w:t>P.O. Box 193939</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start="1440" w:end="0"/>
        <w:rPr/>
      </w:pPr>
      <w:r>
        <w:rPr/>
        <w:t>San Francisco, CA  94119-3939</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start="1440" w:end="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pacing w:lineRule="exact" w:line="480"/>
        <w:rPr/>
      </w:pPr>
      <w:r>
        <w:rPr/>
        <w:tab/>
        <w:tab/>
      </w:r>
      <w:r>
        <w:rPr>
          <w:sz w:val="20"/>
        </w:rPr>
        <w:drawing>
          <wp:inline distT="0" distB="0" distL="0" distR="0">
            <wp:extent cx="137160" cy="152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2"/>
                    <a:stretch>
                      <a:fillRect/>
                    </a:stretch>
                  </pic:blipFill>
                  <pic:spPr bwMode="auto">
                    <a:xfrm>
                      <a:off x="0" y="0"/>
                      <a:ext cx="137160" cy="152400"/>
                    </a:xfrm>
                    <a:prstGeom prst="rect">
                      <a:avLst/>
                    </a:prstGeom>
                    <a:noFill/>
                    <a:ln w="9525">
                      <a:solidFill>
                        <a:srgbClr val="000000"/>
                      </a:solidFill>
                    </a:ln>
                  </pic:spPr>
                </pic:pic>
              </a:graphicData>
            </a:graphic>
          </wp:inline>
        </w:drawing>
      </w:r>
      <w:r>
        <w:rPr/>
        <w:t xml:space="preserve"> by mailing a copy thereof in a sealed, first</w:t>
        <w:noBreakHyphen/>
        <w:t>class postage prepaid envelope, addressed to each party's last</w:t>
        <w:noBreakHyphen/>
        <w:t>known address and depositing in the U.S. mail at Portland, Oregon on the date set forth below; or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spacing w:lineRule="exact" w:line="480"/>
        <w:rPr/>
      </w:pPr>
      <w:r>
        <w:rPr/>
        <w:tab/>
        <w:tab/>
      </w:r>
      <w:r>
        <w:rPr>
          <w:sz w:val="20"/>
        </w:rPr>
        <w:drawing>
          <wp:inline distT="0" distB="0" distL="0" distR="0">
            <wp:extent cx="137160" cy="15240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13"/>
                    <a:stretch>
                      <a:fillRect/>
                    </a:stretch>
                  </pic:blipFill>
                  <pic:spPr bwMode="auto">
                    <a:xfrm>
                      <a:off x="0" y="0"/>
                      <a:ext cx="137160" cy="152400"/>
                    </a:xfrm>
                    <a:prstGeom prst="rect">
                      <a:avLst/>
                    </a:prstGeom>
                    <a:noFill/>
                    <a:ln w="9525">
                      <a:solidFill>
                        <a:srgbClr val="000000"/>
                      </a:solidFill>
                    </a:ln>
                  </pic:spPr>
                </pic:pic>
              </a:graphicData>
            </a:graphic>
          </wp:inline>
        </w:drawing>
      </w:r>
      <w:r>
        <w:rPr/>
        <w:t xml:space="preserve"> by sending a copy thereof via overnight courier in a sealed, prepaid envelope, addressed to each party's last-known address on the date set forth below.</w:t>
      </w:r>
    </w:p>
    <w:p>
      <w:pPr>
        <w:pStyle w:val="Normal"/>
        <w:tabs>
          <w:tab w:val="clear" w:pos="720"/>
          <w:tab w:val="left" w:pos="1440" w:leader="none"/>
        </w:tabs>
        <w:spacing w:lineRule="exact" w:line="480"/>
        <w:rPr/>
      </w:pPr>
      <w:r>
        <w:rPr/>
        <w:tab/>
        <w:t xml:space="preserve">DATED:  </w:t>
      </w:r>
      <w:r>
        <w:rPr/>
        <w:fldChar w:fldCharType="begin"/>
      </w:r>
      <w:r>
        <w:rPr/>
        <w:instrText xml:space="preserve"> DATE \@"MMMM\ d', 'yyyy" </w:instrText>
      </w:r>
      <w:r>
        <w:rPr/>
        <w:fldChar w:fldCharType="separate"/>
      </w:r>
      <w:r>
        <w:rPr/>
        <w:t>September 28, 2025</w:t>
      </w:r>
      <w:r>
        <w:rPr/>
        <w:fldChar w:fldCharType="end"/>
      </w:r>
      <w:r>
        <w:rPr/>
        <w: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rPr/>
      </w:pPr>
      <w:r>
        <w:rPr/>
      </w:r>
    </w:p>
    <w:p>
      <w:pPr>
        <w:pStyle w:val="Signature"/>
        <w:keepNext w:val="true"/>
        <w:tabs>
          <w:tab w:val="clear" w:pos="720"/>
          <w:tab w:val="right" w:pos="9720" w:leader="none"/>
        </w:tabs>
        <w:spacing w:lineRule="atLeast" w:line="240"/>
        <w:rPr/>
      </w:pPr>
      <w:r>
        <w:rPr/>
        <w:t xml:space="preserve">By </w:t>
      </w:r>
      <w:r>
        <w:rPr>
          <w:u w:val="single"/>
        </w:rPr>
        <w:tab/>
      </w:r>
    </w:p>
    <w:p>
      <w:pPr>
        <w:pStyle w:val="Signature"/>
        <w:keepNext w:val="true"/>
        <w:tabs>
          <w:tab w:val="clear" w:pos="720"/>
          <w:tab w:val="right" w:pos="9720" w:leader="none"/>
        </w:tabs>
        <w:spacing w:lineRule="atLeast" w:line="240"/>
        <w:ind w:start="5040" w:end="0"/>
        <w:rPr/>
      </w:pPr>
      <w:r>
        <w:rPr/>
        <w:t>Steven M. Wilker, CSB #150946</w:t>
      </w:r>
    </w:p>
    <w:p>
      <w:pPr>
        <w:pStyle w:val="Signature"/>
        <w:keepNext w:val="true"/>
        <w:tabs>
          <w:tab w:val="clear" w:pos="720"/>
          <w:tab w:val="right" w:pos="9720" w:leader="none"/>
        </w:tabs>
        <w:spacing w:lineRule="atLeast" w:line="240"/>
        <w:ind w:start="5040" w:end="0"/>
        <w:rPr/>
      </w:pPr>
      <w:r>
        <w:rPr/>
        <w:t>William F. Martson, Jr., OSB #72163</w:t>
      </w:r>
    </w:p>
    <w:p>
      <w:pPr>
        <w:pStyle w:val="Signature"/>
        <w:keepNext w:val="true"/>
        <w:tabs>
          <w:tab w:val="clear" w:pos="720"/>
          <w:tab w:val="right" w:pos="9720" w:leader="none"/>
        </w:tabs>
        <w:spacing w:lineRule="atLeast" w:line="240"/>
        <w:ind w:start="5040" w:end="0"/>
        <w:rPr/>
      </w:pPr>
      <w:r>
        <w:rPr/>
        <w:t>David S. Aman, OSB #96210</w:t>
      </w:r>
    </w:p>
    <w:p>
      <w:pPr>
        <w:pStyle w:val="Signature"/>
        <w:keepNext w:val="true"/>
        <w:tabs>
          <w:tab w:val="clear" w:pos="720"/>
          <w:tab w:val="right" w:pos="9720" w:leader="none"/>
        </w:tabs>
        <w:spacing w:lineRule="atLeast" w:line="240"/>
        <w:ind w:start="5040" w:end="0"/>
        <w:rPr/>
      </w:pPr>
      <w:r>
        <w:rPr/>
        <w:t>Attorneys for Appellee Portland General Electric Company</w:t>
      </w:r>
    </w:p>
    <w:p>
      <w:pPr>
        <w:pStyle w:val="Normal"/>
        <w:spacing w:before="240" w:after="0"/>
        <w:rPr>
          <w:caps/>
          <w:sz w:val="16"/>
        </w:rPr>
      </w:pPr>
      <w:bookmarkStart w:id="32" w:name="FileNum"/>
      <w:r>
        <w:rPr>
          <w:caps/>
          <w:sz w:val="16"/>
        </w:rPr>
        <w:fldChar w:fldCharType="begin"/>
      </w:r>
      <w:r>
        <w:rPr>
          <w:caps/>
          <w:sz w:val="16"/>
        </w:rPr>
        <w:instrText xml:space="preserve"> DOCPROPERTY "Doc No."</w:instrText>
      </w:r>
      <w:r>
        <w:rPr>
          <w:caps/>
          <w:sz w:val="16"/>
        </w:rPr>
        <w:fldChar w:fldCharType="separate"/>
      </w:r>
      <w:r>
        <w:rPr>
          <w:caps/>
          <w:sz w:val="16"/>
        </w:rPr>
        <w:t>001991\00133\412695 V001</w:t>
      </w:r>
      <w:r>
        <w:rPr>
          <w:caps/>
          <w:sz w:val="16"/>
        </w:rPr>
        <w:fldChar w:fldCharType="end"/>
      </w:r>
      <w:bookmarkEnd w:id="32"/>
    </w:p>
    <w:sectPr>
      <w:headerReference w:type="default" r:id="rId14"/>
      <w:headerReference w:type="first" r:id="rId15"/>
      <w:footerReference w:type="default" r:id="rId16"/>
      <w:footerReference w:type="first" r:id="rId17"/>
      <w:footnotePr>
        <w:numFmt w:val="decimal"/>
      </w:footnotePr>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tLeast" w:line="240"/>
      <w:rPr>
        <w:caps/>
      </w:rPr>
    </w:pPr>
    <w:r>
      <w:rPr>
        <w:caps/>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tLeast" w:line="240"/>
      <w:rPr>
        <w:caps/>
      </w:rPr>
    </w:pPr>
    <w:r>
      <w:rPr>
        <w:caps/>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tLeast" w:line="240"/>
      <w:rPr>
        <w:caps/>
      </w:rPr>
    </w:pPr>
    <w:r>
      <w:rPr>
        <w:caps/>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80"/>
        <w:ind w:firstLine="1440" w:start="0" w:end="0"/>
        <w:rPr/>
      </w:pPr>
      <w:r>
        <w:rPr>
          <w:rStyle w:val="FootnoteCharacters"/>
        </w:rPr>
        <w:footnoteRef/>
      </w:r>
      <w:r>
        <w:rPr/>
        <w:tab/>
        <w:t xml:space="preserve">In 1978, Congress passed the Airline Deregulation Act (“ADA”).  In the ADA, Congress adopted a broader preemption provision that prohibits states from enacting or enforcing any regulations “related to a price, route, or service of an air carrier”.  49 U.S.C. § 41713(1).  The ADA did, however, preserve the “savings” clause found in the Federal Aviation Act, which now appears at 49 U.S.C. § 40120(c) as follows: "Additional remedies—A remedy under this part is in addition to any other remedies provided by law."    </w:t>
      </w:r>
    </w:p>
  </w:footnote>
  <w:footnote w:id="3">
    <w:p>
      <w:pPr>
        <w:pStyle w:val="FootnoteText"/>
        <w:spacing w:before="0" w:after="280"/>
        <w:ind w:firstLine="1440" w:start="0" w:end="0"/>
        <w:rPr/>
      </w:pPr>
      <w:r>
        <w:rPr>
          <w:rStyle w:val="FootnoteCharacters"/>
        </w:rPr>
        <w:footnoteRef/>
      </w:r>
      <w:r>
        <w:rPr/>
        <w:t xml:space="preserve"> </w:t>
      </w:r>
      <w:r>
        <w:rPr/>
        <w:tab/>
        <w:t xml:space="preserve">The Seventh Circuit’s decision in </w:t>
      </w:r>
      <w:r>
        <w:rPr>
          <w:i/>
          <w:iCs/>
        </w:rPr>
        <w:t>Bieneman</w:t>
      </w:r>
      <w:r>
        <w:rPr/>
        <w:t xml:space="preserve"> appears to conflict with the United States Supreme Court’s later decision in </w:t>
      </w:r>
      <w:r>
        <w:rPr>
          <w:i/>
          <w:iCs/>
        </w:rPr>
        <w:t>Morales v. Trans Wolrd Airlines</w:t>
      </w:r>
      <w:r>
        <w:rPr/>
        <w:t xml:space="preserve">, 504 U.S. 383, 385-86 (1992).  </w:t>
      </w:r>
      <w:r>
        <w:rPr>
          <w:i/>
          <w:iCs/>
        </w:rPr>
        <w:t>Morales</w:t>
      </w:r>
      <w:r>
        <w:rPr/>
        <w:t xml:space="preserve"> holds that the “savings” clause cannot be used to override the ADA’s specific preemption of state regulation “related to rates, routes or services”.  504 U.S. at 385.  Regardless, the aircraft cases have no bearing on preemption under the FPA.</w:t>
      </w:r>
    </w:p>
  </w:footnote>
  <w:footnote w:id="4">
    <w:p>
      <w:pPr>
        <w:pStyle w:val="FootnoteText"/>
        <w:spacing w:before="0" w:after="280"/>
        <w:ind w:firstLine="1440" w:start="0" w:end="0"/>
        <w:rPr/>
      </w:pPr>
      <w:r>
        <w:rPr>
          <w:rStyle w:val="FootnoteCharacters"/>
        </w:rPr>
        <w:footnoteRef/>
      </w:r>
      <w:r>
        <w:rPr/>
        <w:tab/>
        <w:t xml:space="preserve">The Court may consider the contents of the Interim Interconnection Agreement in determining whether, under Fed. R. Civ. P. 12(b)(6), TANC has failed to state a claim for relief.  </w:t>
      </w:r>
      <w:r>
        <w:rPr>
          <w:i/>
          <w:iCs/>
        </w:rPr>
        <w:t>See</w:t>
      </w:r>
      <w:r>
        <w:rPr/>
        <w:t xml:space="preserve"> </w:t>
      </w:r>
      <w:r>
        <w:rPr>
          <w:i/>
          <w:iCs/>
        </w:rPr>
        <w:t>Branch v. Tunnell</w:t>
      </w:r>
      <w:r>
        <w:rPr/>
        <w:t>, 14 F.3d 449, 453-54 (9th Cir. 1994) (holding that court deciding Rule 12(b)(6) motion may consider "documents whose contents are alleged in a complaint and whose authenticity no party questions").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center"/>
      <w:pPr>
        <w:tabs>
          <w:tab w:val="num" w:pos="720"/>
        </w:tabs>
        <w:ind w:start="360" w:hanging="0"/>
      </w:pPr>
      <w:rPr/>
    </w:lvl>
    <w:lvl w:ilvl="1">
      <w:start w:val="1"/>
      <w:pStyle w:val="Heading2"/>
      <w:numFmt w:val="upperLetter"/>
      <w:lvlText w:val="%2."/>
      <w:lvlJc w:val="start"/>
      <w:pPr>
        <w:tabs>
          <w:tab w:val="num" w:pos="1440"/>
        </w:tabs>
        <w:ind w:start="1440" w:hanging="720"/>
      </w:pPr>
      <w:rPr/>
    </w:lvl>
    <w:lvl w:ilvl="2">
      <w:start w:val="1"/>
      <w:pStyle w:val="Heading3"/>
      <w:numFmt w:val="decimal"/>
      <w:lvlText w:val="%3."/>
      <w:lvlJc w:val="start"/>
      <w:pPr>
        <w:tabs>
          <w:tab w:val="num" w:pos="2160"/>
        </w:tabs>
        <w:ind w:start="2160" w:hanging="720"/>
      </w:pPr>
      <w:rPr/>
    </w:lvl>
    <w:lvl w:ilvl="3">
      <w:start w:val="1"/>
      <w:pStyle w:val="Heading4"/>
      <w:numFmt w:val="lowerLetter"/>
      <w:lvlText w:val="(%4)"/>
      <w:lvlJc w:val="start"/>
      <w:pPr>
        <w:tabs>
          <w:tab w:val="num" w:pos="2880"/>
        </w:tabs>
        <w:ind w:start="2880" w:hanging="720"/>
      </w:pPr>
      <w:rPr/>
    </w:lvl>
    <w:lvl w:ilvl="4">
      <w:start w:val="1"/>
      <w:pStyle w:val="Heading5"/>
      <w:numFmt w:val="lowerRoman"/>
      <w:lvlText w:val="(%5)"/>
      <w:lvlJc w:val="start"/>
      <w:pPr>
        <w:tabs>
          <w:tab w:val="num" w:pos="3600"/>
        </w:tabs>
        <w:ind w:start="3600" w:hanging="720"/>
      </w:pPr>
      <w:rPr/>
    </w:lvl>
    <w:lvl w:ilvl="5">
      <w:start w:val="1"/>
      <w:pStyle w:val="Heading6"/>
      <w:numFmt w:val="lowerLetter"/>
      <w:lvlText w:val="(%6)"/>
      <w:lvlJc w:val="start"/>
      <w:pPr>
        <w:tabs>
          <w:tab w:val="num" w:pos="360"/>
        </w:tabs>
        <w:ind w:start="360" w:hanging="0"/>
      </w:pPr>
      <w:rPr/>
    </w:lvl>
    <w:lvl w:ilvl="6">
      <w:start w:val="1"/>
      <w:pStyle w:val="Heading7"/>
      <w:numFmt w:val="lowerRoman"/>
      <w:lvlText w:val="(%7)"/>
      <w:lvlJc w:val="start"/>
      <w:pPr>
        <w:tabs>
          <w:tab w:val="num" w:pos="360"/>
        </w:tabs>
        <w:ind w:start="360" w:hanging="0"/>
      </w:pPr>
      <w:rPr/>
    </w:lvl>
    <w:lvl w:ilvl="7">
      <w:start w:val="1"/>
      <w:pStyle w:val="Heading8"/>
      <w:numFmt w:val="lowerLetter"/>
      <w:lvlText w:val="(%8)"/>
      <w:lvlJc w:val="start"/>
      <w:pPr>
        <w:tabs>
          <w:tab w:val="num" w:pos="360"/>
        </w:tabs>
        <w:ind w:start="360" w:hanging="0"/>
      </w:pPr>
      <w:rPr/>
    </w:lvl>
    <w:lvl w:ilvl="8">
      <w:start w:val="1"/>
      <w:pStyle w:val="Heading9"/>
      <w:numFmt w:val="lowerRoman"/>
      <w:lvlText w:val="(%9)"/>
      <w:lvlJc w:val="start"/>
      <w:pPr>
        <w:tabs>
          <w:tab w:val="num" w:pos="360"/>
        </w:tabs>
        <w:ind w:start="360" w:hanging="0"/>
      </w:pPr>
      <w:r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8"/>
      <w:szCs w:val="20"/>
      <w:lang w:val="en-US" w:bidi="ar-SA" w:eastAsia="zh-CN"/>
    </w:rPr>
  </w:style>
  <w:style w:type="paragraph" w:styleId="Heading1">
    <w:name w:val="heading 1"/>
    <w:basedOn w:val="Normal"/>
    <w:next w:val="BodyText"/>
    <w:qFormat/>
    <w:pPr>
      <w:numPr>
        <w:ilvl w:val="0"/>
        <w:numId w:val="1"/>
      </w:numPr>
      <w:tabs>
        <w:tab w:val="clear" w:pos="720"/>
      </w:tabs>
      <w:overflowPunct w:val="false"/>
      <w:autoSpaceDE w:val="false"/>
      <w:spacing w:lineRule="atLeast" w:line="560" w:before="0" w:after="280"/>
      <w:ind w:hanging="0" w:start="-720" w:end="0"/>
      <w:jc w:val="center"/>
      <w:textAlignment w:val="baseline"/>
      <w:outlineLvl w:val="0"/>
    </w:pPr>
    <w:rPr>
      <w:b/>
      <w:bCs/>
    </w:rPr>
  </w:style>
  <w:style w:type="paragraph" w:styleId="Heading2">
    <w:name w:val="heading 2"/>
    <w:basedOn w:val="Normal"/>
    <w:next w:val="BodyText"/>
    <w:qFormat/>
    <w:pPr>
      <w:numPr>
        <w:ilvl w:val="1"/>
        <w:numId w:val="1"/>
      </w:numPr>
      <w:overflowPunct w:val="false"/>
      <w:autoSpaceDE w:val="false"/>
      <w:spacing w:before="0" w:after="240"/>
      <w:textAlignment w:val="baseline"/>
      <w:outlineLvl w:val="1"/>
    </w:pPr>
    <w:rPr>
      <w:b/>
      <w:bCs/>
    </w:rPr>
  </w:style>
  <w:style w:type="paragraph" w:styleId="Heading3">
    <w:name w:val="heading 3"/>
    <w:basedOn w:val="Normal"/>
    <w:next w:val="BodyText"/>
    <w:qFormat/>
    <w:pPr>
      <w:numPr>
        <w:ilvl w:val="2"/>
        <w:numId w:val="1"/>
      </w:numPr>
      <w:overflowPunct w:val="false"/>
      <w:autoSpaceDE w:val="false"/>
      <w:spacing w:before="0" w:after="240"/>
      <w:textAlignment w:val="baseline"/>
      <w:outlineLvl w:val="2"/>
    </w:pPr>
    <w:rPr>
      <w:b/>
      <w:bCs/>
    </w:rPr>
  </w:style>
  <w:style w:type="paragraph" w:styleId="Heading4">
    <w:name w:val="heading 4"/>
    <w:basedOn w:val="Normal"/>
    <w:next w:val="BodyText"/>
    <w:qFormat/>
    <w:pPr>
      <w:numPr>
        <w:ilvl w:val="3"/>
        <w:numId w:val="1"/>
      </w:numPr>
      <w:overflowPunct w:val="false"/>
      <w:autoSpaceDE w:val="false"/>
      <w:spacing w:lineRule="atLeast" w:line="560"/>
      <w:textAlignment w:val="baseline"/>
      <w:outlineLvl w:val="3"/>
    </w:pPr>
    <w:rPr/>
  </w:style>
  <w:style w:type="paragraph" w:styleId="Heading5">
    <w:name w:val="heading 5"/>
    <w:basedOn w:val="Normal"/>
    <w:next w:val="BodyText"/>
    <w:qFormat/>
    <w:pPr>
      <w:numPr>
        <w:ilvl w:val="4"/>
        <w:numId w:val="1"/>
      </w:numPr>
      <w:overflowPunct w:val="false"/>
      <w:autoSpaceDE w:val="false"/>
      <w:spacing w:lineRule="atLeast" w:line="560"/>
      <w:textAlignment w:val="baseline"/>
      <w:outlineLvl w:val="4"/>
    </w:pPr>
    <w:rPr/>
  </w:style>
  <w:style w:type="paragraph" w:styleId="Heading6">
    <w:name w:val="heading 6"/>
    <w:basedOn w:val="Normal"/>
    <w:next w:val="BodyText"/>
    <w:qFormat/>
    <w:pPr>
      <w:numPr>
        <w:ilvl w:val="5"/>
        <w:numId w:val="1"/>
      </w:numPr>
      <w:overflowPunct w:val="false"/>
      <w:autoSpaceDE w:val="false"/>
      <w:spacing w:lineRule="atLeast" w:line="560"/>
      <w:textAlignment w:val="baseline"/>
      <w:outlineLvl w:val="5"/>
    </w:pPr>
    <w:rPr/>
  </w:style>
  <w:style w:type="paragraph" w:styleId="Heading7">
    <w:name w:val="heading 7"/>
    <w:basedOn w:val="Normal"/>
    <w:next w:val="BodyText"/>
    <w:qFormat/>
    <w:pPr>
      <w:numPr>
        <w:ilvl w:val="6"/>
        <w:numId w:val="1"/>
      </w:numPr>
      <w:overflowPunct w:val="false"/>
      <w:autoSpaceDE w:val="false"/>
      <w:spacing w:lineRule="atLeast" w:line="560"/>
      <w:textAlignment w:val="baseline"/>
      <w:outlineLvl w:val="6"/>
    </w:pPr>
    <w:rPr/>
  </w:style>
  <w:style w:type="paragraph" w:styleId="Heading8">
    <w:name w:val="heading 8"/>
    <w:basedOn w:val="Normal"/>
    <w:next w:val="BodyText"/>
    <w:qFormat/>
    <w:pPr>
      <w:numPr>
        <w:ilvl w:val="7"/>
        <w:numId w:val="1"/>
      </w:numPr>
      <w:overflowPunct w:val="false"/>
      <w:autoSpaceDE w:val="false"/>
      <w:spacing w:lineRule="atLeast" w:line="560"/>
      <w:textAlignment w:val="baseline"/>
      <w:outlineLvl w:val="7"/>
    </w:pPr>
    <w:rPr/>
  </w:style>
  <w:style w:type="paragraph" w:styleId="Heading9">
    <w:name w:val="heading 9"/>
    <w:basedOn w:val="Normal"/>
    <w:next w:val="BodyText"/>
    <w:qFormat/>
    <w:pPr>
      <w:numPr>
        <w:ilvl w:val="8"/>
        <w:numId w:val="1"/>
      </w:numPr>
      <w:overflowPunct w:val="false"/>
      <w:autoSpaceDE w:val="false"/>
      <w:spacing w:lineRule="atLeast" w:line="560"/>
      <w:textAlignment w:val="baseline"/>
      <w:outlineLvl w:val="8"/>
    </w:pPr>
    <w:rPr/>
  </w:style>
  <w:style w:type="character" w:styleId="WW8Num2z0">
    <w:name w:val="WW8Num2z0"/>
    <w:qFormat/>
    <w:rPr>
      <w:rFonts w:ascii="Times New Roman" w:hAnsi="Times New Roman" w:cs="Times New Roman"/>
      <w:b w:val="false"/>
      <w:i w:val="false"/>
      <w:sz w:val="24"/>
    </w:rPr>
  </w:style>
  <w:style w:type="character" w:styleId="WW8Num2z1">
    <w:name w:val="WW8Num2z1"/>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sz w:val="16"/>
      <w:vertAlign w:val="superscript"/>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ind w:firstLine="1440" w:start="0" w:end="0"/>
    </w:pPr>
    <w:rPr/>
  </w:style>
  <w:style w:type="paragraph" w:styleId="List">
    <w:name w:val="List"/>
    <w:basedOn w:val="BodyText"/>
    <w:pPr/>
    <w:rPr>
      <w:rFonts w:cs="NotoSans NF"/>
    </w:rPr>
  </w:style>
  <w:style w:type="paragraph" w:styleId="Caption">
    <w:name w:val="caption"/>
    <w:basedOn w:val="Normal"/>
    <w:next w:val="Normal"/>
    <w:qFormat/>
    <w:pPr>
      <w:jc w:val="center"/>
    </w:pPr>
    <w:rPr/>
  </w:style>
  <w:style w:type="paragraph" w:styleId="Index">
    <w:name w:val="Index"/>
    <w:basedOn w:val="Normal"/>
    <w:qFormat/>
    <w:pPr>
      <w:suppressLineNumbers/>
    </w:pPr>
    <w:rPr>
      <w:rFonts w:cs="NotoSans NF"/>
    </w:rPr>
  </w:style>
  <w:style w:type="paragraph" w:styleId="TOC1">
    <w:name w:val="toc 1"/>
    <w:basedOn w:val="Normal"/>
    <w:next w:val="Normal"/>
    <w:pPr>
      <w:spacing w:before="240" w:after="120"/>
    </w:pPr>
    <w:rPr>
      <w:b/>
      <w:bCs/>
      <w:szCs w:val="24"/>
    </w:rPr>
  </w:style>
  <w:style w:type="paragraph" w:styleId="Index2">
    <w:name w:val="index 2"/>
    <w:basedOn w:val="Normal"/>
    <w:next w:val="Normal"/>
    <w:pPr>
      <w:widowControl w:val="false"/>
      <w:tabs>
        <w:tab w:val="clear" w:pos="720"/>
        <w:tab w:val="right" w:pos="8640" w:leader="dot"/>
      </w:tabs>
    </w:pPr>
    <w:rPr>
      <w:lang w:bidi="ar-SA"/>
    </w:rPr>
  </w:style>
  <w:style w:type="paragraph" w:styleId="Index1">
    <w:name w:val="index 1"/>
    <w:basedOn w:val="Normal"/>
    <w:next w:val="Normal"/>
    <w:pPr>
      <w:widowControl w:val="false"/>
      <w:spacing w:before="240" w:after="0"/>
    </w:pPr>
    <w:rPr>
      <w:lang w:bidi="ar-S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lang w:bidi="ar-SA"/>
    </w:rPr>
  </w:style>
  <w:style w:type="paragraph" w:styleId="Header">
    <w:name w:val="header"/>
    <w:basedOn w:val="Normal"/>
    <w:pPr>
      <w:widowControl w:val="false"/>
      <w:tabs>
        <w:tab w:val="clear" w:pos="720"/>
        <w:tab w:val="center" w:pos="4320" w:leader="none"/>
        <w:tab w:val="right" w:pos="8640" w:leader="none"/>
      </w:tabs>
    </w:pPr>
    <w:rPr>
      <w:lang w:bidi="ar-SA"/>
    </w:rPr>
  </w:style>
  <w:style w:type="paragraph" w:styleId="FootnoteText">
    <w:name w:val="footnote text"/>
    <w:basedOn w:val="Normal"/>
    <w:pPr>
      <w:spacing w:before="0" w:after="280"/>
      <w:ind w:firstLine="1440" w:start="0" w:end="0"/>
    </w:pPr>
    <w:rPr/>
  </w:style>
  <w:style w:type="paragraph" w:styleId="NormalIndent">
    <w:name w:val="Normal Indent"/>
    <w:basedOn w:val="Normal"/>
    <w:next w:val="Normal"/>
    <w:qFormat/>
    <w:pPr>
      <w:ind w:hanging="0" w:start="720" w:end="0"/>
    </w:pPr>
    <w:rPr/>
  </w:style>
  <w:style w:type="paragraph" w:styleId="Table">
    <w:name w:val="Table"/>
    <w:basedOn w:val="Normal"/>
    <w:qFormat/>
    <w:pPr>
      <w:tabs>
        <w:tab w:val="clear" w:pos="720"/>
        <w:tab w:val="left" w:pos="1440" w:leader="none"/>
      </w:tabs>
    </w:pPr>
    <w:rPr/>
  </w:style>
  <w:style w:type="paragraph" w:styleId="Signature">
    <w:name w:val="Signature"/>
    <w:basedOn w:val="Normal"/>
    <w:pPr>
      <w:keepLines/>
      <w:ind w:hanging="0" w:start="4680" w:end="0"/>
    </w:pPr>
    <w:rPr/>
  </w:style>
  <w:style w:type="paragraph" w:styleId="Indented">
    <w:name w:val="Indented"/>
    <w:basedOn w:val="Normal"/>
    <w:next w:val="Normal"/>
    <w:qFormat/>
    <w:pPr>
      <w:widowControl w:val="false"/>
      <w:ind w:hanging="0" w:start="720" w:end="0"/>
    </w:pPr>
    <w:rPr>
      <w:lang w:bidi="ar-SA"/>
    </w:rPr>
  </w:style>
  <w:style w:type="paragraph" w:styleId="Table2">
    <w:name w:val="Table2"/>
    <w:basedOn w:val="Normal"/>
    <w:qFormat/>
    <w:pPr>
      <w:spacing w:before="120" w:after="0"/>
      <w:ind w:hanging="0" w:start="720" w:end="0"/>
    </w:pPr>
    <w:rPr/>
  </w:style>
  <w:style w:type="paragraph" w:styleId="Citation">
    <w:name w:val="Citation"/>
    <w:basedOn w:val="Normal"/>
    <w:qFormat/>
    <w:pPr>
      <w:spacing w:lineRule="exact" w:line="240" w:before="240" w:after="0"/>
      <w:ind w:hanging="0" w:start="720" w:end="720"/>
    </w:pPr>
    <w:rPr/>
  </w:style>
  <w:style w:type="paragraph" w:styleId="caption1">
    <w:name w:val="caption1"/>
    <w:basedOn w:val="Normal"/>
    <w:qFormat/>
    <w:pPr>
      <w:jc w:val="center"/>
    </w:pPr>
    <w:rPr/>
  </w:style>
  <w:style w:type="paragraph" w:styleId="TOC2">
    <w:name w:val="toc 2"/>
    <w:basedOn w:val="Normal"/>
    <w:next w:val="Normal"/>
    <w:pPr>
      <w:tabs>
        <w:tab w:val="clear" w:pos="720"/>
        <w:tab w:val="left" w:pos="840" w:leader="none"/>
        <w:tab w:val="right" w:pos="9350" w:leader="dot"/>
      </w:tabs>
      <w:spacing w:before="120" w:after="0"/>
      <w:ind w:hanging="620" w:start="900" w:end="0"/>
    </w:pPr>
    <w:rPr>
      <w:szCs w:val="28"/>
      <w:lang w:val="en-CA" w:eastAsia="en-CA"/>
    </w:rPr>
  </w:style>
  <w:style w:type="paragraph" w:styleId="TOC3">
    <w:name w:val="toc 3"/>
    <w:basedOn w:val="Normal"/>
    <w:next w:val="Normal"/>
    <w:pPr>
      <w:tabs>
        <w:tab w:val="clear" w:pos="720"/>
        <w:tab w:val="left" w:pos="1120" w:leader="none"/>
        <w:tab w:val="right" w:pos="9350" w:leader="dot"/>
      </w:tabs>
      <w:ind w:hanging="610" w:start="1170" w:end="0"/>
    </w:pPr>
    <w:rPr>
      <w:szCs w:val="28"/>
      <w:lang w:val="en-CA" w:eastAsia="en-CA"/>
    </w:rPr>
  </w:style>
  <w:style w:type="paragraph" w:styleId="TOC4">
    <w:name w:val="toc 4"/>
    <w:basedOn w:val="Normal"/>
    <w:next w:val="Normal"/>
    <w:pPr>
      <w:ind w:hanging="0" w:start="840" w:end="0"/>
    </w:pPr>
    <w:rPr>
      <w:szCs w:val="24"/>
    </w:rPr>
  </w:style>
  <w:style w:type="paragraph" w:styleId="TOC5">
    <w:name w:val="toc 5"/>
    <w:basedOn w:val="Normal"/>
    <w:next w:val="Normal"/>
    <w:pPr>
      <w:ind w:hanging="0" w:start="1120" w:end="0"/>
    </w:pPr>
    <w:rPr>
      <w:szCs w:val="24"/>
    </w:rPr>
  </w:style>
  <w:style w:type="paragraph" w:styleId="TOC6">
    <w:name w:val="toc 6"/>
    <w:basedOn w:val="Normal"/>
    <w:next w:val="Normal"/>
    <w:pPr>
      <w:ind w:hanging="0" w:start="1400" w:end="0"/>
    </w:pPr>
    <w:rPr>
      <w:szCs w:val="24"/>
    </w:rPr>
  </w:style>
  <w:style w:type="paragraph" w:styleId="TOC7">
    <w:name w:val="toc 7"/>
    <w:basedOn w:val="Normal"/>
    <w:next w:val="Normal"/>
    <w:pPr>
      <w:ind w:hanging="0" w:start="1680" w:end="0"/>
    </w:pPr>
    <w:rPr>
      <w:szCs w:val="24"/>
    </w:rPr>
  </w:style>
  <w:style w:type="paragraph" w:styleId="TOC8">
    <w:name w:val="toc 8"/>
    <w:basedOn w:val="Normal"/>
    <w:next w:val="Normal"/>
    <w:pPr>
      <w:ind w:hanging="0" w:start="1960" w:end="0"/>
    </w:pPr>
    <w:rPr>
      <w:szCs w:val="24"/>
    </w:rPr>
  </w:style>
  <w:style w:type="paragraph" w:styleId="LabelAddress">
    <w:name w:val="LabelAddress"/>
    <w:basedOn w:val="Normal"/>
    <w:qFormat/>
    <w:pPr>
      <w:widowControl/>
      <w:ind w:hanging="0" w:start="1080" w:end="0"/>
    </w:pPr>
    <w:rPr>
      <w:sz w:val="24"/>
    </w:rPr>
  </w:style>
  <w:style w:type="paragraph" w:styleId="Body">
    <w:name w:val="Body"/>
    <w:basedOn w:val="Normal"/>
    <w:qFormat/>
    <w:pPr>
      <w:overflowPunct w:val="false"/>
      <w:autoSpaceDE w:val="false"/>
      <w:spacing w:lineRule="exact" w:line="480"/>
      <w:ind w:firstLine="1440" w:start="0" w:end="0"/>
      <w:textAlignment w:val="baseline"/>
    </w:pPr>
    <w:rPr>
      <w:sz w:val="24"/>
    </w:rPr>
  </w:style>
  <w:style w:type="paragraph" w:styleId="TOC9">
    <w:name w:val="toc 9"/>
    <w:basedOn w:val="Normal"/>
    <w:next w:val="Normal"/>
    <w:pPr>
      <w:ind w:hanging="0" w:start="2240" w:end="0"/>
    </w:pPr>
    <w:rPr>
      <w:szCs w:val="24"/>
    </w:rPr>
  </w:style>
  <w:style w:type="paragraph" w:styleId="BodyText2">
    <w:name w:val="Body Text 2"/>
    <w:basedOn w:val="Normal"/>
    <w:qFormat/>
    <w:pPr>
      <w:widowControl/>
      <w:overflowPunct w:val="false"/>
      <w:autoSpaceDE w:val="false"/>
      <w:spacing w:lineRule="auto" w:line="480"/>
      <w:textAlignment w:val="baseline"/>
    </w:pPr>
    <w:rPr>
      <w:sz w:val="24"/>
    </w:rPr>
  </w:style>
  <w:style w:type="paragraph" w:styleId="BlockText">
    <w:name w:val="Block Text"/>
    <w:basedOn w:val="Normal"/>
    <w:qFormat/>
    <w:pPr>
      <w:widowControl/>
      <w:overflowPunct w:val="false"/>
      <w:autoSpaceDE w:val="false"/>
      <w:ind w:hanging="0" w:start="1440" w:end="720"/>
    </w:pPr>
    <w:rPr>
      <w:sz w:val="24"/>
    </w:rPr>
  </w:style>
  <w:style w:type="paragraph" w:styleId="TableofAuthorities">
    <w:name w:val="Table of Authorities"/>
    <w:basedOn w:val="Normal"/>
    <w:next w:val="Normal"/>
    <w:qFormat/>
    <w:pPr>
      <w:ind w:hanging="280" w:start="280" w:end="0"/>
    </w:pPr>
    <w:rPr>
      <w:szCs w:val="24"/>
    </w:rPr>
  </w:style>
  <w:style w:type="paragraph" w:styleId="TOAHeading">
    <w:name w:val="TOA Heading"/>
    <w:basedOn w:val="Normal"/>
    <w:next w:val="Normal"/>
    <w:qFormat/>
    <w:pPr>
      <w:spacing w:before="120" w:after="120"/>
    </w:pPr>
    <w:rPr>
      <w:szCs w:val="24"/>
      <w:u w:val="single"/>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footer" Target="footer1.xml"/><Relationship Id="rId8" Type="http://schemas.openxmlformats.org/officeDocument/2006/relationships/header" Target="header6.xml"/><Relationship Id="rId9" Type="http://schemas.openxmlformats.org/officeDocument/2006/relationships/header" Target="header7.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image" Target="media/image1.wmf"/><Relationship Id="rId13" Type="http://schemas.openxmlformats.org/officeDocument/2006/relationships/image" Target="media/image1.wmf"/><Relationship Id="rId14" Type="http://schemas.openxmlformats.org/officeDocument/2006/relationships/header" Target="header8.xml"/><Relationship Id="rId15" Type="http://schemas.openxmlformats.org/officeDocument/2006/relationships/header" Target="header9.xml"/><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footnotes" Target="footnotes.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KI - US Court Appeals - 9th Circuit Brief</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2001-08-20T13:40:00Z</dcterms:created>
  <dc:creator>(DAVIDA)</dc:creator>
  <dc:description/>
  <dc:language>en-CA</dc:language>
  <cp:lastModifiedBy>bhawkin</cp:lastModifiedBy>
  <cp:lastPrinted>2001-08-14T11:45:00Z</cp:lastPrinted>
  <dcterms:modified xsi:type="dcterms:W3CDTF">2001-08-20T13:40:00Z</dcterms:modified>
  <cp:revision>2</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ee(s)">
    <vt:lpwstr> </vt:lpwstr>
  </property>
  <property fmtid="{D5CDD505-2E9C-101B-9397-08002B2CF9AE}" pid="3" name="Caption Attorneys for">
    <vt:lpwstr>   </vt:lpwstr>
  </property>
  <property fmtid="{D5CDD505-2E9C-101B-9397-08002B2CF9AE}" pid="4" name="Caption Bank Document">
    <vt:lpwstr> </vt:lpwstr>
  </property>
  <property fmtid="{D5CDD505-2E9C-101B-9397-08002B2CF9AE}" pid="5" name="Caption Client Name">
    <vt:lpwstr>   </vt:lpwstr>
  </property>
  <property fmtid="{D5CDD505-2E9C-101B-9397-08002B2CF9AE}" pid="6" name="Caption Opp Counsel Client Name">
    <vt:lpwstr>   </vt:lpwstr>
  </property>
  <property fmtid="{D5CDD505-2E9C-101B-9397-08002B2CF9AE}" pid="7" name="Caption Opp Counsel for">
    <vt:lpwstr>   </vt:lpwstr>
  </property>
  <property fmtid="{D5CDD505-2E9C-101B-9397-08002B2CF9AE}" pid="8" name="Cause No.">
    <vt:lpwstr>01-15449</vt:lpwstr>
  </property>
  <property fmtid="{D5CDD505-2E9C-101B-9397-08002B2CF9AE}" pid="9" name="Client Name">
    <vt:lpwstr>Portland General Electric Company</vt:lpwstr>
  </property>
  <property fmtid="{D5CDD505-2E9C-101B-9397-08002B2CF9AE}" pid="10" name="Client No.">
    <vt:lpwstr>001991</vt:lpwstr>
  </property>
  <property fmtid="{D5CDD505-2E9C-101B-9397-08002B2CF9AE}" pid="11" name="Doc Name">
    <vt:lpwstr>412695_1.DOC</vt:lpwstr>
  </property>
  <property fmtid="{D5CDD505-2E9C-101B-9397-08002B2CF9AE}" pid="12" name="Doc No.">
    <vt:lpwstr>001991\00133\412695 V001</vt:lpwstr>
  </property>
  <property fmtid="{D5CDD505-2E9C-101B-9397-08002B2CF9AE}" pid="13" name="Doc Path">
    <vt:lpwstr>C:\NrPortbl\PDX\DAVIDA</vt:lpwstr>
  </property>
  <property fmtid="{D5CDD505-2E9C-101B-9397-08002B2CF9AE}" pid="14" name="Document Management Library">
    <vt:lpwstr>PDX</vt:lpwstr>
  </property>
  <property fmtid="{D5CDD505-2E9C-101B-9397-08002B2CF9AE}" pid="15" name="Local Office">
    <vt:lpwstr>Portland, OR  97204-2099</vt:lpwstr>
  </property>
  <property fmtid="{D5CDD505-2E9C-101B-9397-08002B2CF9AE}" pid="16" name="Matter Name">
    <vt:lpwstr>The Transmission Agency of Northern</vt:lpwstr>
  </property>
  <property fmtid="{D5CDD505-2E9C-101B-9397-08002B2CF9AE}" pid="17" name="Matter No.">
    <vt:lpwstr>00133</vt:lpwstr>
  </property>
  <property fmtid="{D5CDD505-2E9C-101B-9397-08002B2CF9AE}" pid="18" name="Orig Doc Path">
    <vt:lpwstr/>
  </property>
  <property fmtid="{D5CDD505-2E9C-101B-9397-08002B2CF9AE}" pid="19" name="Parties">
    <vt:lpwstr>Appellant: Transmission Agency of Northern California; Appellees: Sierra Pacific Power Company, Bonneville Power Administration, Pacificorp, and Portland General Electric Company</vt:lpwstr>
  </property>
  <property fmtid="{D5CDD505-2E9C-101B-9397-08002B2CF9AE}" pid="20" name="Redline">
    <vt:lpwstr>   </vt:lpwstr>
  </property>
  <property fmtid="{D5CDD505-2E9C-101B-9397-08002B2CF9AE}" pid="21" name="Signer(s)">
    <vt:lpwstr> </vt:lpwstr>
  </property>
</Properties>
</file>