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5.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 xml:space="preserve">Contract No. </w:t>
      </w:r>
      <w:r>
        <w:rPr>
          <w:b/>
        </w:rPr>
        <w:t>41087000</w:t>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rPr>
          <w:rFonts w:ascii="Metrostyle;Univers" w:hAnsi="Metrostyle;Univers" w:cs="Metrostyle;Univers"/>
          <w:sz w:val="22"/>
        </w:rPr>
      </w:pPr>
      <w:r>
        <w:rPr>
          <w:rFonts w:cs="Metrostyle;Univers" w:ascii="Metrostyle;Univers" w:hAnsi="Metrostyle;Univers"/>
          <w:sz w:val="22"/>
        </w:rPr>
      </w:r>
    </w:p>
    <w:p>
      <w:pPr>
        <w:pStyle w:val="Normal"/>
        <w:jc w:val="center"/>
        <w:rPr>
          <w:sz w:val="24"/>
        </w:rPr>
      </w:pPr>
      <w:r>
        <w:rPr>
          <w:sz w:val="24"/>
        </w:rPr>
        <w:t>Firm Transportation Service Agreement</w:t>
      </w:r>
    </w:p>
    <w:p>
      <w:pPr>
        <w:pStyle w:val="Normal"/>
        <w:jc w:val="center"/>
        <w:rPr>
          <w:sz w:val="24"/>
        </w:rPr>
      </w:pPr>
      <w:r>
        <w:rPr>
          <w:sz w:val="24"/>
        </w:rPr>
        <w:t>Rate Schedule FT</w:t>
      </w:r>
    </w:p>
    <w:p>
      <w:pPr>
        <w:pStyle w:val="Normal"/>
        <w:jc w:val="center"/>
        <w:rPr>
          <w:sz w:val="24"/>
        </w:rPr>
      </w:pPr>
      <w:r>
        <w:rPr>
          <w:sz w:val="24"/>
        </w:rPr>
      </w:r>
    </w:p>
    <w:p>
      <w:pPr>
        <w:pStyle w:val="Normal"/>
        <w:jc w:val="center"/>
        <w:rPr/>
      </w:pPr>
      <w:r>
        <w:rPr/>
        <w:t>between</w:t>
      </w:r>
    </w:p>
    <w:p>
      <w:pPr>
        <w:pStyle w:val="Normal"/>
        <w:jc w:val="center"/>
        <w:rPr/>
      </w:pPr>
      <w:r>
        <w:rPr/>
      </w:r>
    </w:p>
    <w:p>
      <w:pPr>
        <w:pStyle w:val="Heading1"/>
        <w:ind w:hanging="0" w:start="0"/>
        <w:rPr/>
      </w:pPr>
      <w:r>
        <w:rPr/>
        <w:t>Wyoming Interstate Company, Ltd.</w:t>
      </w:r>
    </w:p>
    <w:p>
      <w:pPr>
        <w:pStyle w:val="Normal"/>
        <w:jc w:val="center"/>
        <w:rPr/>
      </w:pPr>
      <w:r>
        <w:rPr/>
      </w:r>
    </w:p>
    <w:p>
      <w:pPr>
        <w:pStyle w:val="Normal"/>
        <w:jc w:val="center"/>
        <w:rPr/>
      </w:pPr>
      <w:r>
        <w:rPr/>
        <w:t>and</w:t>
      </w:r>
    </w:p>
    <w:p>
      <w:pPr>
        <w:pStyle w:val="Normal"/>
        <w:jc w:val="center"/>
        <w:rPr/>
      </w:pPr>
      <w:r>
        <w:rPr/>
      </w:r>
    </w:p>
    <w:p>
      <w:pPr>
        <w:pStyle w:val="Normal"/>
        <w:jc w:val="center"/>
        <w:rPr>
          <w:b/>
          <w:sz w:val="28"/>
        </w:rPr>
      </w:pPr>
      <w:r>
        <w:rPr>
          <w:b/>
          <w:sz w:val="28"/>
        </w:rPr>
        <w:t>Enron North America Corp.</w:t>
      </w:r>
    </w:p>
    <w:p>
      <w:pPr>
        <w:pStyle w:val="Normal"/>
        <w:jc w:val="center"/>
        <w:rPr>
          <w:b/>
          <w:sz w:val="28"/>
        </w:rPr>
      </w:pPr>
      <w:r>
        <w:rPr>
          <w:b/>
          <w:sz w:val="28"/>
        </w:rPr>
      </w:r>
    </w:p>
    <w:p>
      <w:pPr>
        <w:pStyle w:val="Normal"/>
        <w:jc w:val="center"/>
        <w:rPr/>
      </w:pPr>
      <w:r>
        <w:rPr/>
      </w:r>
    </w:p>
    <w:p>
      <w:pPr>
        <w:sectPr>
          <w:headerReference w:type="default" r:id="rId2"/>
          <w:headerReference w:type="first" r:id="rId3"/>
          <w:type w:val="nextPage"/>
          <w:pgSz w:w="12240" w:h="15840"/>
          <w:pgMar w:left="1440" w:right="1440" w:gutter="0" w:header="720" w:top="776" w:footer="0" w:bottom="720"/>
          <w:pgNumType w:start="0" w:fmt="decimal"/>
          <w:formProt w:val="false"/>
          <w:titlePg/>
          <w:textDirection w:val="lrTb"/>
          <w:docGrid w:type="default" w:linePitch="360" w:charSpace="0"/>
        </w:sectPr>
        <w:pStyle w:val="Normal"/>
        <w:jc w:val="center"/>
        <w:rPr/>
      </w:pPr>
      <w:r>
        <w:rPr/>
        <w:t xml:space="preserve">Dated: </w:t>
      </w:r>
      <w:r>
        <w:rPr>
          <w:b/>
        </w:rPr>
        <w:t>July 10, 2000</w:t>
      </w:r>
    </w:p>
    <w:p>
      <w:pPr>
        <w:pStyle w:val="Heading1"/>
        <w:ind w:hanging="0" w:start="0"/>
        <w:rPr/>
      </w:pPr>
      <w:r>
        <w:rPr/>
        <w:t>Firm Transportation Service Agreement</w:t>
      </w:r>
    </w:p>
    <w:p>
      <w:pPr>
        <w:pStyle w:val="Normal"/>
        <w:jc w:val="center"/>
        <w:rPr>
          <w:b/>
        </w:rPr>
      </w:pPr>
      <w:r>
        <w:rPr>
          <w:b/>
        </w:rPr>
        <w:t>Rate Schedule FT</w:t>
      </w:r>
    </w:p>
    <w:p>
      <w:pPr>
        <w:pStyle w:val="Normal"/>
        <w:jc w:val="center"/>
        <w:rPr>
          <w:b/>
          <w:lang w:val="en-CA"/>
        </w:rPr>
      </w:pPr>
      <w:r>
        <w:rPr>
          <w:b/>
          <w:lang w:val="en-CA"/>
        </w:rPr>
        <mc:AlternateContent>
          <mc:Choice Requires="wps">
            <w:drawing>
              <wp:anchor behindDoc="0" distT="0" distB="0" distL="114935" distR="114935" simplePos="0" locked="0" layoutInCell="0" allowOverlap="1" relativeHeight="4">
                <wp:simplePos x="0" y="0"/>
                <wp:positionH relativeFrom="column">
                  <wp:posOffset>2540</wp:posOffset>
                </wp:positionH>
                <wp:positionV relativeFrom="paragraph">
                  <wp:posOffset>50800</wp:posOffset>
                </wp:positionV>
                <wp:extent cx="5943600" cy="0"/>
                <wp:effectExtent l="0" t="5080" r="0" b="5080"/>
                <wp:wrapSquare wrapText="largest"/>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4pt" to="468.15pt,4pt" stroked="t" o:allowincell="f" style="position:absolute">
                <v:stroke color="black" weight="9360" joinstyle="miter" endcap="flat"/>
                <v:fill o:detectmouseclick="t" on="false"/>
                <w10:wrap type="square" side="largest"/>
              </v:line>
            </w:pict>
          </mc:Fallback>
        </mc:AlternateContent>
      </w:r>
    </w:p>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ab/>
        <w:t>The Parties identified below, in consideration of their mutual promises, agree as follows:</w:t>
      </w:r>
    </w:p>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360" w:leader="none"/>
        </w:tabs>
        <w:jc w:val="both"/>
        <w:rPr>
          <w:rFonts w:ascii="Times New Roman" w:hAnsi="Times New Roman" w:cs="Times New Roman"/>
        </w:rPr>
      </w:pPr>
      <w:r>
        <w:rPr>
          <w:rFonts w:cs="Times New Roman" w:ascii="Times New Roman" w:hAnsi="Times New Roman"/>
          <w:b/>
          <w:i/>
        </w:rPr>
        <w:t>Transporter:</w:t>
      </w:r>
      <w:r>
        <w:rPr>
          <w:rFonts w:cs="Times New Roman" w:ascii="Times New Roman" w:hAnsi="Times New Roman"/>
        </w:rPr>
        <w:t xml:space="preserve"> </w:t>
      </w:r>
      <w:r>
        <w:rPr>
          <w:b/>
        </w:rPr>
        <w:t>Wyoming Interstate Company, Ltd. ("Transporter" or "WIC")</w:t>
      </w:r>
    </w:p>
    <w:p>
      <w:pPr>
        <w:pStyle w:val="Normal"/>
        <w:tabs>
          <w:tab w:val="clear" w:pos="720"/>
          <w:tab w:val="left" w:pos="360" w:leader="none"/>
        </w:tabs>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s>
        <w:jc w:val="both"/>
        <w:rPr/>
      </w:pPr>
      <w:r>
        <w:rPr>
          <w:rFonts w:cs="Times New Roman" w:ascii="Times New Roman" w:hAnsi="Times New Roman"/>
        </w:rPr>
        <w:t>2.</w:t>
        <w:tab/>
      </w:r>
      <w:r>
        <w:rPr>
          <w:rFonts w:cs="Times New Roman" w:ascii="Times New Roman" w:hAnsi="Times New Roman"/>
          <w:b/>
          <w:i/>
        </w:rPr>
        <w:t xml:space="preserve">Shipper: </w:t>
      </w:r>
      <w:r>
        <w:rPr>
          <w:b/>
        </w:rPr>
        <w:t>Enron North America Corp. ("Shipper")</w:t>
      </w:r>
    </w:p>
    <w:p>
      <w:pPr>
        <w:pStyle w:val="Normal"/>
        <w:tabs>
          <w:tab w:val="clear" w:pos="720"/>
          <w:tab w:val="left" w:pos="360" w:leader="none"/>
        </w:tabs>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s>
        <w:ind w:hanging="360" w:start="360" w:end="0"/>
        <w:jc w:val="both"/>
        <w:rPr/>
      </w:pPr>
      <w:r>
        <w:rPr>
          <w:rFonts w:cs="Times New Roman" w:ascii="Times New Roman" w:hAnsi="Times New Roman"/>
        </w:rPr>
        <w:t>3.</w:t>
        <w:tab/>
      </w:r>
      <w:r>
        <w:rPr>
          <w:rFonts w:cs="Times New Roman" w:ascii="Times New Roman" w:hAnsi="Times New Roman"/>
          <w:b/>
          <w:i/>
        </w:rPr>
        <w:t xml:space="preserve">Regulatory Authority: </w:t>
      </w:r>
      <w:r>
        <w:rPr>
          <w:rFonts w:cs="Times New Roman" w:ascii="Times New Roman" w:hAnsi="Times New Roman"/>
        </w:rPr>
        <w:t>All service performed under this Agreement shall be performed pursuant to 18 CFR 284.221 authority, unless Shipper elects service to be performed pursuant to 18 CFR 284.101 (Section 311) authority. In that event, Transporter shall only accept, and Shipper shall only make, nominations for service to be performed pursuant to 18 CFR 284.101 (Section 311) in accordance with the regulations governing the provisions of such service, and after Transporter has received an “on behalf of” letter acceptable to Transporter.</w:t>
      </w:r>
    </w:p>
    <w:p>
      <w:pPr>
        <w:pStyle w:val="Normal"/>
        <w:tabs>
          <w:tab w:val="clear" w:pos="720"/>
          <w:tab w:val="left" w:pos="360" w:leader="none"/>
        </w:tabs>
        <w:ind w:hanging="360" w:start="360" w:end="0"/>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s>
        <w:ind w:hanging="360" w:start="360" w:end="0"/>
        <w:jc w:val="both"/>
        <w:rPr/>
      </w:pPr>
      <w:r>
        <w:rPr>
          <w:rFonts w:cs="Times New Roman" w:ascii="Times New Roman" w:hAnsi="Times New Roman"/>
        </w:rPr>
        <w:t>4.</w:t>
        <w:tab/>
      </w:r>
      <w:r>
        <w:rPr>
          <w:rFonts w:cs="Times New Roman" w:ascii="Times New Roman" w:hAnsi="Times New Roman"/>
          <w:b/>
          <w:i/>
        </w:rPr>
        <w:t>Applicable Tariff:</w:t>
      </w:r>
      <w:r>
        <w:rPr>
          <w:rFonts w:cs="Times New Roman" w:ascii="Times New Roman" w:hAnsi="Times New Roman"/>
        </w:rPr>
        <w:t xml:space="preserve"> Transporter's FERC Gas Tariff Second Revised Volume No. 2, as the same may be amended or superseded from time to time (“the Tariff”).</w:t>
      </w:r>
    </w:p>
    <w:p>
      <w:pPr>
        <w:pStyle w:val="Normal"/>
        <w:tabs>
          <w:tab w:val="clear" w:pos="720"/>
          <w:tab w:val="left" w:pos="360" w:leader="none"/>
        </w:tabs>
        <w:ind w:hanging="360" w:start="360" w:end="0"/>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 w:val="left" w:pos="5040" w:leader="none"/>
        </w:tabs>
        <w:ind w:hanging="360" w:start="360" w:end="0"/>
        <w:jc w:val="both"/>
        <w:rPr/>
      </w:pPr>
      <w:r>
        <w:rPr>
          <w:rFonts w:cs="Times New Roman" w:ascii="Times New Roman" w:hAnsi="Times New Roman"/>
        </w:rPr>
        <w:t>5.</w:t>
        <w:tab/>
      </w:r>
      <w:r>
        <w:rPr>
          <w:rFonts w:cs="Times New Roman" w:ascii="Times New Roman" w:hAnsi="Times New Roman"/>
          <w:b/>
          <w:i/>
        </w:rPr>
        <w:t xml:space="preserve">Changes in Rates and Terms: </w:t>
      </w:r>
      <w:r>
        <w:rPr>
          <w:rFonts w:cs="Times New Roman" w:ascii="Times New Roman" w:hAnsi="Times New Roman"/>
        </w:rPr>
        <w:t>Transporter shall have the right to propose to the FERC such changes in its rates, rate design, and terms of service as it deems necessary, and this Agreement shall be deemed to include any changes which are made effective pursuant to FERC Order or regulation or provisions of law, without prejudice to Shipper’s right to protest the same.</w:t>
      </w:r>
    </w:p>
    <w:p>
      <w:pPr>
        <w:pStyle w:val="Normal"/>
        <w:tabs>
          <w:tab w:val="clear" w:pos="720"/>
          <w:tab w:val="left" w:pos="36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 w:val="left" w:pos="5040" w:leader="none"/>
        </w:tabs>
        <w:ind w:hanging="360" w:start="360" w:end="0"/>
        <w:jc w:val="both"/>
        <w:rPr/>
      </w:pPr>
      <w:r>
        <w:rPr>
          <w:rFonts w:cs="Times New Roman" w:ascii="Times New Roman" w:hAnsi="Times New Roman"/>
        </w:rPr>
        <w:t>6.</w:t>
        <w:tab/>
      </w:r>
      <w:r>
        <w:rPr>
          <w:rFonts w:cs="Times New Roman" w:ascii="Times New Roman" w:hAnsi="Times New Roman"/>
          <w:b/>
          <w:i/>
        </w:rPr>
        <w:t>Transportation Service:</w:t>
      </w:r>
      <w:r>
        <w:rPr>
          <w:rFonts w:cs="Times New Roman" w:ascii="Times New Roman" w:hAnsi="Times New Roman"/>
        </w:rPr>
        <w:t xml:space="preserve"> Transportation Service at and between Primary Point(s) of Receipt and Primary Point(s) of Delivery shall be on a firm basis. Receipt and Delivery of quantities at Secondary Point(s) of Receipt and/or Secondary Point(s) of Delivery shall be in accordance with the Tariff.</w:t>
      </w:r>
    </w:p>
    <w:p>
      <w:pPr>
        <w:pStyle w:val="Normal"/>
        <w:tabs>
          <w:tab w:val="clear" w:pos="720"/>
          <w:tab w:val="left" w:pos="36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 w:val="left" w:pos="5040" w:leader="none"/>
        </w:tabs>
        <w:ind w:hanging="360" w:start="360" w:end="0"/>
        <w:jc w:val="both"/>
        <w:rPr/>
      </w:pPr>
      <w:r>
        <w:rPr>
          <w:rFonts w:cs="Times New Roman" w:ascii="Times New Roman" w:hAnsi="Times New Roman"/>
        </w:rPr>
        <w:t>7.</w:t>
        <w:tab/>
      </w:r>
      <w:r>
        <w:rPr>
          <w:rFonts w:cs="Times New Roman" w:ascii="Times New Roman" w:hAnsi="Times New Roman"/>
          <w:b/>
          <w:i/>
        </w:rPr>
        <w:t>Points of Receipt and Delivery:</w:t>
      </w:r>
      <w:r>
        <w:rPr>
          <w:rFonts w:cs="Times New Roman" w:ascii="Times New Roman" w:hAnsi="Times New Roman"/>
        </w:rPr>
        <w:t xml:space="preserve"> Shipper agrees to Tender gas for Transportation Service and Transporter agrees to accept Receipt Quantities at the Primary Point(s) of Receipt identified in Exhibit “A.” Transporter agrees to provide Transportation Service and Deliver gas to Shipper (or for Shipper's account) at the Primary Point(s) of Delivery identified in Exhibit “A.”</w:t>
      </w:r>
    </w:p>
    <w:p>
      <w:pPr>
        <w:pStyle w:val="Normal"/>
        <w:tabs>
          <w:tab w:val="clear" w:pos="720"/>
          <w:tab w:val="left" w:pos="360" w:leader="none"/>
          <w:tab w:val="left" w:pos="5040" w:leader="none"/>
        </w:tabs>
        <w:ind w:hanging="360" w:start="360" w:end="0"/>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 w:val="left" w:pos="5040" w:leader="none"/>
        </w:tabs>
        <w:ind w:hanging="360" w:start="360" w:end="0"/>
        <w:jc w:val="both"/>
        <w:rPr/>
      </w:pPr>
      <w:r>
        <w:rPr>
          <w:rFonts w:cs="Times New Roman" w:ascii="Times New Roman" w:hAnsi="Times New Roman"/>
        </w:rPr>
        <w:t>8.</w:t>
        <w:tab/>
      </w:r>
      <w:r>
        <w:rPr>
          <w:rFonts w:cs="Times New Roman" w:ascii="Times New Roman" w:hAnsi="Times New Roman"/>
          <w:b/>
          <w:i/>
        </w:rPr>
        <w:t>Negotiated Rate Agreement:</w:t>
      </w:r>
      <w:r>
        <w:rPr>
          <w:rFonts w:cs="Times New Roman" w:ascii="Times New Roman" w:hAnsi="Times New Roman"/>
        </w:rPr>
        <w:t xml:space="preserve"> Yes</w:t>
      </w:r>
    </w:p>
    <w:p>
      <w:pPr>
        <w:pStyle w:val="Normal"/>
        <w:tabs>
          <w:tab w:val="clear" w:pos="720"/>
          <w:tab w:val="left" w:pos="36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 w:val="left" w:pos="5040" w:leader="none"/>
        </w:tabs>
        <w:ind w:hanging="360" w:start="360" w:end="0"/>
        <w:jc w:val="both"/>
        <w:rPr/>
      </w:pPr>
      <w:r>
        <w:rPr>
          <w:rFonts w:cs="Times New Roman" w:ascii="Times New Roman" w:hAnsi="Times New Roman"/>
        </w:rPr>
        <w:t>9.</w:t>
        <w:tab/>
      </w:r>
      <w:r>
        <w:rPr>
          <w:rFonts w:cs="Times New Roman" w:ascii="Times New Roman" w:hAnsi="Times New Roman"/>
          <w:b/>
          <w:i/>
        </w:rPr>
        <w:t>Rates and Surcharges:</w:t>
      </w:r>
      <w:r>
        <w:rPr>
          <w:rFonts w:cs="Times New Roman" w:ascii="Times New Roman" w:hAnsi="Times New Roman"/>
        </w:rPr>
        <w:t xml:space="preserve"> As set forth in Exhibit “B.” For example, Transporter and Shipper may agree that a specified discount rate will apply: (a) only to certain specified firm service entitlements under this Agreement; (b) only if specified quantity levels are actually achieved under this Agreement (with higher rates, charges, and fees applicable to all quantities above those levels, or to all quantities under the Agreement if the specified levels are not achieved); (c) only to production reserves committed by the Shipper; (d) only during specified time periods; (e) only to specified Point(s) of Receipt, Point(s) of Delivery, mainline area segments, supply areas, transportation routes, or defined geographical areas; or (f) in a specified relationship to the quantities actually Delivered or Transported (i.e., that the rates shall be adjusted in a specified relationship to quantities actually Delivered); provided, however, that any such discounted rates set forth above shall be between the minimum and maximum rates applicable to the service provided under this Agreement.</w:t>
      </w:r>
    </w:p>
    <w:p>
      <w:pPr>
        <w:pStyle w:val="Normal"/>
        <w:tabs>
          <w:tab w:val="clear" w:pos="720"/>
          <w:tab w:val="left" w:pos="360" w:leader="none"/>
          <w:tab w:val="left" w:pos="5040" w:leader="none"/>
        </w:tabs>
        <w:ind w:hanging="360" w:start="360" w:end="0"/>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60" w:leader="none"/>
        </w:tabs>
        <w:ind w:hanging="360" w:start="360" w:end="0"/>
        <w:jc w:val="both"/>
        <w:rPr/>
      </w:pPr>
      <w:r>
        <w:rPr>
          <w:rFonts w:cs="Times New Roman" w:ascii="Times New Roman" w:hAnsi="Times New Roman"/>
        </w:rPr>
        <w:t>10.</w:t>
        <w:tab/>
      </w:r>
      <w:r>
        <w:rPr>
          <w:rFonts w:cs="Times New Roman" w:ascii="Times New Roman" w:hAnsi="Times New Roman"/>
          <w:b/>
          <w:i/>
        </w:rPr>
        <w:t xml:space="preserve">Maximum Delivery Quantity (“MDQ”): </w:t>
      </w:r>
      <w:r>
        <w:rPr>
          <w:rFonts w:cs="Times New Roman" w:ascii="Times New Roman" w:hAnsi="Times New Roman"/>
        </w:rPr>
        <w:t>Shipper's MDQ during the term of this Agreement shall be calculated as follows:</w:t>
      </w:r>
    </w:p>
    <w:p>
      <w:pPr>
        <w:pStyle w:val="Normal"/>
        <w:tabs>
          <w:tab w:val="clear" w:pos="720"/>
          <w:tab w:val="left" w:pos="360" w:leader="none"/>
        </w:tabs>
        <w:ind w:hanging="360" w:start="360" w:end="0"/>
        <w:jc w:val="both"/>
        <w:rPr>
          <w:rFonts w:ascii="Times New Roman" w:hAnsi="Times New Roman" w:cs="Times New Roman"/>
          <w:sz w:val="8"/>
        </w:rPr>
      </w:pPr>
      <w:r>
        <w:rPr>
          <w:rFonts w:cs="Times New Roman" w:ascii="Times New Roman" w:hAnsi="Times New Roman"/>
          <w:sz w:val="8"/>
        </w:rPr>
      </w:r>
    </w:p>
    <w:tbl>
      <w:tblPr>
        <w:tblW w:w="5220" w:type="dxa"/>
        <w:jc w:val="start"/>
        <w:tblInd w:w="2376" w:type="dxa"/>
        <w:tblLayout w:type="fixed"/>
        <w:tblCellMar>
          <w:top w:w="0" w:type="dxa"/>
          <w:start w:w="36" w:type="dxa"/>
          <w:bottom w:w="0" w:type="dxa"/>
          <w:end w:w="36" w:type="dxa"/>
        </w:tblCellMar>
      </w:tblPr>
      <w:tblGrid>
        <w:gridCol w:w="2340"/>
        <w:gridCol w:w="288"/>
        <w:gridCol w:w="2592"/>
      </w:tblGrid>
      <w:tr>
        <w:trPr/>
        <w:tc>
          <w:tcPr>
            <w:tcW w:w="2340" w:type="dxa"/>
            <w:tcBorders/>
            <w:vAlign w:val="center"/>
          </w:tcPr>
          <w:p>
            <w:pPr>
              <w:pStyle w:val="Normal"/>
              <w:tabs>
                <w:tab w:val="clear" w:pos="720"/>
                <w:tab w:val="left" w:pos="360" w:leader="none"/>
              </w:tabs>
              <w:jc w:val="center"/>
              <w:rPr>
                <w:i/>
                <w:i/>
                <w:sz w:val="18"/>
              </w:rPr>
            </w:pPr>
            <w:r>
              <w:rPr>
                <w:i/>
                <w:sz w:val="18"/>
              </w:rPr>
              <w:t>Shipper's Ramp-Up MDQ</w:t>
            </w:r>
          </w:p>
        </w:tc>
        <w:tc>
          <w:tcPr>
            <w:tcW w:w="288" w:type="dxa"/>
            <w:vMerge w:val="restart"/>
            <w:tcBorders/>
            <w:vAlign w:val="center"/>
          </w:tcPr>
          <w:p>
            <w:pPr>
              <w:pStyle w:val="Normal"/>
              <w:tabs>
                <w:tab w:val="clear" w:pos="720"/>
                <w:tab w:val="left" w:pos="360" w:leader="none"/>
              </w:tabs>
              <w:jc w:val="center"/>
              <w:rPr>
                <w:i/>
                <w:i/>
                <w:sz w:val="18"/>
              </w:rPr>
            </w:pPr>
            <w:r>
              <w:rPr>
                <w:i/>
                <w:sz w:val="18"/>
              </w:rPr>
              <w:t>X</w:t>
            </w:r>
          </w:p>
        </w:tc>
        <w:tc>
          <w:tcPr>
            <w:tcW w:w="2592" w:type="dxa"/>
            <w:vMerge w:val="restart"/>
            <w:tcBorders/>
            <w:vAlign w:val="center"/>
          </w:tcPr>
          <w:p>
            <w:pPr>
              <w:pStyle w:val="Normal"/>
              <w:tabs>
                <w:tab w:val="clear" w:pos="720"/>
                <w:tab w:val="left" w:pos="360" w:leader="none"/>
              </w:tabs>
              <w:jc w:val="both"/>
              <w:rPr>
                <w:i/>
                <w:i/>
                <w:sz w:val="18"/>
              </w:rPr>
            </w:pPr>
            <w:r>
              <w:rPr>
                <w:i/>
                <w:sz w:val="18"/>
              </w:rPr>
              <w:t>Available Ramp-Up Capacity</w:t>
            </w:r>
          </w:p>
        </w:tc>
      </w:tr>
      <w:tr>
        <w:trPr/>
        <w:tc>
          <w:tcPr>
            <w:tcW w:w="2340" w:type="dxa"/>
            <w:tcBorders>
              <w:top w:val="single" w:sz="4" w:space="0" w:color="000000"/>
            </w:tcBorders>
            <w:vAlign w:val="center"/>
          </w:tcPr>
          <w:p>
            <w:pPr>
              <w:pStyle w:val="Heading6"/>
              <w:ind w:hanging="0" w:start="0"/>
              <w:jc w:val="center"/>
              <w:rPr/>
            </w:pPr>
            <w:r>
              <w:rPr/>
              <w:t>Total Ramp-Up MDQ</w:t>
            </w:r>
          </w:p>
        </w:tc>
        <w:tc>
          <w:tcPr>
            <w:tcW w:w="288" w:type="dxa"/>
            <w:vMerge w:val="continue"/>
            <w:tcBorders/>
            <w:vAlign w:val="center"/>
          </w:tcPr>
          <w:p>
            <w:pPr>
              <w:pStyle w:val="Normal"/>
              <w:tabs>
                <w:tab w:val="clear" w:pos="720"/>
                <w:tab w:val="left" w:pos="360" w:leader="none"/>
              </w:tabs>
              <w:snapToGrid w:val="false"/>
              <w:jc w:val="both"/>
              <w:rPr>
                <w:i/>
                <w:i/>
                <w:sz w:val="18"/>
              </w:rPr>
            </w:pPr>
            <w:r>
              <w:rPr>
                <w:i/>
                <w:sz w:val="18"/>
              </w:rPr>
            </w:r>
          </w:p>
        </w:tc>
        <w:tc>
          <w:tcPr>
            <w:tcW w:w="2592" w:type="dxa"/>
            <w:vMerge w:val="continue"/>
            <w:tcBorders/>
            <w:vAlign w:val="center"/>
          </w:tcPr>
          <w:p>
            <w:pPr>
              <w:pStyle w:val="Normal"/>
              <w:tabs>
                <w:tab w:val="clear" w:pos="720"/>
                <w:tab w:val="left" w:pos="360" w:leader="none"/>
              </w:tabs>
              <w:snapToGrid w:val="false"/>
              <w:jc w:val="both"/>
              <w:rPr>
                <w:i/>
                <w:i/>
                <w:sz w:val="18"/>
              </w:rPr>
            </w:pPr>
            <w:r>
              <w:rPr>
                <w:i/>
                <w:sz w:val="18"/>
              </w:rPr>
            </w:r>
          </w:p>
        </w:tc>
      </w:tr>
    </w:tbl>
    <w:p>
      <w:pPr>
        <w:pStyle w:val="Normal"/>
        <w:tabs>
          <w:tab w:val="clear" w:pos="720"/>
          <w:tab w:val="left" w:pos="36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ind w:hanging="360" w:start="360" w:end="0"/>
        <w:jc w:val="both"/>
        <w:rPr>
          <w:rFonts w:ascii="Times New Roman" w:hAnsi="Times New Roman" w:cs="Times New Roman"/>
          <w:i/>
          <w:i/>
        </w:rPr>
      </w:pPr>
      <w:r>
        <w:rPr>
          <w:rFonts w:cs="Times New Roman" w:ascii="Times New Roman" w:hAnsi="Times New Roman"/>
          <w:i/>
        </w:rPr>
        <w:tab/>
        <w:t>Note: By no later than 30 days after the FERC Filing Date, the parties agree to replace the above formula and related definitions in Section 16 below with a table showing Shipper's MDQ under this Agreement (i.e., the numbers that result from the application of the formula).</w:t>
      </w:r>
    </w:p>
    <w:p>
      <w:pPr>
        <w:pStyle w:val="Normal"/>
        <w:tabs>
          <w:tab w:val="clear" w:pos="720"/>
          <w:tab w:val="left" w:pos="360" w:leader="none"/>
          <w:tab w:val="left" w:pos="2340" w:leader="none"/>
        </w:tabs>
        <w:ind w:hanging="360" w:start="360" w:end="0"/>
        <w:jc w:val="both"/>
        <w:rPr>
          <w:rFonts w:ascii="Times New Roman" w:hAnsi="Times New Roman" w:cs="Times New Roman"/>
          <w:i/>
          <w:i/>
        </w:rPr>
      </w:pPr>
      <w:r>
        <w:rPr>
          <w:rFonts w:cs="Times New Roman" w:ascii="Times New Roman" w:hAnsi="Times New Roman"/>
          <w:i/>
        </w:rPr>
      </w:r>
    </w:p>
    <w:p>
      <w:pPr>
        <w:pStyle w:val="Normal"/>
        <w:tabs>
          <w:tab w:val="clear" w:pos="720"/>
          <w:tab w:val="left" w:pos="360" w:leader="none"/>
          <w:tab w:val="left" w:pos="2340" w:leader="none"/>
        </w:tabs>
        <w:ind w:hanging="360" w:start="360" w:end="0"/>
        <w:jc w:val="both"/>
        <w:rPr>
          <w:rFonts w:ascii="Times New Roman" w:hAnsi="Times New Roman" w:cs="Times New Roman"/>
          <w:b/>
        </w:rPr>
      </w:pPr>
      <w:r>
        <w:rPr>
          <w:rFonts w:cs="Times New Roman" w:ascii="Times New Roman" w:hAnsi="Times New Roman"/>
        </w:rPr>
        <w:t>11.</w:t>
        <w:tab/>
      </w:r>
      <w:r>
        <w:rPr>
          <w:rFonts w:cs="Times New Roman" w:ascii="Times New Roman" w:hAnsi="Times New Roman"/>
          <w:b/>
          <w:i/>
        </w:rPr>
        <w:t>Term of Agreement:</w:t>
        <w:tab/>
      </w:r>
      <w:r>
        <w:rPr>
          <w:rFonts w:cs="Times New Roman" w:ascii="Times New Roman" w:hAnsi="Times New Roman"/>
        </w:rPr>
        <w:t>The term of this Agreement shall commence on the Loop In-Service Date and shall remain in effective for two (2) years thereafter.</w:t>
      </w:r>
    </w:p>
    <w:p>
      <w:pPr>
        <w:pStyle w:val="Normal"/>
        <w:tabs>
          <w:tab w:val="clear" w:pos="720"/>
          <w:tab w:val="left" w:pos="360" w:leader="none"/>
          <w:tab w:val="left" w:pos="2340" w:leader="none"/>
        </w:tabs>
        <w:ind w:hanging="360" w:start="360" w:end="0"/>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 w:val="left" w:pos="2340" w:leader="none"/>
        </w:tabs>
        <w:ind w:hanging="360" w:start="360" w:end="0"/>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 w:val="left" w:pos="2340" w:leader="none"/>
        </w:tabs>
        <w:ind w:hanging="360" w:start="360" w:end="0"/>
        <w:jc w:val="both"/>
        <w:rPr/>
      </w:pPr>
      <w:r>
        <w:rPr>
          <w:rFonts w:cs="Times New Roman" w:ascii="Times New Roman" w:hAnsi="Times New Roman"/>
        </w:rPr>
        <w:t>12.</w:t>
        <w:tab/>
      </w:r>
      <w:r>
        <w:rPr>
          <w:rFonts w:cs="Times New Roman" w:ascii="Times New Roman" w:hAnsi="Times New Roman"/>
          <w:b/>
          <w:i/>
        </w:rPr>
        <w:t>Notices, Statements, and Bills:</w:t>
      </w:r>
    </w:p>
    <w:p>
      <w:pPr>
        <w:pStyle w:val="Normal"/>
        <w:tabs>
          <w:tab w:val="clear" w:pos="720"/>
          <w:tab w:val="left" w:pos="360" w:leader="none"/>
          <w:tab w:val="left" w:pos="2340" w:leader="none"/>
        </w:tabs>
        <w:ind w:hanging="360" w:start="360" w:end="0"/>
        <w:jc w:val="both"/>
        <w:rPr>
          <w:rFonts w:ascii="Times New Roman" w:hAnsi="Times New Roman" w:cs="Times New Roman"/>
          <w:b/>
          <w:i/>
          <w:i/>
        </w:rPr>
      </w:pPr>
      <w:r>
        <w:rPr>
          <w:rFonts w:cs="Times New Roman" w:ascii="Times New Roman" w:hAnsi="Times New Roman"/>
          <w:b/>
          <w:i/>
        </w:rPr>
      </w:r>
    </w:p>
    <w:p>
      <w:pPr>
        <w:pStyle w:val="Normal"/>
        <w:tabs>
          <w:tab w:val="left" w:pos="360" w:leader="none"/>
          <w:tab w:val="left" w:pos="720" w:leader="none"/>
          <w:tab w:val="left" w:pos="990" w:leader="none"/>
          <w:tab w:val="left" w:pos="1260" w:leader="none"/>
        </w:tabs>
        <w:ind w:hanging="360" w:start="360" w:end="0"/>
        <w:jc w:val="both"/>
        <w:rPr/>
      </w:pPr>
      <w:r>
        <w:rPr>
          <w:rFonts w:cs="Times New Roman" w:ascii="Times New Roman" w:hAnsi="Times New Roman"/>
        </w:rPr>
        <w:tab/>
        <w:tab/>
      </w:r>
      <w:r>
        <w:rPr>
          <w:b/>
        </w:rPr>
        <w:t>To Shipper:</w:t>
      </w:r>
    </w:p>
    <w:p>
      <w:pPr>
        <w:pStyle w:val="Normal"/>
        <w:tabs>
          <w:tab w:val="left" w:pos="360" w:leader="none"/>
          <w:tab w:val="left" w:pos="720" w:leader="none"/>
          <w:tab w:val="left" w:pos="990" w:leader="none"/>
          <w:tab w:val="left" w:pos="1260" w:leader="none"/>
        </w:tabs>
        <w:ind w:hanging="360" w:start="360" w:end="0"/>
        <w:jc w:val="both"/>
        <w:rPr/>
      </w:pPr>
      <w:r>
        <w:rPr>
          <w:rFonts w:cs="Times New Roman" w:ascii="Times New Roman" w:hAnsi="Times New Roman"/>
        </w:rPr>
        <w:tab/>
        <w:tab/>
        <w:tab/>
      </w:r>
      <w:r>
        <w:rPr>
          <w:rFonts w:cs="Times New Roman" w:ascii="Times New Roman" w:hAnsi="Times New Roman"/>
          <w:b/>
        </w:rPr>
        <w:t>Invoices for Transportation:</w:t>
      </w:r>
    </w:p>
    <w:p>
      <w:pPr>
        <w:pStyle w:val="BodyTextIndent"/>
        <w:tabs>
          <w:tab w:val="left" w:pos="360" w:leader="none"/>
          <w:tab w:val="left" w:pos="720" w:leader="none"/>
          <w:tab w:val="left" w:pos="990" w:leader="none"/>
          <w:tab w:val="left" w:pos="1260" w:leader="none"/>
        </w:tabs>
        <w:rPr>
          <w:rFonts w:ascii="Times New Roman" w:hAnsi="Times New Roman" w:cs="Times New Roman"/>
          <w:sz w:val="20"/>
        </w:rPr>
      </w:pPr>
      <w:r>
        <w:rPr>
          <w:rFonts w:cs="Times New Roman" w:ascii="Times New Roman" w:hAnsi="Times New Roman"/>
          <w:sz w:val="20"/>
        </w:rPr>
        <w:tab/>
        <w:tab/>
        <w:tab/>
        <w:tab/>
        <w:t>Enron North America Corp.</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tab/>
        <w:tab/>
        <w:tab/>
        <w:tab/>
        <w:t xml:space="preserve">1400 Smith </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tab/>
        <w:tab/>
        <w:tab/>
        <w:tab/>
        <w:t>Houston, Texas  77251-1188</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tab/>
        <w:tab/>
        <w:tab/>
        <w:tab/>
        <w:t>Attention: Hugh Eichelman</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990" w:leader="none"/>
          <w:tab w:val="left" w:pos="1260" w:leader="none"/>
        </w:tabs>
        <w:ind w:hanging="360" w:start="360" w:end="0"/>
        <w:jc w:val="both"/>
        <w:rPr/>
      </w:pPr>
      <w:r>
        <w:rPr>
          <w:rFonts w:cs="Times New Roman" w:ascii="Times New Roman" w:hAnsi="Times New Roman"/>
        </w:rPr>
        <w:tab/>
        <w:tab/>
        <w:tab/>
      </w:r>
      <w:r>
        <w:rPr>
          <w:rFonts w:cs="Times New Roman" w:ascii="Times New Roman" w:hAnsi="Times New Roman"/>
          <w:b/>
        </w:rPr>
        <w:t>All Notices:</w:t>
      </w:r>
    </w:p>
    <w:p>
      <w:pPr>
        <w:pStyle w:val="BodyTextIndent"/>
        <w:tabs>
          <w:tab w:val="left" w:pos="360" w:leader="none"/>
          <w:tab w:val="left" w:pos="720" w:leader="none"/>
          <w:tab w:val="left" w:pos="990" w:leader="none"/>
          <w:tab w:val="left" w:pos="1260" w:leader="none"/>
        </w:tabs>
        <w:rPr>
          <w:rFonts w:ascii="Times New Roman" w:hAnsi="Times New Roman" w:cs="Times New Roman"/>
          <w:sz w:val="20"/>
        </w:rPr>
      </w:pPr>
      <w:r>
        <w:rPr>
          <w:rFonts w:cs="Times New Roman" w:ascii="Times New Roman" w:hAnsi="Times New Roman"/>
          <w:sz w:val="20"/>
        </w:rPr>
        <w:tab/>
        <w:tab/>
        <w:tab/>
        <w:tab/>
        <w:t>Enron North America Corp.</w:t>
      </w:r>
    </w:p>
    <w:p>
      <w:pPr>
        <w:pStyle w:val="BodyTextIndent"/>
        <w:tabs>
          <w:tab w:val="left" w:pos="360" w:leader="none"/>
          <w:tab w:val="left" w:pos="720" w:leader="none"/>
          <w:tab w:val="left" w:pos="990" w:leader="none"/>
          <w:tab w:val="left" w:pos="1260" w:leader="none"/>
        </w:tabs>
        <w:rPr/>
      </w:pPr>
      <w:r>
        <w:rPr/>
        <w:tab/>
        <w:tab/>
        <w:tab/>
        <w:tab/>
      </w:r>
      <w:r>
        <w:rPr>
          <w:rFonts w:cs="Times New Roman" w:ascii="Times New Roman" w:hAnsi="Times New Roman"/>
          <w:sz w:val="20"/>
        </w:rPr>
        <w:t>1200 17</w:t>
      </w:r>
      <w:r>
        <w:rPr>
          <w:rFonts w:cs="Times New Roman" w:ascii="Times New Roman" w:hAnsi="Times New Roman"/>
          <w:sz w:val="20"/>
          <w:vertAlign w:val="superscript"/>
        </w:rPr>
        <w:t>th</w:t>
      </w:r>
      <w:r>
        <w:rPr>
          <w:rFonts w:cs="Times New Roman" w:ascii="Times New Roman" w:hAnsi="Times New Roman"/>
          <w:sz w:val="20"/>
        </w:rPr>
        <w:t xml:space="preserve"> Street, Suite 2750</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tab/>
        <w:tab/>
        <w:tab/>
        <w:tab/>
        <w:t>Denver, Colorado  80202</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tab/>
        <w:tab/>
        <w:tab/>
        <w:tab/>
        <w:t>Attention: Mike Legler</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990" w:leader="none"/>
          <w:tab w:val="left" w:pos="1260" w:leader="none"/>
        </w:tabs>
        <w:ind w:hanging="360" w:start="360" w:end="0"/>
        <w:jc w:val="both"/>
        <w:rPr/>
      </w:pPr>
      <w:r>
        <w:rPr>
          <w:rFonts w:cs="Times New Roman" w:ascii="Times New Roman" w:hAnsi="Times New Roman"/>
        </w:rPr>
        <w:tab/>
        <w:tab/>
      </w:r>
      <w:r>
        <w:rPr>
          <w:b/>
        </w:rPr>
        <w:t>To Transporter:</w:t>
      </w:r>
    </w:p>
    <w:p>
      <w:pPr>
        <w:pStyle w:val="Normal"/>
        <w:tabs>
          <w:tab w:val="left" w:pos="360" w:leader="none"/>
          <w:tab w:val="left" w:pos="720" w:leader="none"/>
          <w:tab w:val="left" w:pos="1080" w:leader="none"/>
          <w:tab w:val="left" w:pos="1440" w:leader="none"/>
          <w:tab w:val="left" w:pos="4680" w:leader="none"/>
          <w:tab w:val="left" w:pos="5940" w:leader="none"/>
        </w:tabs>
        <w:jc w:val="both"/>
        <w:rPr>
          <w:rFonts w:ascii="Times New Roman" w:hAnsi="Times New Roman" w:cs="Times New Roman"/>
        </w:rPr>
      </w:pPr>
      <w:r>
        <w:rPr>
          <w:rFonts w:cs="Times New Roman" w:ascii="Times New Roman" w:hAnsi="Times New Roman"/>
        </w:rPr>
        <w:tab/>
        <w:tab/>
        <w:tab/>
        <w:t>See Payments, Notices, Nominations, and Points of Contact sheets in the Tariff.</w:t>
      </w:r>
    </w:p>
    <w:p>
      <w:pPr>
        <w:pStyle w:val="Normal"/>
        <w:tabs>
          <w:tab w:val="left" w:pos="360" w:leader="none"/>
          <w:tab w:val="left" w:pos="720" w:leader="none"/>
          <w:tab w:val="left" w:pos="1080" w:leader="none"/>
          <w:tab w:val="left" w:pos="1440" w:leader="none"/>
          <w:tab w:val="left" w:pos="4680" w:leader="none"/>
          <w:tab w:val="left" w:pos="594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4680" w:leader="none"/>
          <w:tab w:val="left" w:pos="5940" w:leader="none"/>
          <w:tab w:val="left" w:pos="9360" w:leader="none"/>
        </w:tabs>
        <w:ind w:hanging="360" w:start="360" w:end="0"/>
        <w:jc w:val="both"/>
        <w:rPr>
          <w:rFonts w:ascii="Times New Roman" w:hAnsi="Times New Roman" w:cs="Times New Roman"/>
          <w:u w:val="single"/>
        </w:rPr>
      </w:pPr>
      <w:r>
        <w:rPr>
          <w:rFonts w:cs="Times New Roman" w:ascii="Times New Roman" w:hAnsi="Times New Roman"/>
        </w:rPr>
        <w:t>13.</w:t>
        <w:tab/>
      </w:r>
      <w:r>
        <w:rPr>
          <w:rFonts w:cs="Times New Roman" w:ascii="Times New Roman" w:hAnsi="Times New Roman"/>
          <w:b/>
          <w:i/>
        </w:rPr>
        <w:t>Supersedes and cancels prior Agreement:</w:t>
      </w:r>
      <w:r>
        <w:rPr>
          <w:rFonts w:cs="Times New Roman" w:ascii="Times New Roman" w:hAnsi="Times New Roman"/>
        </w:rPr>
        <w:t xml:space="preserve"> N/A</w:t>
      </w:r>
    </w:p>
    <w:p>
      <w:pPr>
        <w:pStyle w:val="Normal"/>
        <w:tabs>
          <w:tab w:val="left" w:pos="360" w:leader="none"/>
          <w:tab w:val="left" w:pos="720" w:leader="none"/>
          <w:tab w:val="left" w:pos="1080" w:leader="none"/>
          <w:tab w:val="left" w:pos="1440" w:leader="none"/>
          <w:tab w:val="left" w:pos="4680" w:leader="none"/>
          <w:tab w:val="left" w:pos="594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360" w:leader="none"/>
          <w:tab w:val="right" w:pos="9360" w:leader="none"/>
        </w:tabs>
        <w:ind w:hanging="360" w:start="360" w:end="0"/>
        <w:jc w:val="both"/>
        <w:rPr/>
      </w:pPr>
      <w:r>
        <w:rPr>
          <w:rFonts w:cs="Times New Roman" w:ascii="Times New Roman" w:hAnsi="Times New Roman"/>
        </w:rPr>
        <w:t>14.</w:t>
        <w:tab/>
      </w:r>
      <w:r>
        <w:rPr>
          <w:rFonts w:cs="Times New Roman" w:ascii="Times New Roman" w:hAnsi="Times New Roman"/>
          <w:b/>
          <w:i/>
        </w:rPr>
        <w:t>Adjustment to General Terms and Conditions:</w:t>
      </w:r>
      <w:r>
        <w:rPr>
          <w:rFonts w:cs="Times New Roman" w:ascii="Times New Roman" w:hAnsi="Times New Roman"/>
          <w:i/>
        </w:rPr>
        <w:t xml:space="preserve"> </w:t>
      </w:r>
      <w:r>
        <w:rPr>
          <w:rFonts w:cs="Times New Roman" w:ascii="Times New Roman" w:hAnsi="Times New Roman"/>
        </w:rPr>
        <w:t>N/A</w:t>
      </w:r>
    </w:p>
    <w:p>
      <w:pPr>
        <w:pStyle w:val="Normal"/>
        <w:tabs>
          <w:tab w:val="left" w:pos="360" w:leader="none"/>
          <w:tab w:val="left" w:pos="720" w:leader="none"/>
          <w:tab w:val="left" w:pos="1080" w:leader="none"/>
          <w:tab w:val="left" w:pos="1440" w:leader="none"/>
          <w:tab w:val="left" w:pos="4680" w:leader="none"/>
          <w:tab w:val="left" w:pos="5940" w:leader="none"/>
        </w:tabs>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4680" w:leader="none"/>
          <w:tab w:val="left" w:pos="5940" w:leader="none"/>
        </w:tabs>
        <w:ind w:hanging="360" w:start="360" w:end="0"/>
        <w:jc w:val="both"/>
        <w:rPr/>
      </w:pPr>
      <w:r>
        <w:rPr>
          <w:rFonts w:cs="Times New Roman" w:ascii="Times New Roman" w:hAnsi="Times New Roman"/>
        </w:rPr>
        <w:t>15.</w:t>
        <w:tab/>
      </w:r>
      <w:r>
        <w:rPr>
          <w:rFonts w:cs="Times New Roman" w:ascii="Times New Roman" w:hAnsi="Times New Roman"/>
          <w:b/>
          <w:i/>
        </w:rPr>
        <w:t>Incorporation by Reference:</w:t>
      </w:r>
      <w:r>
        <w:rPr>
          <w:rFonts w:cs="Times New Roman" w:ascii="Times New Roman" w:hAnsi="Times New Roman"/>
        </w:rPr>
        <w:t xml:space="preserve"> This Agreement in all respects shall be subject to the provisions of Rate Schedule FT and to the applicable provisions of the General Terms and Conditions of the Tariff as filed with, and made effective by, the FERC as same may change from time to time (and as they may be amended pursuant to Section 14 of this Agreement).</w:t>
      </w:r>
    </w:p>
    <w:p>
      <w:pPr>
        <w:pStyle w:val="Normal"/>
        <w:tabs>
          <w:tab w:val="left" w:pos="360" w:leader="none"/>
          <w:tab w:val="left" w:pos="720" w:leader="none"/>
          <w:tab w:val="left" w:pos="1080" w:leader="none"/>
          <w:tab w:val="left" w:pos="1440" w:leader="none"/>
          <w:tab w:val="left" w:pos="4680" w:leader="none"/>
          <w:tab w:val="left" w:pos="594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tabs>
          <w:tab w:val="left" w:pos="360" w:leader="none"/>
          <w:tab w:val="left" w:pos="720" w:leader="none"/>
          <w:tab w:val="left" w:pos="1080" w:leader="none"/>
          <w:tab w:val="left" w:pos="1440" w:leader="none"/>
          <w:tab w:val="left" w:pos="5940" w:leader="none"/>
        </w:tabs>
        <w:ind w:hanging="360" w:start="360" w:end="0"/>
        <w:jc w:val="both"/>
        <w:rPr/>
      </w:pPr>
      <w:r>
        <w:rPr>
          <w:rFonts w:cs="Times New Roman" w:ascii="Times New Roman" w:hAnsi="Times New Roman"/>
        </w:rPr>
        <w:t>16.</w:t>
        <w:tab/>
      </w:r>
      <w:r>
        <w:rPr>
          <w:rFonts w:cs="Times New Roman" w:ascii="Times New Roman" w:hAnsi="Times New Roman"/>
          <w:b/>
          <w:i/>
        </w:rPr>
        <w:t xml:space="preserve">Other. </w:t>
      </w:r>
      <w:r>
        <w:rPr>
          <w:rFonts w:cs="Times New Roman" w:ascii="Times New Roman" w:hAnsi="Times New Roman"/>
        </w:rPr>
        <w:t>The following terms used in this Agreement have the meanings indicated:</w:t>
      </w:r>
    </w:p>
    <w:p>
      <w:pPr>
        <w:pStyle w:val="Normal"/>
        <w:tabs>
          <w:tab w:val="left" w:pos="360" w:leader="none"/>
          <w:tab w:val="left" w:pos="720" w:leader="none"/>
          <w:tab w:val="left" w:pos="1080" w:leader="none"/>
          <w:tab w:val="left" w:pos="1440" w:leader="none"/>
          <w:tab w:val="left" w:pos="5940" w:leader="none"/>
        </w:tabs>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 xml:space="preserve">"Available Ramp-Up Capacity" </w:t>
      </w:r>
      <w:r>
        <w:rPr>
          <w:rFonts w:cs="Times New Roman" w:ascii="Times New Roman" w:hAnsi="Times New Roman"/>
        </w:rPr>
        <w:t>means the firm transportation capacity of the Loop each month during the period extending for 2 years from the Loop In-Service Date, which capacity (if any) is in excess of the Total Ramp-Up MDQ.</w:t>
      </w:r>
    </w:p>
    <w:p>
      <w:pPr>
        <w:pStyle w:val="Normal"/>
        <w:tabs>
          <w:tab w:val="left" w:pos="360" w:leader="none"/>
          <w:tab w:val="left" w:pos="720" w:leader="none"/>
          <w:tab w:val="left" w:pos="1080" w:leader="none"/>
          <w:tab w:val="left" w:pos="1440" w:leader="none"/>
          <w:tab w:val="left" w:pos="5940" w:leader="none"/>
        </w:tabs>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hanging="360" w:start="360" w:end="0"/>
        <w:jc w:val="both"/>
        <w:rPr/>
      </w:pPr>
      <w:r>
        <w:rPr>
          <w:rFonts w:cs="Times New Roman" w:ascii="Times New Roman" w:hAnsi="Times New Roman"/>
          <w:i/>
        </w:rPr>
        <w:tab/>
        <w:t>“FERC”</w:t>
      </w:r>
      <w:r>
        <w:rPr>
          <w:rFonts w:cs="Times New Roman" w:ascii="Times New Roman" w:hAnsi="Times New Roman"/>
        </w:rPr>
        <w:t xml:space="preserve"> means the Federal Energy Regulatory Commission.</w:t>
      </w:r>
    </w:p>
    <w:p>
      <w:pPr>
        <w:pStyle w:val="Normal"/>
        <w:tabs>
          <w:tab w:val="left" w:pos="360" w:leader="none"/>
          <w:tab w:val="left" w:pos="720" w:leader="none"/>
          <w:tab w:val="left" w:pos="1080" w:leader="none"/>
          <w:tab w:val="left" w:pos="1440" w:leader="none"/>
          <w:tab w:val="left" w:pos="594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hanging="360" w:start="360" w:end="0"/>
        <w:jc w:val="both"/>
        <w:rPr/>
      </w:pPr>
      <w:r>
        <w:rPr>
          <w:rFonts w:cs="Times New Roman" w:ascii="Times New Roman" w:hAnsi="Times New Roman"/>
        </w:rPr>
        <w:tab/>
      </w:r>
      <w:r>
        <w:rPr>
          <w:rFonts w:cs="Times New Roman" w:ascii="Times New Roman" w:hAnsi="Times New Roman"/>
          <w:b/>
        </w:rPr>
        <w:t>FERC Filing Date</w:t>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"Long Term Loop Agreement"</w:t>
      </w:r>
      <w:r>
        <w:rPr>
          <w:rFonts w:cs="Times New Roman" w:ascii="Times New Roman" w:hAnsi="Times New Roman"/>
        </w:rPr>
        <w:t xml:space="preserve"> means an agreement(s) providing for firm transportation service on the Loop for a term of at least 10 years commencing on the Loop In-Service Date.</w:t>
      </w:r>
    </w:p>
    <w:p>
      <w:pPr>
        <w:pStyle w:val="Normal"/>
        <w:tabs>
          <w:tab w:val="left" w:pos="360" w:leader="none"/>
          <w:tab w:val="left" w:pos="720" w:leader="none"/>
          <w:tab w:val="left" w:pos="1080" w:leader="none"/>
          <w:tab w:val="left" w:pos="1440" w:leader="none"/>
          <w:tab w:val="left" w:pos="5940" w:leader="none"/>
        </w:tabs>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"Loop In-Service Date"</w:t>
      </w:r>
      <w:r>
        <w:rPr>
          <w:rFonts w:cs="Times New Roman" w:ascii="Times New Roman" w:hAnsi="Times New Roman"/>
        </w:rPr>
        <w:t xml:space="preserve"> is the first day of the month following the date the Loop is completed and ready for service.</w:t>
      </w:r>
    </w:p>
    <w:p>
      <w:pPr>
        <w:pStyle w:val="Normal"/>
        <w:tabs>
          <w:tab w:val="left" w:pos="360" w:leader="none"/>
          <w:tab w:val="left" w:pos="720" w:leader="none"/>
          <w:tab w:val="left" w:pos="1080" w:leader="none"/>
          <w:tab w:val="left" w:pos="1440" w:leader="none"/>
          <w:tab w:val="left" w:pos="5940" w:leader="none"/>
        </w:tabs>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"Loop"</w:t>
      </w:r>
      <w:r>
        <w:rPr>
          <w:rFonts w:cs="Times New Roman" w:ascii="Times New Roman" w:hAnsi="Times New Roman"/>
        </w:rPr>
        <w:t xml:space="preserve"> means new gas transmission facilities extending from the meter stations in Section 33, Township 33N, Range 73W, Converse County, Wyoming, along a diagonal path to an interconnection with WIC’s mainline and then parallel to the mainline to the terminus at WIC’s Cheyenne compressor station in Section 5, Township 11N, Range 66W, Weld County, Colorado, which facilities provide for total capacity along the path of the Medicine Bow Lateral in excess of 380 MDth/day.</w:t>
      </w:r>
      <w:r>
        <w:rPr>
          <w:b/>
          <w:sz w:val="24"/>
        </w:rPr>
        <w:t xml:space="preserve"> </w:t>
      </w:r>
    </w:p>
    <w:p>
      <w:pPr>
        <w:pStyle w:val="Normal"/>
        <w:tabs>
          <w:tab w:val="left" w:pos="360" w:leader="none"/>
          <w:tab w:val="left" w:pos="720" w:leader="none"/>
          <w:tab w:val="left" w:pos="1080" w:leader="none"/>
          <w:tab w:val="left" w:pos="1440" w:leader="none"/>
          <w:tab w:val="left" w:pos="5940" w:leader="none"/>
        </w:tabs>
        <w:ind w:start="360" w:end="0"/>
        <w:jc w:val="both"/>
        <w:rPr>
          <w:rFonts w:ascii="Times New Roman" w:hAnsi="Times New Roman" w:cs="Times New Roman"/>
          <w:b/>
          <w:sz w:val="24"/>
        </w:rPr>
      </w:pPr>
      <w:r>
        <w:rPr>
          <w:rFonts w:cs="Times New Roman" w:ascii="Times New Roman" w:hAnsi="Times New Roman"/>
          <w:b/>
          <w:sz w:val="24"/>
        </w:rPr>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w:t>
      </w:r>
      <w:r>
        <w:rPr>
          <w:rFonts w:cs="Times New Roman" w:ascii="Times New Roman" w:hAnsi="Times New Roman"/>
          <w:i/>
        </w:rPr>
        <w:t>Medicine Bow Lateral”</w:t>
      </w:r>
      <w:r>
        <w:rPr>
          <w:rFonts w:cs="Times New Roman" w:ascii="Times New Roman" w:hAnsi="Times New Roman"/>
        </w:rPr>
        <w:t xml:space="preserve"> means WIC's existing gas transmission facilities extending from the meter stations in Section 33, Township 33N, Range 73W, Converse County, Wyoming, along a diagonal path to an interconnection with WIC’s mainline in Section 28, Township 12N, Range 67W, Weld County, Colorado, as the same may be modified by the addition of compression to create a total capacity of up to 380 MDth/day. </w:t>
      </w:r>
    </w:p>
    <w:p>
      <w:pPr>
        <w:pStyle w:val="Normal"/>
        <w:tabs>
          <w:tab w:val="left" w:pos="360" w:leader="none"/>
          <w:tab w:val="left" w:pos="720" w:leader="none"/>
          <w:tab w:val="left" w:pos="1080" w:leader="none"/>
          <w:tab w:val="left" w:pos="1440" w:leader="none"/>
          <w:tab w:val="left" w:pos="5940" w:leader="none"/>
        </w:tabs>
        <w:ind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"Shipper's Ramp-Up MDQ"</w:t>
      </w:r>
      <w:r>
        <w:rPr>
          <w:rFonts w:cs="Times New Roman" w:ascii="Times New Roman" w:hAnsi="Times New Roman"/>
        </w:rPr>
        <w:t xml:space="preserve"> means the MDQ that Shipper has committed to each month during the first 2 years of the term of a Long Term Loop Agreement. </w:t>
      </w:r>
    </w:p>
    <w:p>
      <w:pPr>
        <w:pStyle w:val="Normal"/>
        <w:tabs>
          <w:tab w:val="left" w:pos="360" w:leader="none"/>
          <w:tab w:val="left" w:pos="720" w:leader="none"/>
          <w:tab w:val="left" w:pos="1080" w:leader="none"/>
          <w:tab w:val="left" w:pos="1440" w:leader="none"/>
          <w:tab w:val="left" w:pos="5940" w:leader="none"/>
        </w:tabs>
        <w:ind w:start="360" w:end="0"/>
        <w:jc w:val="both"/>
        <w:rPr>
          <w:rFonts w:ascii="Times New Roman" w:hAnsi="Times New Roman" w:cs="Times New Roman"/>
          <w:i/>
          <w:i/>
        </w:rPr>
      </w:pPr>
      <w:r>
        <w:rPr>
          <w:rFonts w:cs="Times New Roman" w:ascii="Times New Roman" w:hAnsi="Times New Roman"/>
          <w:i/>
        </w:rPr>
      </w:r>
      <w:r>
        <w:br w:type="page"/>
      </w:r>
    </w:p>
    <w:p>
      <w:pPr>
        <w:pStyle w:val="Normal"/>
        <w:tabs>
          <w:tab w:val="left" w:pos="360" w:leader="none"/>
          <w:tab w:val="left" w:pos="720" w:leader="none"/>
          <w:tab w:val="left" w:pos="1080" w:leader="none"/>
          <w:tab w:val="left" w:pos="1440" w:leader="none"/>
          <w:tab w:val="left" w:pos="5940" w:leader="none"/>
        </w:tabs>
        <w:ind w:start="360" w:end="0"/>
        <w:jc w:val="both"/>
        <w:rPr/>
      </w:pPr>
      <w:r>
        <w:rPr>
          <w:rFonts w:cs="Times New Roman" w:ascii="Times New Roman" w:hAnsi="Times New Roman"/>
          <w:i/>
        </w:rPr>
        <w:t>"Total Ramp-Up MDQ"</w:t>
      </w:r>
      <w:r>
        <w:rPr>
          <w:rFonts w:cs="Times New Roman" w:ascii="Times New Roman" w:hAnsi="Times New Roman"/>
        </w:rPr>
        <w:t xml:space="preserve"> means the total MDQ that all shippers on the Loop have committed to each month during the first 2 years of the term of all Long Term Loop Agreements. </w:t>
      </w:r>
    </w:p>
    <w:p>
      <w:pPr>
        <w:pStyle w:val="Normal"/>
        <w:tabs>
          <w:tab w:val="left" w:pos="360" w:leader="none"/>
          <w:tab w:val="left" w:pos="720" w:leader="none"/>
          <w:tab w:val="left" w:pos="1080" w:leader="none"/>
          <w:tab w:val="left" w:pos="1440" w:leader="none"/>
          <w:tab w:val="left" w:pos="5940" w:leader="none"/>
        </w:tabs>
        <w:ind w:start="360" w:end="0"/>
        <w:jc w:val="both"/>
        <w:rPr>
          <w:rFonts w:ascii="Times New Roman" w:hAnsi="Times New Roman" w:cs="Times New Roman"/>
          <w:i/>
          <w:i/>
        </w:rPr>
      </w:pPr>
      <w:r>
        <w:rPr>
          <w:rFonts w:cs="Times New Roman" w:ascii="Times New Roman" w:hAnsi="Times New Roman"/>
          <w:i/>
        </w:rPr>
      </w:r>
    </w:p>
    <w:p>
      <w:pPr>
        <w:pStyle w:val="Normal"/>
        <w:tabs>
          <w:tab w:val="left" w:pos="360" w:leader="none"/>
          <w:tab w:val="left" w:pos="720" w:leader="none"/>
          <w:tab w:val="left" w:pos="1080" w:leader="none"/>
          <w:tab w:val="left" w:pos="1440" w:leader="none"/>
          <w:tab w:val="left" w:pos="5940" w:leader="none"/>
        </w:tabs>
        <w:jc w:val="both"/>
        <w:rPr/>
      </w:pPr>
      <w:r>
        <w:rPr>
          <w:rFonts w:cs="Times New Roman" w:ascii="Times New Roman" w:hAnsi="Times New Roman"/>
        </w:rPr>
        <w:tab/>
      </w:r>
      <w:r>
        <w:rPr>
          <w:rFonts w:cs="Times New Roman" w:ascii="Times New Roman" w:hAnsi="Times New Roman"/>
          <w:i/>
        </w:rPr>
        <w:t xml:space="preserve">“Year 1” </w:t>
      </w:r>
      <w:r>
        <w:rPr>
          <w:rFonts w:cs="Times New Roman" w:ascii="Times New Roman" w:hAnsi="Times New Roman"/>
        </w:rPr>
        <w:t>means the year commencing on the Loop In-Service Date.</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rPr>
      </w:pPr>
      <w:r>
        <w:rPr>
          <w:rFonts w:cs="Times New Roman" w:ascii="Times New Roman" w:hAnsi="Times New Roman"/>
        </w:rPr>
      </w:r>
    </w:p>
    <w:p>
      <w:pPr>
        <w:pStyle w:val="Normal"/>
        <w:tabs>
          <w:tab w:val="left" w:pos="360" w:leader="none"/>
          <w:tab w:val="left" w:pos="720" w:leader="none"/>
          <w:tab w:val="left" w:pos="990" w:leader="none"/>
          <w:tab w:val="left" w:pos="1260" w:leader="none"/>
        </w:tabs>
        <w:ind w:hanging="360" w:start="360" w:end="0"/>
        <w:jc w:val="both"/>
        <w:rPr/>
      </w:pPr>
      <w:r>
        <w:rPr>
          <w:rFonts w:cs="Times New Roman" w:ascii="Times New Roman" w:hAnsi="Times New Roman"/>
        </w:rPr>
        <w:tab/>
      </w:r>
      <w:r>
        <w:rPr>
          <w:b/>
        </w:rPr>
        <w:t>IN WITNESS WHEREOF</w:t>
      </w:r>
      <w:r>
        <w:rPr>
          <w:rFonts w:cs="Times New Roman" w:ascii="Times New Roman" w:hAnsi="Times New Roman"/>
        </w:rPr>
        <w:t>, the parties hereto have executed this Agreement.</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b/>
          <w:sz w:val="22"/>
        </w:rPr>
      </w:pPr>
      <w:r>
        <w:rPr>
          <w:rFonts w:cs="Times New Roman" w:ascii="Times New Roman" w:hAnsi="Times New Roman"/>
          <w:b/>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776"/>
          <w:pgNumType w:start="1" w:fmt="decimal"/>
          <w:formProt w:val="false"/>
          <w:titlePg/>
          <w:textDirection w:val="lrTb"/>
          <w:docGrid w:type="default" w:linePitch="360" w:charSpace="0"/>
        </w:sectPr>
      </w:pPr>
    </w:p>
    <w:p>
      <w:pPr>
        <w:pStyle w:val="Normal"/>
        <w:tabs>
          <w:tab w:val="left" w:pos="360" w:leader="none"/>
          <w:tab w:val="left" w:pos="720" w:leader="none"/>
          <w:tab w:val="left" w:pos="990" w:leader="none"/>
          <w:tab w:val="left" w:pos="1260" w:leader="none"/>
        </w:tabs>
        <w:ind w:hanging="360" w:start="360" w:end="0"/>
        <w:jc w:val="both"/>
        <w:rPr>
          <w:b/>
        </w:rPr>
      </w:pPr>
      <w:r>
        <w:rPr>
          <w:b/>
        </w:rPr>
        <w:t>Transporter:</w:t>
      </w:r>
    </w:p>
    <w:p>
      <w:pPr>
        <w:pStyle w:val="Normal"/>
        <w:tabs>
          <w:tab w:val="left" w:pos="360" w:leader="none"/>
          <w:tab w:val="left" w:pos="720" w:leader="none"/>
          <w:tab w:val="left" w:pos="990" w:leader="none"/>
          <w:tab w:val="left" w:pos="1260" w:leader="none"/>
        </w:tabs>
        <w:ind w:hanging="360" w:start="360" w:end="0"/>
        <w:jc w:val="both"/>
        <w:rPr>
          <w:rFonts w:ascii="Times New Roman" w:hAnsi="Times New Roman" w:cs="Times New Roman"/>
          <w:b/>
        </w:rPr>
      </w:pPr>
      <w:r>
        <w:rPr>
          <w:rFonts w:cs="Times New Roman" w:ascii="Times New Roman" w:hAnsi="Times New Roman"/>
          <w:b/>
        </w:rPr>
      </w:r>
    </w:p>
    <w:p>
      <w:pPr>
        <w:pStyle w:val="Normal"/>
        <w:tabs>
          <w:tab w:val="left" w:pos="360" w:leader="none"/>
          <w:tab w:val="left" w:pos="720" w:leader="none"/>
          <w:tab w:val="left" w:pos="990" w:leader="none"/>
          <w:tab w:val="left" w:pos="1260" w:leader="none"/>
        </w:tabs>
        <w:ind w:hanging="360" w:start="360" w:end="0"/>
        <w:jc w:val="both"/>
        <w:rPr>
          <w:b/>
          <w:sz w:val="24"/>
        </w:rPr>
      </w:pPr>
      <w:r>
        <w:rPr>
          <w:b/>
          <w:sz w:val="24"/>
        </w:rPr>
        <w:t>Wyoming Interstate Company, Ltd.</w:t>
      </w:r>
    </w:p>
    <w:p>
      <w:pPr>
        <w:pStyle w:val="Normal"/>
        <w:tabs>
          <w:tab w:val="left" w:pos="360" w:leader="none"/>
          <w:tab w:val="left" w:pos="720" w:leader="none"/>
          <w:tab w:val="left" w:pos="990" w:leader="none"/>
          <w:tab w:val="left" w:pos="1260" w:leader="none"/>
        </w:tabs>
        <w:ind w:hanging="360" w:start="360" w:end="0"/>
        <w:jc w:val="both"/>
        <w:rPr>
          <w:b/>
          <w:sz w:val="24"/>
        </w:rPr>
      </w:pPr>
      <w:r>
        <w:rPr>
          <w:b/>
          <w:sz w:val="24"/>
        </w:rPr>
      </w:r>
    </w:p>
    <w:p>
      <w:pPr>
        <w:pStyle w:val="Normal"/>
        <w:tabs>
          <w:tab w:val="left" w:pos="360" w:leader="none"/>
          <w:tab w:val="left" w:pos="720" w:leader="none"/>
          <w:tab w:val="left" w:pos="990" w:leader="none"/>
          <w:tab w:val="left" w:pos="1260" w:leader="none"/>
        </w:tabs>
        <w:ind w:hanging="360" w:start="360" w:end="0"/>
        <w:jc w:val="both"/>
        <w:rPr/>
      </w:pPr>
      <w:r>
        <w:rPr/>
        <w:t xml:space="preserve">By: </w:t>
      </w:r>
      <w:r>
        <w:rPr>
          <w:b/>
        </w:rPr>
        <w:t>CIG Gas Supply Company</w:t>
      </w:r>
    </w:p>
    <w:p>
      <w:pPr>
        <w:pStyle w:val="Normal"/>
        <w:tabs>
          <w:tab w:val="left" w:pos="360" w:leader="none"/>
          <w:tab w:val="left" w:pos="720" w:leader="none"/>
          <w:tab w:val="left" w:pos="990" w:leader="none"/>
          <w:tab w:val="left" w:pos="1260" w:leader="none"/>
        </w:tabs>
        <w:ind w:hanging="360" w:start="360" w:end="0"/>
        <w:jc w:val="both"/>
        <w:rPr/>
      </w:pPr>
      <w:r>
        <w:rPr>
          <w:rFonts w:eastAsia="Arial"/>
        </w:rPr>
        <w:t xml:space="preserve">      </w:t>
      </w:r>
      <w:r>
        <w:rPr/>
        <w:t>(General Partner)</w:t>
      </w:r>
    </w:p>
    <w:p>
      <w:pPr>
        <w:pStyle w:val="Normal"/>
        <w:tabs>
          <w:tab w:val="clear" w:pos="720"/>
          <w:tab w:val="right" w:pos="9360" w:leader="none"/>
        </w:tabs>
        <w:jc w:val="both"/>
        <w:rPr>
          <w:rFonts w:ascii="Times New Roman" w:hAnsi="Times New Roman" w:cs="Times New Roman"/>
        </w:rPr>
      </w:pPr>
      <w:r>
        <w:rPr>
          <w:rFonts w:cs="Times New Roman" w:ascii="Times New Roman" w:hAnsi="Times New Roman"/>
        </w:rPr>
      </w:r>
    </w:p>
    <w:p>
      <w:pPr>
        <w:pStyle w:val="Normal"/>
        <w:tabs>
          <w:tab w:val="clear" w:pos="720"/>
          <w:tab w:val="right" w:pos="9360" w:leader="none"/>
        </w:tabs>
        <w:jc w:val="both"/>
        <w:rPr>
          <w:rFonts w:ascii="Times New Roman" w:hAnsi="Times New Roman" w:cs="Times New Roman"/>
        </w:rPr>
      </w:pPr>
      <w:r>
        <w:rPr>
          <w:rFonts w:cs="Times New Roman" w:ascii="Times New Roman" w:hAnsi="Times New Roman"/>
        </w:rPr>
      </w:r>
    </w:p>
    <w:p>
      <w:pPr>
        <w:pStyle w:val="Normal"/>
        <w:tabs>
          <w:tab w:val="clear" w:pos="720"/>
          <w:tab w:val="right" w:pos="9360" w:leader="none"/>
        </w:tabs>
        <w:jc w:val="both"/>
        <w:rPr>
          <w:rFonts w:ascii="Times New Roman" w:hAnsi="Times New Roman" w:cs="Times New Roman"/>
        </w:rPr>
      </w:pPr>
      <w:r>
        <w:rPr>
          <w:rFonts w:cs="Times New Roman" w:ascii="Times New Roman" w:hAnsi="Times New Roman"/>
        </w:rPr>
      </w:r>
    </w:p>
    <w:p>
      <w:pPr>
        <w:pStyle w:val="Normal"/>
        <w:tabs>
          <w:tab w:val="clear" w:pos="720"/>
          <w:tab w:val="right" w:pos="4320" w:leader="none"/>
        </w:tabs>
        <w:jc w:val="both"/>
        <w:rPr/>
      </w:pPr>
      <w:r>
        <w:rPr>
          <w:rFonts w:cs="Times New Roman" w:ascii="Times New Roman" w:hAnsi="Times New Roman"/>
        </w:rPr>
        <w:t xml:space="preserve">By: </w:t>
      </w:r>
      <w:r>
        <w:rPr>
          <w:rFonts w:cs="Times New Roman" w:ascii="Times New Roman" w:hAnsi="Times New Roman"/>
          <w:u w:val="single"/>
        </w:rPr>
        <w:tab/>
      </w:r>
    </w:p>
    <w:p>
      <w:pPr>
        <w:pStyle w:val="Normal"/>
        <w:tabs>
          <w:tab w:val="clear" w:pos="720"/>
          <w:tab w:val="right" w:pos="9360" w:leader="none"/>
        </w:tabs>
        <w:jc w:val="center"/>
        <w:rPr>
          <w:rFonts w:ascii="Times New Roman" w:hAnsi="Times New Roman" w:cs="Times New Roman"/>
        </w:rPr>
      </w:pPr>
      <w:r>
        <w:rPr>
          <w:rFonts w:cs="Times New Roman" w:ascii="Times New Roman" w:hAnsi="Times New Roman"/>
        </w:rPr>
        <w:t>Thomas L. Price</w:t>
      </w:r>
    </w:p>
    <w:p>
      <w:pPr>
        <w:pStyle w:val="Normal"/>
        <w:tabs>
          <w:tab w:val="clear" w:pos="720"/>
          <w:tab w:val="right" w:pos="9360" w:leader="none"/>
        </w:tabs>
        <w:jc w:val="center"/>
        <w:rPr>
          <w:rFonts w:ascii="Times New Roman" w:hAnsi="Times New Roman" w:cs="Times New Roman"/>
        </w:rPr>
      </w:pPr>
      <w:r>
        <w:rPr>
          <w:rFonts w:cs="Times New Roman" w:ascii="Times New Roman" w:hAnsi="Times New Roman"/>
        </w:rPr>
        <w:t>Vice President</w:t>
      </w:r>
    </w:p>
    <w:p>
      <w:pPr>
        <w:pStyle w:val="Normal"/>
        <w:tabs>
          <w:tab w:val="clear" w:pos="720"/>
          <w:tab w:val="right" w:pos="9360" w:leader="none"/>
        </w:tabs>
        <w:rPr>
          <w:rFonts w:ascii="Times New Roman" w:hAnsi="Times New Roman" w:cs="Times New Roman"/>
        </w:rPr>
      </w:pPr>
      <w:r>
        <w:rPr>
          <w:rFonts w:cs="Times New Roman" w:ascii="Times New Roman" w:hAnsi="Times New Roman"/>
        </w:rPr>
      </w:r>
    </w:p>
    <w:p>
      <w:pPr>
        <w:pStyle w:val="Norma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right" w:pos="9360" w:leader="none"/>
        </w:tabs>
        <w:jc w:val="both"/>
        <w:rPr>
          <w:b/>
        </w:rPr>
      </w:pPr>
      <w:r>
        <w:br w:type="column"/>
      </w:r>
      <w:r>
        <w:rPr>
          <w:b/>
        </w:rPr>
        <w:t>Shipper:</w:t>
      </w:r>
    </w:p>
    <w:p>
      <w:pPr>
        <w:pStyle w:val="Norma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right" w:pos="9360" w:leader="none"/>
        </w:tabs>
        <w:jc w:val="both"/>
        <w:rPr>
          <w:b/>
          <w:sz w:val="24"/>
        </w:rPr>
      </w:pPr>
      <w:r>
        <w:rPr>
          <w:b/>
          <w:sz w:val="24"/>
        </w:rPr>
        <w:t>Enron North America Corp.</w:t>
      </w:r>
    </w:p>
    <w:p>
      <w:pPr>
        <w:pStyle w:val="Normal"/>
        <w:tabs>
          <w:tab w:val="clear" w:pos="720"/>
          <w:tab w:val="right" w:pos="9360" w:leader="none"/>
        </w:tabs>
        <w:jc w:val="both"/>
        <w:rPr>
          <w:b/>
          <w:sz w:val="24"/>
        </w:rPr>
      </w:pPr>
      <w:r>
        <w:rPr>
          <w:b/>
          <w:sz w:val="24"/>
        </w:rPr>
      </w:r>
    </w:p>
    <w:p>
      <w:pPr>
        <w:pStyle w:val="Norma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right" w:pos="9360" w:leader="none"/>
        </w:tabs>
        <w:jc w:val="both"/>
        <w:rPr>
          <w:rFonts w:ascii="Times New Roman" w:hAnsi="Times New Roman" w:cs="Times New Roman"/>
        </w:rPr>
      </w:pPr>
      <w:r>
        <w:rPr>
          <w:rFonts w:cs="Times New Roman" w:ascii="Times New Roman" w:hAnsi="Times New Roman"/>
        </w:rPr>
      </w:r>
    </w:p>
    <w:p>
      <w:pPr>
        <w:pStyle w:val="Normal"/>
        <w:tabs>
          <w:tab w:val="clear" w:pos="720"/>
          <w:tab w:val="right" w:pos="4320" w:leader="none"/>
          <w:tab w:val="right" w:pos="9360" w:leader="none"/>
        </w:tabs>
        <w:jc w:val="both"/>
        <w:rPr/>
      </w:pPr>
      <w:r>
        <w:rPr>
          <w:rFonts w:cs="Times New Roman" w:ascii="Times New Roman" w:hAnsi="Times New Roman"/>
        </w:rPr>
        <w:t xml:space="preserve">By: </w:t>
      </w:r>
      <w:r>
        <w:rPr>
          <w:rFonts w:cs="Times New Roman" w:ascii="Times New Roman" w:hAnsi="Times New Roman"/>
          <w:u w:val="single"/>
        </w:rPr>
        <w:tab/>
      </w:r>
    </w:p>
    <w:p>
      <w:pPr>
        <w:pStyle w:val="Normal"/>
        <w:tabs>
          <w:tab w:val="clear" w:pos="720"/>
          <w:tab w:val="right" w:pos="4320" w:leader="none"/>
          <w:tab w:val="right" w:pos="936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right" w:pos="4320" w:leader="none"/>
          <w:tab w:val="right" w:pos="936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right" w:pos="4320" w:leader="none"/>
          <w:tab w:val="right" w:pos="9360" w:leader="none"/>
        </w:tabs>
        <w:jc w:val="both"/>
        <w:rPr>
          <w:rFonts w:ascii="Times New Roman" w:hAnsi="Times New Roman" w:cs="Times New Roman"/>
          <w:u w:val="single"/>
        </w:rPr>
      </w:pPr>
      <w:r>
        <w:rPr>
          <w:rFonts w:cs="Times New Roman" w:ascii="Times New Roman" w:hAnsi="Times New Roman"/>
          <w:u w:val="single"/>
        </w:rPr>
        <w:tab/>
      </w:r>
    </w:p>
    <w:p>
      <w:pPr>
        <w:pStyle w:val="Normal"/>
        <w:tabs>
          <w:tab w:val="clear" w:pos="720"/>
          <w:tab w:val="right" w:pos="4320" w:leader="none"/>
          <w:tab w:val="right" w:pos="9360" w:leader="none"/>
        </w:tabs>
        <w:jc w:val="center"/>
        <w:rPr>
          <w:rFonts w:ascii="Times New Roman" w:hAnsi="Times New Roman" w:cs="Times New Roman"/>
        </w:rPr>
      </w:pPr>
      <w:r>
        <w:rPr>
          <w:rFonts w:cs="Times New Roman" w:ascii="Times New Roman" w:hAnsi="Times New Roman"/>
        </w:rPr>
        <w:t>(Print or type name)</w:t>
      </w:r>
    </w:p>
    <w:p>
      <w:pPr>
        <w:pStyle w:val="Normal"/>
        <w:tabs>
          <w:tab w:val="clear" w:pos="720"/>
          <w:tab w:val="right" w:pos="4320" w:leader="none"/>
          <w:tab w:val="right" w:pos="9360" w:leader="none"/>
        </w:tabs>
        <w:jc w:val="center"/>
        <w:rPr>
          <w:rFonts w:ascii="Times New Roman" w:hAnsi="Times New Roman" w:cs="Times New Roman"/>
        </w:rPr>
      </w:pPr>
      <w:r>
        <w:rPr>
          <w:rFonts w:cs="Times New Roman" w:ascii="Times New Roman" w:hAnsi="Times New Roman"/>
        </w:rPr>
      </w:r>
    </w:p>
    <w:p>
      <w:pPr>
        <w:pStyle w:val="Normal"/>
        <w:tabs>
          <w:tab w:val="clear" w:pos="720"/>
          <w:tab w:val="right" w:pos="4320" w:leader="none"/>
          <w:tab w:val="right" w:pos="9360" w:leader="none"/>
        </w:tabs>
        <w:rPr>
          <w:rFonts w:ascii="Times New Roman" w:hAnsi="Times New Roman" w:cs="Times New Roman"/>
          <w:u w:val="single"/>
        </w:rPr>
      </w:pPr>
      <w:r>
        <w:rPr>
          <w:rFonts w:cs="Times New Roman" w:ascii="Times New Roman" w:hAnsi="Times New Roman"/>
          <w:u w:val="single"/>
        </w:rPr>
        <w:tab/>
      </w:r>
    </w:p>
    <w:p>
      <w:pPr>
        <w:pStyle w:val="Normal"/>
        <w:tabs>
          <w:tab w:val="clear" w:pos="720"/>
          <w:tab w:val="right" w:pos="9360" w:leader="none"/>
        </w:tabs>
        <w:jc w:val="center"/>
        <w:rPr>
          <w:rFonts w:ascii="Times New Roman" w:hAnsi="Times New Roman" w:cs="Times New Roman"/>
        </w:rPr>
      </w:pPr>
      <w:r>
        <w:rPr>
          <w:rFonts w:cs="Times New Roman" w:ascii="Times New Roman" w:hAnsi="Times New Roman"/>
        </w:rPr>
        <w:t>(Print or type title)</w:t>
      </w:r>
    </w:p>
    <w:p>
      <w:pPr>
        <w:sectPr>
          <w:type w:val="continuous"/>
          <w:pgSz w:w="12240" w:h="15840"/>
          <w:pgMar w:left="1440" w:right="1440" w:gutter="0" w:header="720" w:top="1440" w:footer="720" w:bottom="776"/>
          <w:cols w:num="2" w:equalWidth="false" w:sep="false">
            <w:col w:w="4410" w:space="630"/>
            <w:col w:w="4320"/>
          </w:cols>
          <w:formProt w:val="false"/>
          <w:titlePg/>
          <w:textDirection w:val="lrTb"/>
          <w:docGrid w:type="default" w:linePitch="360" w:charSpace="0"/>
        </w:sectPr>
      </w:pP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pPr>
      <w:r>
        <w:rPr/>
      </w:r>
    </w:p>
    <w:p>
      <w:pPr>
        <w:pStyle w:val="Heading1"/>
        <w:ind w:hanging="0" w:start="0"/>
        <w:rPr/>
      </w:pPr>
      <w:r>
        <w:rPr/>
        <w:t>Exhibit “A”</w:t>
      </w:r>
    </w:p>
    <w:p>
      <w:pPr>
        <w:pStyle w:val="Heading4"/>
        <w:ind w:hanging="0" w:start="0"/>
        <w:rPr/>
      </w:pPr>
      <w:r>
        <w:rPr/>
      </w:r>
    </w:p>
    <w:p>
      <w:pPr>
        <w:pStyle w:val="Heading4"/>
        <w:ind w:hanging="0" w:start="0"/>
        <w:rPr/>
      </w:pPr>
      <w:r>
        <w:rPr/>
        <w:t>Firm Transportation Service Agreement</w:t>
      </w:r>
    </w:p>
    <w:p>
      <w:pPr>
        <w:pStyle w:val="Normal"/>
        <w:tabs>
          <w:tab w:val="clear" w:pos="720"/>
          <w:tab w:val="right" w:pos="9360" w:leader="none"/>
        </w:tabs>
        <w:jc w:val="center"/>
        <w:rPr>
          <w:sz w:val="22"/>
        </w:rPr>
      </w:pPr>
      <w:r>
        <w:rPr>
          <w:sz w:val="24"/>
        </w:rPr>
        <w:t>between</w:t>
      </w:r>
    </w:p>
    <w:p>
      <w:pPr>
        <w:pStyle w:val="Heading2"/>
        <w:ind w:hanging="0" w:start="0"/>
        <w:rPr>
          <w:sz w:val="28"/>
        </w:rPr>
      </w:pPr>
      <w:r>
        <w:rPr>
          <w:sz w:val="28"/>
        </w:rPr>
        <w:t>Wyoming Interstate Company, Ltd.</w:t>
      </w:r>
    </w:p>
    <w:p>
      <w:pPr>
        <w:pStyle w:val="Normal"/>
        <w:tabs>
          <w:tab w:val="clear" w:pos="720"/>
          <w:tab w:val="right" w:pos="9360" w:leader="none"/>
        </w:tabs>
        <w:jc w:val="center"/>
        <w:rPr>
          <w:sz w:val="24"/>
        </w:rPr>
      </w:pPr>
      <w:r>
        <w:rPr>
          <w:sz w:val="24"/>
        </w:rPr>
        <w:t>and</w:t>
      </w:r>
    </w:p>
    <w:p>
      <w:pPr>
        <w:pStyle w:val="Normal"/>
        <w:tabs>
          <w:tab w:val="clear" w:pos="720"/>
          <w:tab w:val="right" w:pos="9360" w:leader="none"/>
        </w:tabs>
        <w:jc w:val="center"/>
        <w:rPr>
          <w:b/>
          <w:sz w:val="28"/>
        </w:rPr>
      </w:pPr>
      <w:r>
        <w:rPr>
          <w:b/>
          <w:sz w:val="28"/>
        </w:rPr>
        <w:t>Enron North America Corp.</w:t>
      </w:r>
    </w:p>
    <w:p>
      <w:pPr>
        <w:pStyle w:val="Normal"/>
        <w:tabs>
          <w:tab w:val="clear" w:pos="720"/>
          <w:tab w:val="right" w:pos="9360" w:leader="none"/>
        </w:tabs>
        <w:jc w:val="center"/>
        <w:rPr>
          <w:b/>
          <w:sz w:val="22"/>
        </w:rPr>
      </w:pPr>
      <w:r>
        <w:rPr>
          <w:b/>
          <w:sz w:val="22"/>
        </w:rPr>
      </w:r>
    </w:p>
    <w:p>
      <w:pPr>
        <w:pStyle w:val="Normal"/>
        <w:tabs>
          <w:tab w:val="clear" w:pos="720"/>
          <w:tab w:val="right" w:pos="9360" w:leader="none"/>
        </w:tabs>
        <w:jc w:val="center"/>
        <w:rPr/>
      </w:pPr>
      <w:r>
        <w:rPr>
          <w:sz w:val="24"/>
        </w:rPr>
        <w:t xml:space="preserve">Dated: </w:t>
      </w:r>
      <w:r>
        <w:rPr>
          <w:b/>
          <w:sz w:val="24"/>
        </w:rPr>
        <w:t>July 10, 2000</w:t>
      </w:r>
    </w:p>
    <w:p>
      <w:pPr>
        <w:pStyle w:val="Normal"/>
        <w:tabs>
          <w:tab w:val="clear" w:pos="720"/>
          <w:tab w:val="right" w:pos="9360" w:leader="none"/>
        </w:tabs>
        <w:jc w:val="center"/>
        <w:rPr>
          <w:b/>
          <w:sz w:val="22"/>
        </w:rPr>
      </w:pPr>
      <w:r>
        <w:rPr>
          <w:b/>
          <w:sz w:val="22"/>
        </w:rPr>
      </w:r>
    </w:p>
    <w:p>
      <w:pPr>
        <w:pStyle w:val="Normal"/>
        <w:tabs>
          <w:tab w:val="clear" w:pos="720"/>
          <w:tab w:val="right" w:pos="9360" w:leader="none"/>
        </w:tabs>
        <w:jc w:val="center"/>
        <w:rPr>
          <w:b/>
          <w:sz w:val="22"/>
        </w:rPr>
      </w:pPr>
      <w:r>
        <w:rPr>
          <w:b/>
          <w:sz w:val="22"/>
        </w:rPr>
      </w:r>
    </w:p>
    <w:p>
      <w:pPr>
        <w:pStyle w:val="Header"/>
        <w:tabs>
          <w:tab w:val="clear" w:pos="4320"/>
          <w:tab w:val="clear" w:pos="8640"/>
          <w:tab w:val="right" w:pos="9360" w:leader="none"/>
        </w:tabs>
        <w:rPr>
          <w:b/>
          <w:sz w:val="22"/>
        </w:rPr>
      </w:pPr>
      <w:r>
        <w:rPr/>
        <w:t xml:space="preserve">1.  Shipper’s Maximum Delivery Quantity (“MDQ”): </w:t>
      </w:r>
      <w:r>
        <w:rPr>
          <w:b/>
        </w:rPr>
        <w:t>See Paragraph 10</w:t>
      </w:r>
    </w:p>
    <w:p>
      <w:pPr>
        <w:pStyle w:val="Normal"/>
        <w:tabs>
          <w:tab w:val="clear" w:pos="720"/>
          <w:tab w:val="right" w:pos="9360" w:leader="none"/>
        </w:tabs>
        <w:rPr>
          <w:b/>
          <w:sz w:val="22"/>
        </w:rPr>
      </w:pPr>
      <w:r>
        <w:rPr>
          <w:b/>
          <w:sz w:val="22"/>
        </w:rPr>
      </w:r>
    </w:p>
    <w:p>
      <w:pPr>
        <w:pStyle w:val="Normal"/>
        <w:tabs>
          <w:tab w:val="clear" w:pos="720"/>
          <w:tab w:val="right" w:pos="9360" w:leader="none"/>
        </w:tabs>
        <w:rPr>
          <w:sz w:val="22"/>
        </w:rPr>
      </w:pPr>
      <w:r>
        <w:rPr>
          <w:sz w:val="22"/>
        </w:rPr>
      </w:r>
    </w:p>
    <w:tbl>
      <w:tblPr>
        <w:tblW w:w="9567" w:type="dxa"/>
        <w:jc w:val="start"/>
        <w:tblInd w:w="0" w:type="dxa"/>
        <w:tblLayout w:type="fixed"/>
        <w:tblCellMar>
          <w:top w:w="0" w:type="dxa"/>
          <w:start w:w="108" w:type="dxa"/>
          <w:bottom w:w="0" w:type="dxa"/>
          <w:end w:w="108" w:type="dxa"/>
        </w:tblCellMar>
      </w:tblPr>
      <w:tblGrid>
        <w:gridCol w:w="4518"/>
        <w:gridCol w:w="2524"/>
        <w:gridCol w:w="2525"/>
      </w:tblGrid>
      <w:tr>
        <w:trPr/>
        <w:tc>
          <w:tcPr>
            <w:tcW w:w="4518" w:type="dxa"/>
            <w:tcBorders>
              <w:top w:val="single" w:sz="12" w:space="0" w:color="808080"/>
              <w:start w:val="single" w:sz="12" w:space="0" w:color="808080"/>
              <w:bottom w:val="single" w:sz="12" w:space="0" w:color="000000"/>
            </w:tcBorders>
            <w:vAlign w:val="bottom"/>
          </w:tcPr>
          <w:p>
            <w:pPr>
              <w:pStyle w:val="Normal"/>
              <w:tabs>
                <w:tab w:val="clear" w:pos="720"/>
                <w:tab w:val="right" w:pos="9360" w:leader="none"/>
              </w:tabs>
              <w:jc w:val="center"/>
              <w:rPr>
                <w:b/>
                <w:sz w:val="18"/>
              </w:rPr>
            </w:pPr>
            <w:r>
              <w:rPr>
                <w:b/>
                <w:sz w:val="18"/>
              </w:rPr>
              <w:t>Primary Point(s) of Receipt</w:t>
            </w:r>
          </w:p>
          <w:p>
            <w:pPr>
              <w:pStyle w:val="Normal"/>
              <w:tabs>
                <w:tab w:val="clear" w:pos="720"/>
                <w:tab w:val="right" w:pos="9360" w:leader="none"/>
              </w:tabs>
              <w:jc w:val="center"/>
              <w:rPr>
                <w:b/>
                <w:sz w:val="18"/>
              </w:rPr>
            </w:pPr>
            <w:r>
              <w:rPr>
                <w:b/>
                <w:sz w:val="18"/>
              </w:rPr>
              <w:t>(Note 1)</w:t>
            </w:r>
          </w:p>
        </w:tc>
        <w:tc>
          <w:tcPr>
            <w:tcW w:w="2524" w:type="dxa"/>
            <w:tcBorders>
              <w:top w:val="single" w:sz="12" w:space="0" w:color="808080"/>
              <w:bottom w:val="single" w:sz="12" w:space="0" w:color="000000"/>
            </w:tcBorders>
            <w:vAlign w:val="bottom"/>
          </w:tcPr>
          <w:p>
            <w:pPr>
              <w:pStyle w:val="Normal"/>
              <w:tabs>
                <w:tab w:val="clear" w:pos="720"/>
                <w:tab w:val="right" w:pos="9360" w:leader="none"/>
              </w:tabs>
              <w:jc w:val="center"/>
              <w:rPr>
                <w:b/>
                <w:sz w:val="18"/>
              </w:rPr>
            </w:pPr>
            <w:r>
              <w:rPr>
                <w:b/>
                <w:sz w:val="18"/>
              </w:rPr>
              <w:t>Primary Point(s) of</w:t>
            </w:r>
          </w:p>
          <w:p>
            <w:pPr>
              <w:pStyle w:val="Normal"/>
              <w:tabs>
                <w:tab w:val="clear" w:pos="720"/>
                <w:tab w:val="right" w:pos="9360" w:leader="none"/>
              </w:tabs>
              <w:jc w:val="center"/>
              <w:rPr>
                <w:b/>
                <w:sz w:val="18"/>
              </w:rPr>
            </w:pPr>
            <w:r>
              <w:rPr>
                <w:b/>
                <w:sz w:val="18"/>
              </w:rPr>
              <w:t>Receipt Quantity</w:t>
            </w:r>
          </w:p>
          <w:p>
            <w:pPr>
              <w:pStyle w:val="Normal"/>
              <w:tabs>
                <w:tab w:val="clear" w:pos="720"/>
                <w:tab w:val="right" w:pos="9360" w:leader="none"/>
              </w:tabs>
              <w:jc w:val="center"/>
              <w:rPr>
                <w:b/>
                <w:sz w:val="18"/>
              </w:rPr>
            </w:pPr>
            <w:r>
              <w:rPr>
                <w:b/>
                <w:sz w:val="18"/>
              </w:rPr>
              <w:t>(Dth per Day) (Note 2)</w:t>
            </w:r>
          </w:p>
        </w:tc>
        <w:tc>
          <w:tcPr>
            <w:tcW w:w="2525" w:type="dxa"/>
            <w:tcBorders>
              <w:top w:val="single" w:sz="12" w:space="0" w:color="808080"/>
              <w:bottom w:val="single" w:sz="12" w:space="0" w:color="000000"/>
              <w:end w:val="single" w:sz="12" w:space="0" w:color="808080"/>
            </w:tcBorders>
            <w:vAlign w:val="bottom"/>
          </w:tcPr>
          <w:p>
            <w:pPr>
              <w:pStyle w:val="Normal"/>
              <w:tabs>
                <w:tab w:val="clear" w:pos="720"/>
                <w:tab w:val="right" w:pos="9360" w:leader="none"/>
              </w:tabs>
              <w:jc w:val="center"/>
              <w:rPr>
                <w:b/>
                <w:sz w:val="18"/>
              </w:rPr>
            </w:pPr>
            <w:r>
              <w:rPr>
                <w:b/>
                <w:sz w:val="18"/>
              </w:rPr>
              <w:t>Maximum Receipt</w:t>
            </w:r>
          </w:p>
          <w:p>
            <w:pPr>
              <w:pStyle w:val="Normal"/>
              <w:tabs>
                <w:tab w:val="clear" w:pos="720"/>
                <w:tab w:val="right" w:pos="9360" w:leader="none"/>
              </w:tabs>
              <w:jc w:val="center"/>
              <w:rPr>
                <w:b/>
                <w:sz w:val="18"/>
              </w:rPr>
            </w:pPr>
            <w:r>
              <w:rPr>
                <w:b/>
                <w:sz w:val="18"/>
              </w:rPr>
              <w:t>Pressure</w:t>
            </w:r>
          </w:p>
          <w:p>
            <w:pPr>
              <w:pStyle w:val="Normal"/>
              <w:tabs>
                <w:tab w:val="clear" w:pos="720"/>
                <w:tab w:val="right" w:pos="9360" w:leader="none"/>
              </w:tabs>
              <w:jc w:val="center"/>
              <w:rPr>
                <w:b/>
                <w:sz w:val="18"/>
              </w:rPr>
            </w:pPr>
            <w:r>
              <w:rPr>
                <w:b/>
                <w:sz w:val="18"/>
              </w:rPr>
              <w:t>p.s.i.g.</w:t>
            </w:r>
          </w:p>
        </w:tc>
      </w:tr>
      <w:tr>
        <w:trPr>
          <w:trHeight w:val="360" w:hRule="atLeast"/>
        </w:trPr>
        <w:tc>
          <w:tcPr>
            <w:tcW w:w="4518" w:type="dxa"/>
            <w:tcBorders>
              <w:start w:val="single" w:sz="12" w:space="0" w:color="808080"/>
              <w:bottom w:val="single" w:sz="12" w:space="0" w:color="808080"/>
            </w:tcBorders>
            <w:vAlign w:val="center"/>
          </w:tcPr>
          <w:p>
            <w:pPr>
              <w:pStyle w:val="Normal"/>
              <w:tabs>
                <w:tab w:val="clear" w:pos="720"/>
                <w:tab w:val="right" w:pos="9360" w:leader="none"/>
              </w:tabs>
              <w:jc w:val="center"/>
              <w:rPr>
                <w:sz w:val="18"/>
              </w:rPr>
            </w:pPr>
            <w:r>
              <w:rPr>
                <w:sz w:val="18"/>
              </w:rPr>
              <w:t>Existing WIC meter stations in §33-T33N-R73W, Converse County, Wyo.</w:t>
            </w:r>
          </w:p>
        </w:tc>
        <w:tc>
          <w:tcPr>
            <w:tcW w:w="2524" w:type="dxa"/>
            <w:tcBorders>
              <w:bottom w:val="single" w:sz="12" w:space="0" w:color="808080"/>
            </w:tcBorders>
            <w:vAlign w:val="center"/>
          </w:tcPr>
          <w:p>
            <w:pPr>
              <w:pStyle w:val="Normal"/>
              <w:tabs>
                <w:tab w:val="clear" w:pos="720"/>
                <w:tab w:val="right" w:pos="9360" w:leader="none"/>
              </w:tabs>
              <w:jc w:val="center"/>
              <w:rPr>
                <w:sz w:val="18"/>
              </w:rPr>
            </w:pPr>
            <w:r>
              <w:rPr>
                <w:sz w:val="18"/>
              </w:rPr>
              <w:t>Same as MDQ</w:t>
            </w:r>
          </w:p>
        </w:tc>
        <w:tc>
          <w:tcPr>
            <w:tcW w:w="2525" w:type="dxa"/>
            <w:tcBorders>
              <w:bottom w:val="single" w:sz="12" w:space="0" w:color="808080"/>
              <w:end w:val="single" w:sz="12" w:space="0" w:color="808080"/>
            </w:tcBorders>
            <w:vAlign w:val="center"/>
          </w:tcPr>
          <w:p>
            <w:pPr>
              <w:pStyle w:val="Normal"/>
              <w:tabs>
                <w:tab w:val="clear" w:pos="720"/>
                <w:tab w:val="right" w:pos="9360" w:leader="none"/>
              </w:tabs>
              <w:jc w:val="center"/>
              <w:rPr>
                <w:sz w:val="18"/>
              </w:rPr>
            </w:pPr>
            <w:r>
              <w:rPr>
                <w:sz w:val="18"/>
              </w:rPr>
              <w:t>(Note 3)</w:t>
            </w:r>
          </w:p>
        </w:tc>
      </w:tr>
    </w:tbl>
    <w:p>
      <w:pPr>
        <w:pStyle w:val="Normal"/>
        <w:tabs>
          <w:tab w:val="clear" w:pos="720"/>
          <w:tab w:val="right" w:pos="9360" w:leader="none"/>
        </w:tabs>
        <w:rPr/>
      </w:pPr>
      <w:r>
        <w:rPr/>
      </w:r>
    </w:p>
    <w:p>
      <w:pPr>
        <w:pStyle w:val="Normal"/>
        <w:tabs>
          <w:tab w:val="clear" w:pos="720"/>
          <w:tab w:val="right" w:pos="9360" w:leader="none"/>
        </w:tabs>
        <w:rPr/>
      </w:pPr>
      <w:r>
        <w:rPr/>
      </w:r>
    </w:p>
    <w:tbl>
      <w:tblPr>
        <w:tblW w:w="9567" w:type="dxa"/>
        <w:jc w:val="start"/>
        <w:tblInd w:w="0" w:type="dxa"/>
        <w:tblLayout w:type="fixed"/>
        <w:tblCellMar>
          <w:top w:w="0" w:type="dxa"/>
          <w:start w:w="108" w:type="dxa"/>
          <w:bottom w:w="0" w:type="dxa"/>
          <w:end w:w="108" w:type="dxa"/>
        </w:tblCellMar>
      </w:tblPr>
      <w:tblGrid>
        <w:gridCol w:w="4518"/>
        <w:gridCol w:w="2524"/>
        <w:gridCol w:w="2525"/>
      </w:tblGrid>
      <w:tr>
        <w:trPr/>
        <w:tc>
          <w:tcPr>
            <w:tcW w:w="4518" w:type="dxa"/>
            <w:tcBorders>
              <w:top w:val="single" w:sz="12" w:space="0" w:color="808080"/>
              <w:start w:val="single" w:sz="12" w:space="0" w:color="808080"/>
              <w:bottom w:val="single" w:sz="12" w:space="0" w:color="000000"/>
            </w:tcBorders>
            <w:vAlign w:val="bottom"/>
          </w:tcPr>
          <w:p>
            <w:pPr>
              <w:pStyle w:val="Normal"/>
              <w:tabs>
                <w:tab w:val="clear" w:pos="720"/>
                <w:tab w:val="right" w:pos="9360" w:leader="none"/>
              </w:tabs>
              <w:jc w:val="center"/>
              <w:rPr>
                <w:b/>
                <w:sz w:val="18"/>
              </w:rPr>
            </w:pPr>
            <w:r>
              <w:rPr>
                <w:b/>
                <w:sz w:val="18"/>
              </w:rPr>
              <w:t>Primary Point(s) of Delivery</w:t>
            </w:r>
          </w:p>
          <w:p>
            <w:pPr>
              <w:pStyle w:val="Normal"/>
              <w:tabs>
                <w:tab w:val="clear" w:pos="720"/>
                <w:tab w:val="right" w:pos="9360" w:leader="none"/>
              </w:tabs>
              <w:jc w:val="center"/>
              <w:rPr>
                <w:b/>
                <w:sz w:val="18"/>
              </w:rPr>
            </w:pPr>
            <w:r>
              <w:rPr>
                <w:b/>
                <w:sz w:val="18"/>
              </w:rPr>
              <w:t>(Note 1)</w:t>
            </w:r>
          </w:p>
        </w:tc>
        <w:tc>
          <w:tcPr>
            <w:tcW w:w="2524" w:type="dxa"/>
            <w:tcBorders>
              <w:top w:val="single" w:sz="12" w:space="0" w:color="808080"/>
              <w:bottom w:val="single" w:sz="12" w:space="0" w:color="000000"/>
            </w:tcBorders>
            <w:vAlign w:val="bottom"/>
          </w:tcPr>
          <w:p>
            <w:pPr>
              <w:pStyle w:val="Normal"/>
              <w:tabs>
                <w:tab w:val="clear" w:pos="720"/>
                <w:tab w:val="right" w:pos="9360" w:leader="none"/>
              </w:tabs>
              <w:jc w:val="center"/>
              <w:rPr>
                <w:b/>
                <w:sz w:val="18"/>
              </w:rPr>
            </w:pPr>
            <w:r>
              <w:rPr>
                <w:b/>
                <w:sz w:val="18"/>
              </w:rPr>
              <w:t>Primary Point(s) of</w:t>
            </w:r>
          </w:p>
          <w:p>
            <w:pPr>
              <w:pStyle w:val="Normal"/>
              <w:tabs>
                <w:tab w:val="clear" w:pos="720"/>
                <w:tab w:val="right" w:pos="9360" w:leader="none"/>
              </w:tabs>
              <w:jc w:val="center"/>
              <w:rPr>
                <w:b/>
                <w:sz w:val="18"/>
              </w:rPr>
            </w:pPr>
            <w:r>
              <w:rPr>
                <w:b/>
                <w:sz w:val="18"/>
              </w:rPr>
              <w:t>Delivery Quantity</w:t>
            </w:r>
          </w:p>
          <w:p>
            <w:pPr>
              <w:pStyle w:val="Normal"/>
              <w:tabs>
                <w:tab w:val="clear" w:pos="720"/>
                <w:tab w:val="right" w:pos="9360" w:leader="none"/>
              </w:tabs>
              <w:jc w:val="center"/>
              <w:rPr>
                <w:b/>
                <w:sz w:val="18"/>
              </w:rPr>
            </w:pPr>
            <w:r>
              <w:rPr>
                <w:b/>
                <w:sz w:val="18"/>
              </w:rPr>
              <w:t>(Dth per Day) (Note 3)</w:t>
            </w:r>
          </w:p>
        </w:tc>
        <w:tc>
          <w:tcPr>
            <w:tcW w:w="2525" w:type="dxa"/>
            <w:tcBorders>
              <w:top w:val="single" w:sz="12" w:space="0" w:color="808080"/>
              <w:bottom w:val="single" w:sz="12" w:space="0" w:color="000000"/>
              <w:end w:val="single" w:sz="12" w:space="0" w:color="808080"/>
            </w:tcBorders>
            <w:vAlign w:val="bottom"/>
          </w:tcPr>
          <w:p>
            <w:pPr>
              <w:pStyle w:val="Normal"/>
              <w:tabs>
                <w:tab w:val="clear" w:pos="720"/>
                <w:tab w:val="right" w:pos="9360" w:leader="none"/>
              </w:tabs>
              <w:jc w:val="center"/>
              <w:rPr>
                <w:b/>
                <w:sz w:val="18"/>
              </w:rPr>
            </w:pPr>
            <w:r>
              <w:rPr>
                <w:b/>
                <w:sz w:val="18"/>
              </w:rPr>
              <w:t>Maximum Delivery</w:t>
            </w:r>
          </w:p>
          <w:p>
            <w:pPr>
              <w:pStyle w:val="Normal"/>
              <w:tabs>
                <w:tab w:val="clear" w:pos="720"/>
                <w:tab w:val="right" w:pos="9360" w:leader="none"/>
              </w:tabs>
              <w:jc w:val="center"/>
              <w:rPr>
                <w:b/>
                <w:sz w:val="18"/>
              </w:rPr>
            </w:pPr>
            <w:r>
              <w:rPr>
                <w:b/>
                <w:sz w:val="18"/>
              </w:rPr>
              <w:t>Pressure</w:t>
            </w:r>
          </w:p>
          <w:p>
            <w:pPr>
              <w:pStyle w:val="Normal"/>
              <w:tabs>
                <w:tab w:val="clear" w:pos="720"/>
                <w:tab w:val="right" w:pos="9360" w:leader="none"/>
              </w:tabs>
              <w:jc w:val="center"/>
              <w:rPr>
                <w:b/>
                <w:sz w:val="18"/>
              </w:rPr>
            </w:pPr>
            <w:r>
              <w:rPr>
                <w:b/>
                <w:sz w:val="18"/>
              </w:rPr>
              <w:t>p.s.i.g.</w:t>
            </w:r>
          </w:p>
        </w:tc>
      </w:tr>
      <w:tr>
        <w:trPr>
          <w:trHeight w:val="360" w:hRule="atLeast"/>
        </w:trPr>
        <w:tc>
          <w:tcPr>
            <w:tcW w:w="4518" w:type="dxa"/>
            <w:tcBorders>
              <w:start w:val="single" w:sz="12" w:space="0" w:color="808080"/>
              <w:bottom w:val="single" w:sz="12" w:space="0" w:color="808080"/>
            </w:tcBorders>
            <w:vAlign w:val="center"/>
          </w:tcPr>
          <w:p>
            <w:pPr>
              <w:pStyle w:val="Normal"/>
              <w:tabs>
                <w:tab w:val="clear" w:pos="720"/>
                <w:tab w:val="right" w:pos="9360" w:leader="none"/>
              </w:tabs>
              <w:jc w:val="center"/>
              <w:rPr>
                <w:sz w:val="18"/>
              </w:rPr>
            </w:pPr>
            <w:r>
              <w:rPr>
                <w:sz w:val="18"/>
              </w:rPr>
              <w:t>(Note 4)</w:t>
            </w:r>
          </w:p>
        </w:tc>
        <w:tc>
          <w:tcPr>
            <w:tcW w:w="2524" w:type="dxa"/>
            <w:tcBorders>
              <w:bottom w:val="single" w:sz="12" w:space="0" w:color="808080"/>
            </w:tcBorders>
            <w:vAlign w:val="center"/>
          </w:tcPr>
          <w:p>
            <w:pPr>
              <w:pStyle w:val="Normal"/>
              <w:tabs>
                <w:tab w:val="clear" w:pos="720"/>
                <w:tab w:val="right" w:pos="9360" w:leader="none"/>
              </w:tabs>
              <w:jc w:val="center"/>
              <w:rPr>
                <w:sz w:val="18"/>
              </w:rPr>
            </w:pPr>
            <w:r>
              <w:rPr>
                <w:sz w:val="18"/>
              </w:rPr>
              <w:t>Same as MDQ</w:t>
            </w:r>
          </w:p>
        </w:tc>
        <w:tc>
          <w:tcPr>
            <w:tcW w:w="2525" w:type="dxa"/>
            <w:tcBorders>
              <w:bottom w:val="single" w:sz="12" w:space="0" w:color="808080"/>
              <w:end w:val="single" w:sz="12" w:space="0" w:color="808080"/>
            </w:tcBorders>
            <w:vAlign w:val="center"/>
          </w:tcPr>
          <w:p>
            <w:pPr>
              <w:pStyle w:val="Normal"/>
              <w:tabs>
                <w:tab w:val="clear" w:pos="720"/>
                <w:tab w:val="right" w:pos="9360" w:leader="none"/>
              </w:tabs>
              <w:jc w:val="center"/>
              <w:rPr>
                <w:sz w:val="18"/>
              </w:rPr>
            </w:pPr>
            <w:r>
              <w:rPr>
                <w:sz w:val="18"/>
              </w:rPr>
              <w:t>(Note 3)</w:t>
            </w:r>
          </w:p>
        </w:tc>
      </w:tr>
    </w:tbl>
    <w:p>
      <w:pPr>
        <w:pStyle w:val="Normal"/>
        <w:tabs>
          <w:tab w:val="clear" w:pos="720"/>
          <w:tab w:val="right" w:pos="9360" w:leader="none"/>
        </w:tabs>
        <w:rPr/>
      </w:pPr>
      <w:r>
        <w:rPr/>
      </w:r>
    </w:p>
    <w:p>
      <w:pPr>
        <w:pStyle w:val="Normal"/>
        <w:tabs>
          <w:tab w:val="clear" w:pos="720"/>
          <w:tab w:val="right" w:pos="9360" w:leader="none"/>
        </w:tabs>
        <w:rPr/>
      </w:pPr>
      <w:r>
        <w:rPr/>
      </w:r>
    </w:p>
    <w:p>
      <w:pPr>
        <w:pStyle w:val="Normal"/>
        <w:tabs>
          <w:tab w:val="clear" w:pos="720"/>
          <w:tab w:val="right" w:pos="9360" w:leader="none"/>
        </w:tabs>
        <w:rPr/>
      </w:pPr>
      <w:r>
        <w:rPr/>
      </w:r>
    </w:p>
    <w:p>
      <w:pPr>
        <w:pStyle w:val="Normal"/>
        <w:tabs>
          <w:tab w:val="clear" w:pos="720"/>
          <w:tab w:val="left" w:pos="360" w:leader="none"/>
          <w:tab w:val="right" w:pos="9360" w:leader="none"/>
        </w:tabs>
        <w:jc w:val="both"/>
        <w:rPr>
          <w:b/>
        </w:rPr>
      </w:pPr>
      <w:r>
        <w:rPr>
          <w:b/>
        </w:rPr>
        <w:t>NOTES:</w:t>
      </w:r>
    </w:p>
    <w:p>
      <w:pPr>
        <w:pStyle w:val="BodyTextIndent"/>
        <w:rPr>
          <w:sz w:val="20"/>
        </w:rPr>
      </w:pPr>
      <w:r>
        <w:rPr>
          <w:sz w:val="20"/>
        </w:rPr>
        <w:t>(1)</w:t>
        <w:tab/>
        <w:t>Information regarding Point(s) of Receipt and Point(s) of Delivery, including legal descriptions, measuring parties, and interconnecting parties shall be posted on Transporter's electronic bulletin board. Transporter shall update such information from time to time to include additions, deletions, or any other revisions deemed appropriate by Transporter.</w:t>
      </w:r>
    </w:p>
    <w:p>
      <w:pPr>
        <w:pStyle w:val="BodyTextIndent"/>
        <w:rPr>
          <w:sz w:val="20"/>
        </w:rPr>
      </w:pPr>
      <w:r>
        <w:rPr>
          <w:sz w:val="20"/>
        </w:rPr>
      </w:r>
    </w:p>
    <w:p>
      <w:pPr>
        <w:pStyle w:val="BodyTextIndent"/>
        <w:rPr>
          <w:sz w:val="20"/>
        </w:rPr>
      </w:pPr>
      <w:r>
        <w:rPr>
          <w:sz w:val="20"/>
        </w:rPr>
        <w:t>(2)</w:t>
        <w:tab/>
        <w:t>Each Point of Receipt Quantity may be increased by an amount equal to Transporter's FL&amp;U Percentage. Shipper shall be responsible for providing such FL&amp;U Percentage at each Point of Receipt on a pro rata basis based on the quantities received on any Day at a Point of Receipt divided by the total quantity delivered at all Point(s) of Delivery under this Agreement.</w:t>
      </w:r>
    </w:p>
    <w:p>
      <w:pPr>
        <w:pStyle w:val="BodyTextIndent"/>
        <w:rPr>
          <w:sz w:val="20"/>
        </w:rPr>
      </w:pPr>
      <w:r>
        <w:rPr>
          <w:sz w:val="20"/>
        </w:rPr>
      </w:r>
    </w:p>
    <w:p>
      <w:pPr>
        <w:pStyle w:val="Normal"/>
        <w:tabs>
          <w:tab w:val="clear" w:pos="720"/>
          <w:tab w:val="left" w:pos="360" w:leader="none"/>
        </w:tabs>
        <w:ind w:hanging="360" w:start="360" w:end="0"/>
        <w:jc w:val="both"/>
        <w:rPr/>
      </w:pPr>
      <w:r>
        <w:rPr/>
        <w:t>(3)</w:t>
        <w:tab/>
        <w:t>Gas tendered to Transporter shall be at a pressure sufficient to enter the Loop up to the maximum allowable operating pressure of the Loop, but such pressure requirement shall not exceed 1,015 pounds per square inch gage (p.s.i.g.).</w:t>
      </w:r>
    </w:p>
    <w:p>
      <w:pPr>
        <w:pStyle w:val="Normal"/>
        <w:tabs>
          <w:tab w:val="clear" w:pos="720"/>
          <w:tab w:val="left" w:pos="360" w:leader="none"/>
        </w:tabs>
        <w:ind w:hanging="360" w:start="360" w:end="0"/>
        <w:jc w:val="both"/>
        <w:rPr/>
      </w:pPr>
      <w:r>
        <w:rPr/>
      </w:r>
    </w:p>
    <w:p>
      <w:pPr>
        <w:pStyle w:val="Normal"/>
        <w:tabs>
          <w:tab w:val="clear" w:pos="720"/>
          <w:tab w:val="left" w:pos="360" w:leader="none"/>
        </w:tabs>
        <w:ind w:hanging="360" w:start="360" w:end="0"/>
        <w:jc w:val="both"/>
        <w:rPr/>
      </w:pPr>
      <w:r>
        <w:rPr/>
        <w:t>(4)</w:t>
        <w:tab/>
        <w:t>The Primary Point of Delivery shall be the terminus of Transporter’s system at its Cheyenne compressor station, at no additional cost into interconnections with Public Service Company of Colorado (Owl Creek and Little Wolf), Trailblazer Pipeline Company (Dullknife), KN Interstate Gas Transmission Company (Rockport), or Colorado Interstate Gas Company (Dover).</w:t>
      </w:r>
    </w:p>
    <w:p>
      <w:pPr>
        <w:sectPr>
          <w:headerReference w:type="default" r:id="rId8"/>
          <w:footerReference w:type="default" r:id="rId9"/>
          <w:type w:val="nextPage"/>
          <w:pgSz w:w="12240" w:h="15840"/>
          <w:pgMar w:left="1440" w:right="1440" w:gutter="0" w:header="720" w:top="776" w:footer="720" w:bottom="776"/>
          <w:pgNumType w:start="1" w:fmt="decimal"/>
          <w:formProt w:val="false"/>
          <w:textDirection w:val="lrTb"/>
          <w:docGrid w:type="default" w:linePitch="360" w:charSpace="0"/>
        </w:sectPr>
        <w:pStyle w:val="BodyText"/>
        <w:tabs>
          <w:tab w:val="clear" w:pos="450"/>
          <w:tab w:val="left" w:pos="360" w:leader="none"/>
          <w:tab w:val="right" w:pos="9360" w:leader="none"/>
        </w:tabs>
        <w:ind w:hanging="360" w:start="360" w:end="0"/>
        <w:jc w:val="both"/>
        <w:rPr>
          <w:sz w:val="20"/>
        </w:rPr>
      </w:pPr>
      <w:r>
        <w:rPr>
          <w:sz w:val="20"/>
        </w:rPr>
      </w:r>
    </w:p>
    <w:p>
      <w:pPr>
        <w:pStyle w:val="Heading1"/>
        <w:ind w:hanging="0" w:start="0"/>
        <w:rPr>
          <w:sz w:val="20"/>
        </w:rPr>
      </w:pPr>
      <w:r>
        <w:rPr>
          <w:sz w:val="20"/>
        </w:rPr>
      </w:r>
    </w:p>
    <w:p>
      <w:pPr>
        <w:pStyle w:val="Heading1"/>
        <w:ind w:hanging="0" w:start="0"/>
        <w:rPr/>
      </w:pPr>
      <w:r>
        <w:rPr/>
      </w:r>
    </w:p>
    <w:p>
      <w:pPr>
        <w:pStyle w:val="Heading1"/>
        <w:ind w:hanging="0" w:start="0"/>
        <w:rPr/>
      </w:pPr>
      <w:r>
        <w:rPr/>
        <w:t>Exhibit “B”</w:t>
      </w:r>
    </w:p>
    <w:p>
      <w:pPr>
        <w:pStyle w:val="Heading4"/>
        <w:ind w:hanging="0" w:start="0"/>
        <w:rPr/>
      </w:pPr>
      <w:r>
        <w:rPr/>
      </w:r>
    </w:p>
    <w:p>
      <w:pPr>
        <w:pStyle w:val="Normal"/>
        <w:tabs>
          <w:tab w:val="clear" w:pos="720"/>
          <w:tab w:val="right" w:pos="9360" w:leader="none"/>
        </w:tabs>
        <w:jc w:val="center"/>
        <w:rPr>
          <w:sz w:val="24"/>
        </w:rPr>
      </w:pPr>
      <w:r>
        <w:rPr>
          <w:sz w:val="24"/>
        </w:rPr>
        <w:t>Firm Transportation Service Agreement</w:t>
      </w:r>
    </w:p>
    <w:p>
      <w:pPr>
        <w:pStyle w:val="Normal"/>
        <w:tabs>
          <w:tab w:val="clear" w:pos="720"/>
          <w:tab w:val="right" w:pos="9360" w:leader="none"/>
        </w:tabs>
        <w:jc w:val="center"/>
        <w:rPr>
          <w:sz w:val="22"/>
        </w:rPr>
      </w:pPr>
      <w:r>
        <w:rPr>
          <w:sz w:val="24"/>
        </w:rPr>
        <w:t>between</w:t>
      </w:r>
    </w:p>
    <w:p>
      <w:pPr>
        <w:pStyle w:val="Heading2"/>
        <w:ind w:hanging="0" w:start="0"/>
        <w:rPr>
          <w:sz w:val="28"/>
        </w:rPr>
      </w:pPr>
      <w:r>
        <w:rPr>
          <w:sz w:val="28"/>
        </w:rPr>
        <w:t>Wyoming Interstate Company, Ltd.</w:t>
      </w:r>
    </w:p>
    <w:p>
      <w:pPr>
        <w:pStyle w:val="Normal"/>
        <w:tabs>
          <w:tab w:val="clear" w:pos="720"/>
          <w:tab w:val="right" w:pos="9360" w:leader="none"/>
        </w:tabs>
        <w:jc w:val="center"/>
        <w:rPr>
          <w:sz w:val="24"/>
        </w:rPr>
      </w:pPr>
      <w:r>
        <w:rPr>
          <w:sz w:val="24"/>
        </w:rPr>
        <w:t>and</w:t>
      </w:r>
    </w:p>
    <w:p>
      <w:pPr>
        <w:pStyle w:val="Normal"/>
        <w:tabs>
          <w:tab w:val="clear" w:pos="720"/>
          <w:tab w:val="right" w:pos="9360" w:leader="none"/>
        </w:tabs>
        <w:jc w:val="center"/>
        <w:rPr>
          <w:b/>
          <w:sz w:val="28"/>
        </w:rPr>
      </w:pPr>
      <w:r>
        <w:rPr>
          <w:b/>
          <w:sz w:val="28"/>
        </w:rPr>
        <w:t>Enron North America Corp.</w:t>
      </w:r>
    </w:p>
    <w:p>
      <w:pPr>
        <w:pStyle w:val="Normal"/>
        <w:tabs>
          <w:tab w:val="clear" w:pos="720"/>
          <w:tab w:val="right" w:pos="9360" w:leader="none"/>
        </w:tabs>
        <w:jc w:val="center"/>
        <w:rPr>
          <w:b/>
          <w:sz w:val="22"/>
        </w:rPr>
      </w:pPr>
      <w:r>
        <w:rPr>
          <w:b/>
          <w:sz w:val="22"/>
        </w:rPr>
      </w:r>
    </w:p>
    <w:p>
      <w:pPr>
        <w:pStyle w:val="Normal"/>
        <w:tabs>
          <w:tab w:val="clear" w:pos="720"/>
          <w:tab w:val="right" w:pos="9360" w:leader="none"/>
        </w:tabs>
        <w:jc w:val="center"/>
        <w:rPr/>
      </w:pPr>
      <w:r>
        <w:rPr>
          <w:sz w:val="24"/>
        </w:rPr>
        <w:t xml:space="preserve">Dated: </w:t>
      </w:r>
      <w:r>
        <w:rPr>
          <w:b/>
          <w:sz w:val="24"/>
        </w:rPr>
        <w:t>July 10, 2000</w:t>
      </w:r>
    </w:p>
    <w:p>
      <w:pPr>
        <w:pStyle w:val="Normal"/>
        <w:tabs>
          <w:tab w:val="clear" w:pos="720"/>
          <w:tab w:val="right" w:pos="9360" w:leader="none"/>
        </w:tabs>
        <w:jc w:val="center"/>
        <w:rPr>
          <w:b/>
          <w:sz w:val="24"/>
        </w:rPr>
      </w:pPr>
      <w:r>
        <w:rPr>
          <w:b/>
          <w:sz w:val="24"/>
        </w:rPr>
      </w:r>
    </w:p>
    <w:p>
      <w:pPr>
        <w:pStyle w:val="Normal"/>
        <w:tabs>
          <w:tab w:val="clear" w:pos="720"/>
          <w:tab w:val="right" w:pos="9360" w:leader="none"/>
        </w:tabs>
        <w:jc w:val="center"/>
        <w:rPr>
          <w:b/>
          <w:sz w:val="18"/>
        </w:rPr>
      </w:pPr>
      <w:r>
        <w:rPr>
          <w:b/>
          <w:sz w:val="18"/>
        </w:rPr>
      </w:r>
    </w:p>
    <w:tbl>
      <w:tblPr>
        <w:tblW w:w="9564" w:type="dxa"/>
        <w:jc w:val="start"/>
        <w:tblInd w:w="0" w:type="dxa"/>
        <w:tblLayout w:type="fixed"/>
        <w:tblCellMar>
          <w:top w:w="0" w:type="dxa"/>
          <w:start w:w="108" w:type="dxa"/>
          <w:bottom w:w="0" w:type="dxa"/>
          <w:end w:w="108" w:type="dxa"/>
        </w:tblCellMar>
      </w:tblPr>
      <w:tblGrid>
        <w:gridCol w:w="1594"/>
        <w:gridCol w:w="1594"/>
        <w:gridCol w:w="1594"/>
        <w:gridCol w:w="1896"/>
        <w:gridCol w:w="1530"/>
        <w:gridCol w:w="1356"/>
      </w:tblGrid>
      <w:tr>
        <w:trPr/>
        <w:tc>
          <w:tcPr>
            <w:tcW w:w="1594" w:type="dxa"/>
            <w:tcBorders>
              <w:top w:val="single" w:sz="12" w:space="0" w:color="808080"/>
              <w:start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Primary Point(s) of Receipt</w:t>
            </w:r>
          </w:p>
        </w:tc>
        <w:tc>
          <w:tcPr>
            <w:tcW w:w="1594"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Primary Point(s) of Delivery</w:t>
            </w:r>
          </w:p>
        </w:tc>
        <w:tc>
          <w:tcPr>
            <w:tcW w:w="1594"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Negotiated Rate(s)</w:t>
            </w:r>
          </w:p>
        </w:tc>
        <w:tc>
          <w:tcPr>
            <w:tcW w:w="1896"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Term of Rate</w:t>
            </w:r>
          </w:p>
        </w:tc>
        <w:tc>
          <w:tcPr>
            <w:tcW w:w="1530"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FL&amp;U</w:t>
            </w:r>
          </w:p>
          <w:p>
            <w:pPr>
              <w:pStyle w:val="BodyText"/>
              <w:tabs>
                <w:tab w:val="clear" w:pos="450"/>
                <w:tab w:val="left" w:pos="360" w:leader="none"/>
                <w:tab w:val="right" w:pos="9360" w:leader="none"/>
              </w:tabs>
              <w:jc w:val="center"/>
              <w:rPr>
                <w:b/>
                <w:sz w:val="18"/>
              </w:rPr>
            </w:pPr>
            <w:r>
              <w:rPr>
                <w:b/>
                <w:sz w:val="18"/>
              </w:rPr>
              <w:t>Percentage</w:t>
            </w:r>
          </w:p>
        </w:tc>
        <w:tc>
          <w:tcPr>
            <w:tcW w:w="1356" w:type="dxa"/>
            <w:tcBorders>
              <w:top w:val="single" w:sz="12" w:space="0" w:color="808080"/>
              <w:bottom w:val="single" w:sz="12" w:space="0" w:color="000000"/>
              <w:end w:val="single" w:sz="12" w:space="0" w:color="808080"/>
            </w:tcBorders>
            <w:vAlign w:val="bottom"/>
          </w:tcPr>
          <w:p>
            <w:pPr>
              <w:pStyle w:val="BodyText"/>
              <w:tabs>
                <w:tab w:val="clear" w:pos="450"/>
                <w:tab w:val="left" w:pos="360" w:leader="none"/>
                <w:tab w:val="right" w:pos="9360" w:leader="none"/>
              </w:tabs>
              <w:jc w:val="center"/>
              <w:rPr>
                <w:b/>
                <w:sz w:val="18"/>
              </w:rPr>
            </w:pPr>
            <w:r>
              <w:rPr>
                <w:b/>
                <w:sz w:val="18"/>
              </w:rPr>
              <w:t>Surcharges</w:t>
            </w:r>
          </w:p>
        </w:tc>
      </w:tr>
      <w:tr>
        <w:trPr>
          <w:trHeight w:val="560" w:hRule="atLeast"/>
        </w:trPr>
        <w:tc>
          <w:tcPr>
            <w:tcW w:w="1594" w:type="dxa"/>
            <w:tcBorders>
              <w:start w:val="single" w:sz="12" w:space="0" w:color="808080"/>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As listed on Exhibit "A"</w:t>
            </w:r>
          </w:p>
        </w:tc>
        <w:tc>
          <w:tcPr>
            <w:tcW w:w="1594"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As listed on Exhibit "A"</w:t>
            </w:r>
          </w:p>
        </w:tc>
        <w:tc>
          <w:tcPr>
            <w:tcW w:w="1594" w:type="dxa"/>
            <w:tcBorders>
              <w:bottom w:val="single" w:sz="12" w:space="0" w:color="808080"/>
            </w:tcBorders>
            <w:vAlign w:val="center"/>
          </w:tcPr>
          <w:p>
            <w:pPr>
              <w:pStyle w:val="BodyText"/>
              <w:tabs>
                <w:tab w:val="clear" w:pos="360"/>
                <w:tab w:val="clear" w:pos="450"/>
                <w:tab w:val="right" w:pos="9360" w:leader="none"/>
              </w:tabs>
              <w:jc w:val="center"/>
              <w:rPr>
                <w:sz w:val="18"/>
              </w:rPr>
            </w:pPr>
            <w:r>
              <w:rPr>
                <w:sz w:val="18"/>
              </w:rPr>
              <w:t>(Note 1)</w:t>
            </w:r>
          </w:p>
        </w:tc>
        <w:tc>
          <w:tcPr>
            <w:tcW w:w="1896"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2 years from Loop In-Service Date</w:t>
            </w:r>
          </w:p>
        </w:tc>
        <w:tc>
          <w:tcPr>
            <w:tcW w:w="1530"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(Note 3)</w:t>
            </w:r>
          </w:p>
        </w:tc>
        <w:tc>
          <w:tcPr>
            <w:tcW w:w="1356" w:type="dxa"/>
            <w:tcBorders>
              <w:bottom w:val="single" w:sz="12" w:space="0" w:color="808080"/>
              <w:end w:val="single" w:sz="12" w:space="0" w:color="808080"/>
            </w:tcBorders>
            <w:vAlign w:val="center"/>
          </w:tcPr>
          <w:p>
            <w:pPr>
              <w:pStyle w:val="BodyText"/>
              <w:tabs>
                <w:tab w:val="clear" w:pos="450"/>
                <w:tab w:val="left" w:pos="360" w:leader="none"/>
                <w:tab w:val="right" w:pos="9360" w:leader="none"/>
              </w:tabs>
              <w:jc w:val="center"/>
              <w:rPr>
                <w:sz w:val="18"/>
              </w:rPr>
            </w:pPr>
            <w:r>
              <w:rPr>
                <w:sz w:val="18"/>
              </w:rPr>
              <w:t>(Note 4)</w:t>
            </w:r>
          </w:p>
        </w:tc>
      </w:tr>
    </w:tbl>
    <w:p>
      <w:pPr>
        <w:pStyle w:val="BodyText"/>
        <w:tabs>
          <w:tab w:val="clear" w:pos="450"/>
          <w:tab w:val="left" w:pos="360" w:leader="none"/>
          <w:tab w:val="right" w:pos="9360" w:leader="none"/>
        </w:tabs>
        <w:ind w:hanging="360" w:start="360" w:end="0"/>
        <w:rPr>
          <w:sz w:val="18"/>
        </w:rPr>
      </w:pPr>
      <w:r>
        <w:rPr>
          <w:sz w:val="18"/>
        </w:rPr>
      </w:r>
    </w:p>
    <w:p>
      <w:pPr>
        <w:pStyle w:val="BodyText"/>
        <w:tabs>
          <w:tab w:val="clear" w:pos="450"/>
          <w:tab w:val="left" w:pos="360" w:leader="none"/>
          <w:tab w:val="right" w:pos="9360" w:leader="none"/>
        </w:tabs>
        <w:ind w:hanging="360" w:start="360" w:end="0"/>
        <w:rPr>
          <w:sz w:val="18"/>
        </w:rPr>
      </w:pPr>
      <w:r>
        <w:rPr>
          <w:sz w:val="18"/>
        </w:rPr>
      </w:r>
    </w:p>
    <w:p>
      <w:pPr>
        <w:pStyle w:val="BodyText"/>
        <w:tabs>
          <w:tab w:val="clear" w:pos="450"/>
          <w:tab w:val="left" w:pos="360" w:leader="none"/>
          <w:tab w:val="right" w:pos="9360" w:leader="none"/>
        </w:tabs>
        <w:ind w:hanging="360" w:start="360" w:end="0"/>
        <w:rPr>
          <w:sz w:val="18"/>
        </w:rPr>
      </w:pPr>
      <w:r>
        <w:rPr>
          <w:sz w:val="18"/>
        </w:rPr>
      </w:r>
    </w:p>
    <w:tbl>
      <w:tblPr>
        <w:tblW w:w="9564" w:type="dxa"/>
        <w:jc w:val="start"/>
        <w:tblInd w:w="0" w:type="dxa"/>
        <w:tblLayout w:type="fixed"/>
        <w:tblCellMar>
          <w:top w:w="0" w:type="dxa"/>
          <w:start w:w="108" w:type="dxa"/>
          <w:bottom w:w="0" w:type="dxa"/>
          <w:end w:w="108" w:type="dxa"/>
        </w:tblCellMar>
      </w:tblPr>
      <w:tblGrid>
        <w:gridCol w:w="1594"/>
        <w:gridCol w:w="1594"/>
        <w:gridCol w:w="1594"/>
        <w:gridCol w:w="1896"/>
        <w:gridCol w:w="1530"/>
        <w:gridCol w:w="1356"/>
      </w:tblGrid>
      <w:tr>
        <w:trPr/>
        <w:tc>
          <w:tcPr>
            <w:tcW w:w="1594" w:type="dxa"/>
            <w:tcBorders>
              <w:top w:val="single" w:sz="12" w:space="0" w:color="808080"/>
              <w:start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Secondary Point(s) of Receipt</w:t>
            </w:r>
          </w:p>
        </w:tc>
        <w:tc>
          <w:tcPr>
            <w:tcW w:w="1594"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Secondary Point(s) of Delivery</w:t>
            </w:r>
          </w:p>
        </w:tc>
        <w:tc>
          <w:tcPr>
            <w:tcW w:w="1594"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Reservation and Commodity Rate(s)</w:t>
            </w:r>
          </w:p>
        </w:tc>
        <w:tc>
          <w:tcPr>
            <w:tcW w:w="1896"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Term of Rate</w:t>
            </w:r>
          </w:p>
        </w:tc>
        <w:tc>
          <w:tcPr>
            <w:tcW w:w="1530" w:type="dxa"/>
            <w:tcBorders>
              <w:top w:val="single" w:sz="12" w:space="0" w:color="808080"/>
              <w:bottom w:val="single" w:sz="12" w:space="0" w:color="000000"/>
            </w:tcBorders>
            <w:vAlign w:val="bottom"/>
          </w:tcPr>
          <w:p>
            <w:pPr>
              <w:pStyle w:val="BodyText"/>
              <w:tabs>
                <w:tab w:val="clear" w:pos="450"/>
                <w:tab w:val="left" w:pos="360" w:leader="none"/>
                <w:tab w:val="right" w:pos="9360" w:leader="none"/>
              </w:tabs>
              <w:jc w:val="center"/>
              <w:rPr>
                <w:b/>
                <w:sz w:val="18"/>
              </w:rPr>
            </w:pPr>
            <w:r>
              <w:rPr>
                <w:b/>
                <w:sz w:val="18"/>
              </w:rPr>
              <w:t>FL&amp;U</w:t>
            </w:r>
          </w:p>
          <w:p>
            <w:pPr>
              <w:pStyle w:val="BodyText"/>
              <w:tabs>
                <w:tab w:val="clear" w:pos="450"/>
                <w:tab w:val="left" w:pos="360" w:leader="none"/>
                <w:tab w:val="right" w:pos="9360" w:leader="none"/>
              </w:tabs>
              <w:jc w:val="center"/>
              <w:rPr>
                <w:b/>
                <w:sz w:val="18"/>
              </w:rPr>
            </w:pPr>
            <w:r>
              <w:rPr>
                <w:b/>
                <w:sz w:val="18"/>
              </w:rPr>
              <w:t>Percentage</w:t>
            </w:r>
          </w:p>
        </w:tc>
        <w:tc>
          <w:tcPr>
            <w:tcW w:w="1356" w:type="dxa"/>
            <w:tcBorders>
              <w:top w:val="single" w:sz="12" w:space="0" w:color="808080"/>
              <w:bottom w:val="single" w:sz="12" w:space="0" w:color="000000"/>
              <w:end w:val="single" w:sz="12" w:space="0" w:color="808080"/>
            </w:tcBorders>
            <w:vAlign w:val="bottom"/>
          </w:tcPr>
          <w:p>
            <w:pPr>
              <w:pStyle w:val="BodyText"/>
              <w:tabs>
                <w:tab w:val="clear" w:pos="450"/>
                <w:tab w:val="left" w:pos="360" w:leader="none"/>
                <w:tab w:val="right" w:pos="9360" w:leader="none"/>
              </w:tabs>
              <w:jc w:val="center"/>
              <w:rPr>
                <w:b/>
                <w:sz w:val="18"/>
              </w:rPr>
            </w:pPr>
            <w:r>
              <w:rPr>
                <w:b/>
                <w:sz w:val="18"/>
              </w:rPr>
              <w:t>Surcharges</w:t>
            </w:r>
          </w:p>
        </w:tc>
      </w:tr>
      <w:tr>
        <w:trPr>
          <w:trHeight w:val="560" w:hRule="atLeast"/>
        </w:trPr>
        <w:tc>
          <w:tcPr>
            <w:tcW w:w="1594" w:type="dxa"/>
            <w:tcBorders>
              <w:start w:val="single" w:sz="12" w:space="0" w:color="808080"/>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All other Points of Receipt</w:t>
            </w:r>
          </w:p>
        </w:tc>
        <w:tc>
          <w:tcPr>
            <w:tcW w:w="1594"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All other Points of Delivery</w:t>
            </w:r>
          </w:p>
        </w:tc>
        <w:tc>
          <w:tcPr>
            <w:tcW w:w="1594" w:type="dxa"/>
            <w:tcBorders>
              <w:bottom w:val="single" w:sz="12" w:space="0" w:color="808080"/>
            </w:tcBorders>
            <w:vAlign w:val="center"/>
          </w:tcPr>
          <w:p>
            <w:pPr>
              <w:pStyle w:val="BodyText"/>
              <w:tabs>
                <w:tab w:val="clear" w:pos="360"/>
                <w:tab w:val="clear" w:pos="450"/>
                <w:tab w:val="right" w:pos="9360" w:leader="none"/>
              </w:tabs>
              <w:jc w:val="center"/>
              <w:rPr>
                <w:sz w:val="18"/>
              </w:rPr>
            </w:pPr>
            <w:r>
              <w:rPr>
                <w:sz w:val="18"/>
              </w:rPr>
              <w:t>(Note 2)</w:t>
            </w:r>
          </w:p>
        </w:tc>
        <w:tc>
          <w:tcPr>
            <w:tcW w:w="1896"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2 years from Loop In-Service Date</w:t>
            </w:r>
          </w:p>
        </w:tc>
        <w:tc>
          <w:tcPr>
            <w:tcW w:w="1530" w:type="dxa"/>
            <w:tcBorders>
              <w:bottom w:val="single" w:sz="12" w:space="0" w:color="808080"/>
            </w:tcBorders>
            <w:vAlign w:val="center"/>
          </w:tcPr>
          <w:p>
            <w:pPr>
              <w:pStyle w:val="BodyText"/>
              <w:tabs>
                <w:tab w:val="clear" w:pos="450"/>
                <w:tab w:val="left" w:pos="360" w:leader="none"/>
                <w:tab w:val="right" w:pos="9360" w:leader="none"/>
              </w:tabs>
              <w:jc w:val="center"/>
              <w:rPr>
                <w:sz w:val="18"/>
              </w:rPr>
            </w:pPr>
            <w:r>
              <w:rPr>
                <w:sz w:val="18"/>
              </w:rPr>
              <w:t>(Note 1)</w:t>
            </w:r>
          </w:p>
        </w:tc>
        <w:tc>
          <w:tcPr>
            <w:tcW w:w="1356" w:type="dxa"/>
            <w:tcBorders>
              <w:bottom w:val="single" w:sz="12" w:space="0" w:color="808080"/>
              <w:end w:val="single" w:sz="12" w:space="0" w:color="808080"/>
            </w:tcBorders>
            <w:vAlign w:val="center"/>
          </w:tcPr>
          <w:p>
            <w:pPr>
              <w:pStyle w:val="BodyText"/>
              <w:tabs>
                <w:tab w:val="clear" w:pos="450"/>
                <w:tab w:val="left" w:pos="360" w:leader="none"/>
                <w:tab w:val="right" w:pos="9360" w:leader="none"/>
              </w:tabs>
              <w:jc w:val="center"/>
              <w:rPr>
                <w:sz w:val="18"/>
              </w:rPr>
            </w:pPr>
            <w:r>
              <w:rPr>
                <w:sz w:val="18"/>
              </w:rPr>
              <w:t>(Note 1)</w:t>
            </w:r>
          </w:p>
        </w:tc>
      </w:tr>
    </w:tbl>
    <w:p>
      <w:pPr>
        <w:pStyle w:val="BodyText"/>
        <w:tabs>
          <w:tab w:val="clear" w:pos="450"/>
          <w:tab w:val="left" w:pos="360" w:leader="none"/>
          <w:tab w:val="right" w:pos="9360" w:leader="none"/>
        </w:tabs>
        <w:ind w:hanging="360" w:start="360" w:end="0"/>
        <w:rPr>
          <w:sz w:val="18"/>
        </w:rPr>
      </w:pPr>
      <w:r>
        <w:rPr>
          <w:sz w:val="18"/>
        </w:rPr>
      </w:r>
    </w:p>
    <w:p>
      <w:pPr>
        <w:pStyle w:val="BodyText"/>
        <w:tabs>
          <w:tab w:val="clear" w:pos="450"/>
          <w:tab w:val="left" w:pos="360" w:leader="none"/>
          <w:tab w:val="right" w:pos="9360" w:leader="none"/>
        </w:tabs>
        <w:ind w:hanging="360" w:start="360" w:end="0"/>
        <w:rPr>
          <w:sz w:val="18"/>
        </w:rPr>
      </w:pPr>
      <w:r>
        <w:rPr>
          <w:sz w:val="18"/>
        </w:rPr>
      </w:r>
    </w:p>
    <w:p>
      <w:pPr>
        <w:pStyle w:val="Normal"/>
        <w:tabs>
          <w:tab w:val="clear" w:pos="720"/>
          <w:tab w:val="left" w:pos="360" w:leader="none"/>
          <w:tab w:val="right" w:pos="9360" w:leader="none"/>
        </w:tabs>
        <w:rPr>
          <w:b/>
        </w:rPr>
      </w:pPr>
      <w:r>
        <w:rPr>
          <w:b/>
        </w:rPr>
        <w:t>NOTES:</w:t>
      </w:r>
    </w:p>
    <w:p>
      <w:pPr>
        <w:pStyle w:val="BodyTextIndent3"/>
        <w:rPr/>
      </w:pPr>
      <w:r>
        <w:rPr/>
        <w:t>(1)</w:t>
        <w:tab/>
        <w:t>The rate shall be 17 cents per Dth plus FL&amp;U and applicable surcharges, and shall be payable only on volumes actually transported.</w:t>
      </w:r>
    </w:p>
    <w:p>
      <w:pPr>
        <w:pStyle w:val="BodyTextIndent3"/>
        <w:rPr/>
      </w:pPr>
      <w:r>
        <w:rPr/>
      </w:r>
    </w:p>
    <w:p>
      <w:pPr>
        <w:pStyle w:val="BodyTextIndent3"/>
        <w:rPr/>
      </w:pPr>
      <w:r>
        <w:rPr/>
        <w:t>(2)</w:t>
        <w:tab/>
        <w:t>Unless otherwise agreed by the Parties in writing, the rates for service hereunder shall be Transporter’s maximum rate for service under Rate Schedule FT, or other superseding Rate Schedule, as such rates may be changed from time to time. All entitlement, or quantities scheduled by Transporter, to be Delivered from Point(s) of Receipt on the Loop to the WIC mainline or other portions of the WIC system, shall be subject to the appropriate Incremental Reservation Rate.</w:t>
      </w:r>
    </w:p>
    <w:p>
      <w:pPr>
        <w:pStyle w:val="Normal"/>
        <w:tabs>
          <w:tab w:val="clear" w:pos="720"/>
          <w:tab w:val="left" w:pos="360" w:leader="none"/>
        </w:tabs>
        <w:ind w:hanging="360" w:start="360" w:end="0"/>
        <w:jc w:val="both"/>
        <w:rPr/>
      </w:pPr>
      <w:r>
        <w:rPr/>
      </w:r>
    </w:p>
    <w:p>
      <w:pPr>
        <w:pStyle w:val="BodyText"/>
        <w:tabs>
          <w:tab w:val="clear" w:pos="450"/>
          <w:tab w:val="left" w:pos="360" w:leader="none"/>
          <w:tab w:val="right" w:pos="9360" w:leader="none"/>
        </w:tabs>
        <w:ind w:hanging="360" w:start="360" w:end="0"/>
        <w:jc w:val="both"/>
        <w:rPr>
          <w:sz w:val="20"/>
        </w:rPr>
      </w:pPr>
      <w:r>
        <w:rPr>
          <w:sz w:val="20"/>
        </w:rPr>
        <w:t>(3)</w:t>
        <w:tab/>
        <w:t>FL&amp;U Percentage shall be as stated on Transporter’s Schedule of Rates to be Charged in the Tariff, as they may be changed from time to time, unless otherwise agreed between the Parties.</w:t>
      </w:r>
    </w:p>
    <w:p>
      <w:pPr>
        <w:pStyle w:val="Normal"/>
        <w:tabs>
          <w:tab w:val="left" w:pos="360" w:leader="none"/>
          <w:tab w:val="left" w:pos="720" w:leader="none"/>
        </w:tabs>
        <w:ind w:hanging="360" w:start="360" w:end="0"/>
        <w:jc w:val="both"/>
        <w:rPr>
          <w:sz w:val="20"/>
        </w:rPr>
      </w:pPr>
      <w:r>
        <w:rPr>
          <w:sz w:val="20"/>
        </w:rPr>
      </w:r>
    </w:p>
    <w:p>
      <w:pPr>
        <w:pStyle w:val="Normal"/>
        <w:tabs>
          <w:tab w:val="left" w:pos="360" w:leader="none"/>
          <w:tab w:val="left" w:pos="720" w:leader="none"/>
        </w:tabs>
        <w:ind w:hanging="360" w:start="360" w:end="0"/>
        <w:jc w:val="both"/>
        <w:rPr/>
      </w:pPr>
      <w:r>
        <w:rPr/>
        <w:t>(4)</w:t>
        <w:tab/>
        <w:t>Surcharges, If Applicable:</w:t>
      </w:r>
    </w:p>
    <w:p>
      <w:pPr>
        <w:pStyle w:val="BodyTextIndent2"/>
        <w:rPr/>
      </w:pPr>
      <w:r>
        <w:rPr>
          <w:sz w:val="18"/>
        </w:rPr>
        <w:tab/>
        <w:tab/>
      </w:r>
      <w:r>
        <w:rPr>
          <w:sz w:val="20"/>
        </w:rPr>
        <w:t>All applicable surcharges, unless otherwise specified, shall be the maximum surcharge rate as stated in the Schedule of Rates to be Charged in the Tariff, as they may be changed from time to time, unless otherwise agreed to by the Parties.</w:t>
      </w:r>
    </w:p>
    <w:p>
      <w:pPr>
        <w:pStyle w:val="Normal"/>
        <w:tabs>
          <w:tab w:val="left" w:pos="360" w:leader="none"/>
          <w:tab w:val="left" w:pos="720" w:leader="none"/>
        </w:tabs>
        <w:ind w:hanging="360" w:start="360" w:end="0"/>
        <w:jc w:val="both"/>
        <w:rPr>
          <w:sz w:val="20"/>
        </w:rPr>
      </w:pPr>
      <w:r>
        <w:rPr>
          <w:sz w:val="20"/>
        </w:rPr>
      </w:r>
    </w:p>
    <w:p>
      <w:pPr>
        <w:pStyle w:val="Normal"/>
        <w:tabs>
          <w:tab w:val="left" w:pos="360" w:leader="none"/>
          <w:tab w:val="left" w:pos="720" w:leader="none"/>
        </w:tabs>
        <w:ind w:hanging="360" w:start="360" w:end="0"/>
        <w:jc w:val="both"/>
        <w:rPr>
          <w:b/>
        </w:rPr>
      </w:pPr>
      <w:r>
        <w:rPr>
          <w:b/>
        </w:rPr>
        <w:tab/>
        <w:t>GRI:</w:t>
      </w:r>
    </w:p>
    <w:p>
      <w:pPr>
        <w:pStyle w:val="BodyTextIndent2"/>
        <w:rPr>
          <w:sz w:val="20"/>
        </w:rPr>
      </w:pPr>
      <w:r>
        <w:rPr>
          <w:sz w:val="20"/>
        </w:rPr>
        <w:tab/>
        <w:tab/>
        <w:t>The GRI Surcharge shall be assessed pursuant to Article 19 of the General Terms and Conditions as set forth in the Tariff.</w:t>
      </w:r>
    </w:p>
    <w:p>
      <w:pPr>
        <w:pStyle w:val="Normal"/>
        <w:tabs>
          <w:tab w:val="left" w:pos="360" w:leader="none"/>
          <w:tab w:val="left" w:pos="720" w:leader="none"/>
        </w:tabs>
        <w:ind w:hanging="360" w:start="360" w:end="0"/>
        <w:jc w:val="both"/>
        <w:rPr>
          <w:sz w:val="20"/>
        </w:rPr>
      </w:pPr>
      <w:r>
        <w:rPr>
          <w:sz w:val="20"/>
        </w:rPr>
      </w:r>
    </w:p>
    <w:p>
      <w:pPr>
        <w:pStyle w:val="Normal"/>
        <w:tabs>
          <w:tab w:val="left" w:pos="360" w:leader="none"/>
          <w:tab w:val="left" w:pos="720" w:leader="none"/>
        </w:tabs>
        <w:ind w:hanging="360" w:start="360" w:end="0"/>
        <w:jc w:val="both"/>
        <w:rPr>
          <w:b/>
        </w:rPr>
      </w:pPr>
      <w:r>
        <w:rPr>
          <w:b/>
        </w:rPr>
        <w:tab/>
        <w:t>ACA:</w:t>
      </w:r>
    </w:p>
    <w:p>
      <w:pPr>
        <w:pStyle w:val="BodyTextIndent2"/>
        <w:rPr>
          <w:sz w:val="20"/>
        </w:rPr>
      </w:pPr>
      <w:r>
        <w:rPr>
          <w:sz w:val="20"/>
        </w:rPr>
        <w:tab/>
        <w:tab/>
        <w:t>The ACA Surcharge shall be assessed pursuant to Article 24 of the General Terms and Conditions as set forth in the Tariff.</w:t>
      </w:r>
    </w:p>
    <w:sectPr>
      <w:headerReference w:type="default" r:id="rId10"/>
      <w:headerReference w:type="first" r:id="rId11"/>
      <w:footerReference w:type="default" r:id="rId12"/>
      <w:footerReference w:type="first" r:id="rId13"/>
      <w:type w:val="nextPage"/>
      <w:pgSz w:w="12240" w:h="15840"/>
      <w:pgMar w:left="1440"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etrostyle">
    <w:altName w:val="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120" cy="146050"/>
              <wp:effectExtent l="0" t="0" r="0" b="0"/>
              <wp:wrapSquare wrapText="bothSides"/>
              <wp:docPr id="2"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end"/>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sz w:val="22"/>
      </w:rPr>
      <w:t xml:space="preserve"> of 2</w:t>
    </w:r>
  </w:p>
  <w:p>
    <w:pPr>
      <w:pStyle w:val="Normal"/>
      <w:tabs>
        <w:tab w:val="clear" w:pos="720"/>
        <w:tab w:val="right" w:pos="9360" w:leader="none"/>
      </w:tabs>
      <w:jc w:val="end"/>
      <w:rPr>
        <w:sz w:val="22"/>
      </w:rPr>
    </w:pPr>
    <w:r>
      <w:rPr>
        <w:sz w:val="22"/>
      </w:rPr>
    </w:r>
  </w:p>
  <w:p>
    <w:pPr>
      <w:pStyle w:val="Normal"/>
      <w:tabs>
        <w:tab w:val="clear" w:pos="720"/>
        <w:tab w:val="right" w:pos="9360" w:leader="none"/>
      </w:tabs>
      <w:jc w:val="end"/>
      <w:rPr>
        <w:sz w:val="22"/>
      </w:rPr>
    </w:pPr>
    <w:r>
      <w:rPr>
        <w:sz w:val="22"/>
      </w:rPr>
    </w:r>
  </w:p>
  <w:p>
    <w:pPr>
      <w:pStyle w:val="Normal"/>
      <w:tabs>
        <w:tab w:val="clear" w:pos="720"/>
        <w:tab w:val="right" w:pos="9360" w:leader="none"/>
      </w:tabs>
      <w:jc w:val="end"/>
      <w:rPr>
        <w:sz w:val="22"/>
      </w:rPr>
    </w:pPr>
    <w:r>
      <w:rPr>
        <w:sz w:val="22"/>
      </w:rPr>
    </w:r>
  </w:p>
  <w:p>
    <w:pPr>
      <w:pStyle w:val="Heading1"/>
      <w:tabs>
        <w:tab w:val="clear" w:pos="720"/>
        <w:tab w:val="right" w:pos="9360" w:leader="none"/>
      </w:tabs>
      <w:ind w:hanging="0" w:start="0"/>
      <w:rPr/>
    </w:pPr>
    <w:r>
      <w:rPr/>
      <w:t>Exhibit “B”</w:t>
    </w:r>
  </w:p>
  <w:p>
    <w:pPr>
      <w:pStyle w:val="Normal"/>
      <w:tabs>
        <w:tab w:val="clear" w:pos="720"/>
        <w:tab w:val="right" w:pos="9360" w:leader="none"/>
      </w:tabs>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tabs>
        <w:tab w:val="clear" w:pos="720"/>
        <w:tab w:val="right" w:pos="9360" w:leader="none"/>
      </w:tabs>
      <w:jc w:val="center"/>
      <w:outlineLvl w:val="1"/>
    </w:pPr>
    <w:rPr>
      <w:b/>
      <w:sz w:val="26"/>
    </w:rPr>
  </w:style>
  <w:style w:type="paragraph" w:styleId="Heading3">
    <w:name w:val="heading 3"/>
    <w:basedOn w:val="Normal"/>
    <w:next w:val="Normal"/>
    <w:qFormat/>
    <w:pPr>
      <w:keepNext w:val="true"/>
      <w:numPr>
        <w:ilvl w:val="2"/>
        <w:numId w:val="1"/>
      </w:numPr>
      <w:tabs>
        <w:tab w:val="clear" w:pos="720"/>
        <w:tab w:val="right" w:pos="9360" w:leader="none"/>
      </w:tabs>
      <w:jc w:val="center"/>
      <w:outlineLvl w:val="2"/>
    </w:pPr>
    <w:rPr>
      <w:b/>
      <w:sz w:val="22"/>
    </w:rPr>
  </w:style>
  <w:style w:type="paragraph" w:styleId="Heading4">
    <w:name w:val="heading 4"/>
    <w:basedOn w:val="Normal"/>
    <w:next w:val="Normal"/>
    <w:qFormat/>
    <w:pPr>
      <w:keepNext w:val="true"/>
      <w:numPr>
        <w:ilvl w:val="3"/>
        <w:numId w:val="1"/>
      </w:numPr>
      <w:tabs>
        <w:tab w:val="clear" w:pos="720"/>
        <w:tab w:val="right" w:pos="9360" w:leader="none"/>
      </w:tabs>
      <w:jc w:val="center"/>
      <w:outlineLvl w:val="3"/>
    </w:pPr>
    <w:rPr>
      <w:sz w:val="24"/>
    </w:rPr>
  </w:style>
  <w:style w:type="paragraph" w:styleId="Heading5">
    <w:name w:val="heading 5"/>
    <w:basedOn w:val="Normal"/>
    <w:next w:val="Normal"/>
    <w:qFormat/>
    <w:pPr>
      <w:keepNext w:val="true"/>
      <w:numPr>
        <w:ilvl w:val="4"/>
        <w:numId w:val="1"/>
      </w:numPr>
      <w:tabs>
        <w:tab w:val="clear" w:pos="720"/>
        <w:tab w:val="left" w:pos="360" w:leader="none"/>
      </w:tabs>
      <w:jc w:val="center"/>
      <w:outlineLvl w:val="4"/>
    </w:pPr>
    <w:rPr>
      <w:b/>
      <w:sz w:val="16"/>
    </w:rPr>
  </w:style>
  <w:style w:type="paragraph" w:styleId="Heading6">
    <w:name w:val="heading 6"/>
    <w:basedOn w:val="Normal"/>
    <w:next w:val="Normal"/>
    <w:qFormat/>
    <w:pPr>
      <w:keepNext w:val="true"/>
      <w:numPr>
        <w:ilvl w:val="5"/>
        <w:numId w:val="1"/>
      </w:numPr>
      <w:tabs>
        <w:tab w:val="clear" w:pos="720"/>
        <w:tab w:val="left" w:pos="360" w:leader="none"/>
      </w:tabs>
      <w:jc w:val="both"/>
      <w:outlineLvl w:val="5"/>
    </w:pPr>
    <w:rPr>
      <w:i/>
      <w:sz w:val="1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 w:val="right" w:pos="450" w:leader="none"/>
        <w:tab w:val="right" w:pos="936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jc w:val="both"/>
    </w:pPr>
    <w:rPr>
      <w:sz w:val="22"/>
    </w:rPr>
  </w:style>
  <w:style w:type="paragraph" w:styleId="BodyTextIndent2">
    <w:name w:val="Body Text Indent 2"/>
    <w:basedOn w:val="Normal"/>
    <w:qFormat/>
    <w:pPr>
      <w:tabs>
        <w:tab w:val="left" w:pos="360" w:leader="none"/>
        <w:tab w:val="left" w:pos="720" w:leader="none"/>
      </w:tabs>
      <w:ind w:hanging="720" w:start="720" w:end="0"/>
      <w:jc w:val="both"/>
    </w:pPr>
    <w:rPr>
      <w:sz w:val="22"/>
    </w:rPr>
  </w:style>
  <w:style w:type="paragraph" w:styleId="BodyTextIndent3">
    <w:name w:val="Body Text Indent 3"/>
    <w:basedOn w:val="Normal"/>
    <w:qFormat/>
    <w:pPr>
      <w:tabs>
        <w:tab w:val="clear" w:pos="720"/>
        <w:tab w:val="left" w:pos="360" w:leader="none"/>
      </w:tabs>
      <w:ind w:hanging="36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2000-07-11T11:05:00Z</dcterms:created>
  <dc:creator>Kimberly A. Wetzel</dc:creator>
  <dc:description/>
  <dc:language>en-CA</dc:language>
  <cp:lastModifiedBy>Kimberly A. Wetzel</cp:lastModifiedBy>
  <cp:lastPrinted>2000-07-11T07:28:00Z</cp:lastPrinted>
  <dcterms:modified xsi:type="dcterms:W3CDTF">2000-07-11T11:05:00Z</dcterms:modified>
  <cp:revision>2</cp:revision>
  <dc:subject/>
  <dc:title>Contract No</dc:title>
</cp:coreProperties>
</file>