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6480" w:end="0"/>
        <w:jc w:val="start"/>
        <w:rPr>
          <w:b w:val="false"/>
          <w:sz w:val="24"/>
        </w:rPr>
      </w:pPr>
      <w:r>
        <w:rPr>
          <w:b w:val="false"/>
          <w:sz w:val="24"/>
        </w:rPr>
        <w:t>Shelly Mansfield</w:t>
      </w:r>
    </w:p>
    <w:p>
      <w:pPr>
        <w:pStyle w:val="Normal"/>
        <w:ind w:start="6480" w:end="0"/>
        <w:rPr>
          <w:sz w:val="24"/>
        </w:rPr>
      </w:pPr>
      <w:r>
        <w:rPr>
          <w:sz w:val="24"/>
        </w:rPr>
        <w:t>(713) 853-4589</w:t>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r>
    </w:p>
    <w:p>
      <w:pPr>
        <w:pStyle w:val="Heading1"/>
        <w:ind w:hanging="0" w:start="0"/>
        <w:jc w:val="start"/>
        <w:rPr>
          <w:sz w:val="24"/>
          <w:u w:val="single"/>
        </w:rPr>
      </w:pPr>
      <w:r>
        <w:rPr>
          <w:sz w:val="24"/>
          <w:u w:val="single"/>
        </w:rPr>
        <w:t>ENRON INTRODUCES BANDWIDTH PRODUCTS TO ENRONONLINE</w:t>
      </w:r>
    </w:p>
    <w:p>
      <w:pPr>
        <w:pStyle w:val="Normal"/>
        <w:rPr>
          <w:color w:val="000000"/>
          <w:sz w:val="24"/>
          <w:u w:val="single"/>
          <w:lang w:eastAsia="en-US"/>
        </w:rPr>
      </w:pPr>
      <w:r>
        <w:rPr>
          <w:color w:val="000000"/>
          <w:sz w:val="24"/>
          <w:u w:val="single"/>
          <w:lang w:eastAsia="en-US"/>
        </w:rPr>
      </w:r>
    </w:p>
    <w:p>
      <w:pPr>
        <w:pStyle w:val="Normal"/>
        <w:rPr>
          <w:color w:val="000000"/>
          <w:sz w:val="24"/>
          <w:lang w:eastAsia="en-US"/>
        </w:rPr>
      </w:pPr>
      <w:r>
        <w:rPr>
          <w:color w:val="000000"/>
          <w:sz w:val="24"/>
          <w:lang w:eastAsia="en-US"/>
        </w:rPr>
        <w:t>FOR IMMEDIATE RELEASE: Tuesday, May 2, 2000</w:t>
      </w:r>
    </w:p>
    <w:p>
      <w:pPr>
        <w:pStyle w:val="Normal"/>
        <w:rPr>
          <w:color w:val="000000"/>
          <w:sz w:val="24"/>
          <w:lang w:eastAsia="en-US"/>
        </w:rPr>
      </w:pPr>
      <w:r>
        <w:rPr>
          <w:color w:val="000000"/>
          <w:sz w:val="24"/>
          <w:lang w:eastAsia="en-US"/>
        </w:rPr>
      </w:r>
    </w:p>
    <w:p>
      <w:pPr>
        <w:pStyle w:val="Normal"/>
        <w:spacing w:lineRule="auto" w:line="360"/>
        <w:rPr/>
      </w:pPr>
      <w:r>
        <w:rPr>
          <w:b/>
          <w:color w:val="000000"/>
          <w:sz w:val="24"/>
          <w:lang w:eastAsia="en-US"/>
        </w:rPr>
        <w:t>HOUSTON</w:t>
      </w:r>
      <w:r>
        <w:rPr>
          <w:color w:val="000000"/>
          <w:sz w:val="24"/>
          <w:lang w:eastAsia="en-US"/>
        </w:rPr>
        <w:t xml:space="preserve"> -- Enron Corp. announced today the expansion of EnronOnline to include products for the purchase and sale of bandwidth capacity.  EnronOnline offers customers a free, Internet-based system for conducting wholesale transactions with Enron as principal.</w:t>
      </w:r>
    </w:p>
    <w:p>
      <w:pPr>
        <w:pStyle w:val="BodyText3"/>
        <w:rPr/>
      </w:pPr>
      <w:r>
        <w:rPr/>
        <w:tab/>
        <w:t>In addition to a comprehensive offering of energy-related products, EnronOnline now offers DS-3 and OC-3 bandwidth capacity (capable of transmitting 45 Mbps and 155 Mbps, respectively, of voice, video or data) between New York and Los Angeles for periods ranging from one month to one year.  These configurations are expected to serve as the benchmarks for the most liquid telecommunications paths across North America, and will provide direct connection to the rapidly expanding Asian and European markets.  The first bandwidth capacity transaction on EnronOnline was completed May 1, 2000, the same day the new products were introduced.</w:t>
      </w:r>
    </w:p>
    <w:p>
      <w:pPr>
        <w:pStyle w:val="Normal"/>
        <w:spacing w:lineRule="auto" w:line="360"/>
        <w:rPr/>
      </w:pPr>
      <w:r>
        <w:rPr>
          <w:sz w:val="24"/>
        </w:rPr>
        <w:tab/>
      </w:r>
      <w:r>
        <w:rPr>
          <w:color w:val="000000"/>
          <w:sz w:val="24"/>
          <w:lang w:eastAsia="en-US"/>
        </w:rPr>
        <w:t>“Buying and selling bandwidth capacity in an open marketplace allows communications companies and enterprises to more effectively manage their costs and business risks.  Participants may transact for the capacity they need on flexible terms,” said Kevin Hannon, chief operating officer for Enron Broadband Services, a wholly-owned subsidiary of Enron Corp.  “The availability of bandwidth capacity on EnronOnline further expands our bandwidth intermediation business, provides customer choice and promotes liquidity and price discovery in the market.”</w:t>
      </w:r>
    </w:p>
    <w:p>
      <w:pPr>
        <w:pStyle w:val="BodyText3"/>
        <w:rPr/>
      </w:pPr>
      <w:r>
        <w:rPr/>
        <w:tab/>
        <w:t>EnronOnline (</w:t>
      </w:r>
      <w:hyperlink r:id="rId2">
        <w:r>
          <w:rPr>
            <w:rStyle w:val="Hyperlink"/>
          </w:rPr>
          <w:t>www.EnronOnline.com</w:t>
        </w:r>
      </w:hyperlink>
      <w:r>
        <w:rPr/>
        <w:t>) provides real-time prices for power, natural gas, coal, weather products, petrochemicals, pulp and paper, emissions credits, bandwidth and other commodities in the Americas, Europe and Asia.  Since its launch in November 1999, EnronOnline has expanded to include over 800 products.  Enron’s new eCommerce platform has completed over 90,000 transactions with a gross transaction value exceeding $35 billion.</w:t>
      </w:r>
    </w:p>
    <w:p>
      <w:pPr>
        <w:pStyle w:val="BodyTextIndent"/>
        <w:rPr/>
      </w:pPr>
      <w:r>
        <w:rPr/>
        <w:t xml:space="preserve">Enron is one of the world’s leading electricity, natural gas and communications companies.  The company, which owns approximately $33 billion in energy and communications assets, produces electricity and natural gas, develops, constructs and operates energy facilities worldwide, delivers physical commodities and financial and risk management services to customers around the world and is developing a nationwide Internet-based communications network.  Enron’s Internet address is </w:t>
      </w:r>
      <w:r>
        <w:rPr>
          <w:u w:val="single"/>
        </w:rPr>
        <w:t>www.enron.com</w:t>
      </w:r>
      <w:r>
        <w:rPr/>
        <w:t>.  The stock is traded under the ticker symbol, “ENE.”</w:t>
      </w:r>
    </w:p>
    <w:p>
      <w:pPr>
        <w:pStyle w:val="Normal"/>
        <w:spacing w:lineRule="auto" w:line="360"/>
        <w:jc w:val="center"/>
        <w:rPr>
          <w:sz w:val="24"/>
        </w:rPr>
      </w:pPr>
      <w:r>
        <w:rPr>
          <w:sz w:val="24"/>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color w:val="000000"/>
      <w:lang w:eastAsia="en-U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jc w:val="both"/>
    </w:pPr>
    <w:rPr>
      <w:rFonts w:ascii="Arial" w:hAnsi="Arial" w:cs="Arial"/>
    </w:rPr>
  </w:style>
  <w:style w:type="paragraph" w:styleId="BodyText3">
    <w:name w:val="Body Text 3"/>
    <w:basedOn w:val="Normal"/>
    <w:qFormat/>
    <w:pPr>
      <w:spacing w:lineRule="auto" w:line="360"/>
    </w:pPr>
    <w:rPr>
      <w:color w:val="000000"/>
      <w:sz w:val="24"/>
      <w:lang w:eastAsia="en-US"/>
    </w:rPr>
  </w:style>
  <w:style w:type="paragraph" w:styleId="BodyTextIndent">
    <w:name w:val="Body Text Indent"/>
    <w:basedOn w:val="Normal"/>
    <w:pPr>
      <w:spacing w:lineRule="auto" w:line="36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2000-05-02T16:21:00Z</dcterms:created>
  <dc:creator>lpacheco</dc:creator>
  <dc:description/>
  <dc:language>en-CA</dc:language>
  <cp:lastModifiedBy>cderecs</cp:lastModifiedBy>
  <cp:lastPrinted>2000-05-02T14:46:00Z</cp:lastPrinted>
  <dcterms:modified xsi:type="dcterms:W3CDTF">2000-05-02T17:26:00Z</dcterms:modified>
  <cp:revision>13</cp:revision>
  <dc:subject/>
  <dc:title>ENRON LAUNCHES AUSTRALIAN POWER ON ENRONONLINE </dc:title>
</cp:coreProperties>
</file>