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media/image1.wmf" ContentType="image/x-wmf"/>
  <Override PartName="/word/media/image2.wmf" ContentType="image/x-wmf"/>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80"/>
        <w:jc w:val="center"/>
        <w:rPr>
          <w:rFonts w:ascii="Arial" w:hAnsi="Arial" w:cs="Arial"/>
          <w:b/>
          <w:sz w:val="32"/>
        </w:rPr>
      </w:pPr>
      <w:bookmarkStart w:id="0" w:name="DocsID"/>
      <w:bookmarkStart w:id="1" w:name="Electronic"/>
      <w:bookmarkEnd w:id="0"/>
      <w:bookmarkEnd w:id="1"/>
      <w:r>
        <w:rPr>
          <w:rFonts w:cs="Arial" w:ascii="Arial" w:hAnsi="Arial"/>
          <w:b/>
          <w:sz w:val="32"/>
        </w:rPr>
        <w:t>Calgary</w:t>
        <w:br/>
        <w:t>Memorandum</w:t>
      </w:r>
    </w:p>
    <w:p>
      <w:pPr>
        <w:pStyle w:val="Normal"/>
        <w:tabs>
          <w:tab w:val="clear" w:pos="720"/>
          <w:tab w:val="left" w:pos="1080" w:leader="none"/>
        </w:tabs>
        <w:jc w:val="start"/>
        <w:rPr/>
      </w:pPr>
      <w:r>
        <w:rPr>
          <w:rStyle w:val="Prompt2"/>
        </w:rPr>
        <w:t>To:</w:t>
      </w:r>
      <w:r>
        <w:rPr/>
        <w:tab/>
      </w:r>
      <w:bookmarkStart w:id="2" w:name="From"/>
      <w:r>
        <w:rPr/>
        <w:t xml:space="preserve">Mark Taylor </w:t>
        <w:br/>
        <w:tab/>
        <w:t>Peter Keohane</w:t>
      </w:r>
    </w:p>
    <w:p>
      <w:pPr>
        <w:pStyle w:val="Normal"/>
        <w:tabs>
          <w:tab w:val="clear" w:pos="720"/>
          <w:tab w:val="left" w:pos="1080" w:leader="none"/>
        </w:tabs>
        <w:ind w:hanging="1080" w:start="1080" w:end="0"/>
        <w:jc w:val="start"/>
        <w:rPr/>
      </w:pPr>
      <w:r>
        <w:rPr>
          <w:rStyle w:val="Prompt2"/>
        </w:rPr>
        <w:t>From:</w:t>
      </w:r>
      <w:r>
        <w:rPr/>
        <w:tab/>
        <w:t>G. Frederick Erickson   /   (403) 266-9016</w:t>
        <w:br/>
        <w:t xml:space="preserve">Keith R. Chatwin   /   </w:t>
      </w:r>
      <w:r>
        <w:rPr>
          <w:lang w:val="en-CA"/>
        </w:rPr>
        <w:t>(403) 266-9088</w:t>
      </w:r>
    </w:p>
    <w:p>
      <w:pPr>
        <w:pStyle w:val="Normal"/>
        <w:tabs>
          <w:tab w:val="clear" w:pos="720"/>
          <w:tab w:val="left" w:pos="1080" w:leader="none"/>
        </w:tabs>
        <w:rPr/>
      </w:pPr>
      <w:bookmarkStart w:id="3" w:name="Client"/>
      <w:bookmarkEnd w:id="2"/>
      <w:bookmarkEnd w:id="3"/>
      <w:r>
        <w:rPr>
          <w:rStyle w:val="Prompt2"/>
        </w:rPr>
        <w:t>Client:</w:t>
      </w:r>
      <w:r>
        <w:rPr/>
        <w:tab/>
      </w:r>
      <w:r>
        <w:rPr>
          <w:rStyle w:val="Prompt"/>
        </w:rPr>
        <w:t>Enron Canada Corp. ("</w:t>
      </w:r>
      <w:r>
        <w:rPr>
          <w:rStyle w:val="Prompt"/>
          <w:b/>
        </w:rPr>
        <w:t>Enron</w:t>
      </w:r>
      <w:r>
        <w:rPr>
          <w:rStyle w:val="Prompt"/>
        </w:rPr>
        <w:t xml:space="preserve">")  </w:t>
      </w:r>
    </w:p>
    <w:p>
      <w:pPr>
        <w:pStyle w:val="Normal"/>
        <w:tabs>
          <w:tab w:val="clear" w:pos="720"/>
          <w:tab w:val="left" w:pos="1080" w:leader="none"/>
        </w:tabs>
        <w:rPr/>
      </w:pPr>
      <w:bookmarkStart w:id="4" w:name="Client"/>
      <w:bookmarkStart w:id="5" w:name="re"/>
      <w:bookmarkEnd w:id="4"/>
      <w:bookmarkEnd w:id="5"/>
      <w:r>
        <w:rPr>
          <w:rStyle w:val="Prompt2"/>
        </w:rPr>
        <w:t>Re:</w:t>
      </w:r>
      <w:r>
        <w:rPr/>
        <w:tab/>
        <w:t>Electronic Trading Platform:  Securities and Exchange Implications</w:t>
      </w:r>
    </w:p>
    <w:p>
      <w:pPr>
        <w:pStyle w:val="Normal"/>
        <w:tabs>
          <w:tab w:val="clear" w:pos="720"/>
          <w:tab w:val="left" w:pos="1080" w:leader="none"/>
        </w:tabs>
        <w:rPr/>
      </w:pPr>
      <w:bookmarkStart w:id="6" w:name="re"/>
      <w:bookmarkStart w:id="7" w:name="FileNo"/>
      <w:bookmarkEnd w:id="6"/>
      <w:bookmarkEnd w:id="7"/>
      <w:r>
        <w:rPr>
          <w:rStyle w:val="Prompt2"/>
        </w:rPr>
        <w:t>File No:</w:t>
      </w:r>
      <w:r>
        <w:rPr/>
        <w:tab/>
      </w:r>
      <w:r>
        <w:rPr>
          <w:rStyle w:val="Prompt"/>
        </w:rPr>
        <w:t>107013.1002</w:t>
      </w:r>
    </w:p>
    <w:p>
      <w:pPr>
        <w:pStyle w:val="Normal"/>
        <w:tabs>
          <w:tab w:val="clear" w:pos="720"/>
          <w:tab w:val="left" w:pos="1080" w:leader="none"/>
        </w:tabs>
        <w:spacing w:before="0" w:after="960"/>
        <w:rPr/>
      </w:pPr>
      <w:bookmarkStart w:id="8" w:name="FileNo"/>
      <w:bookmarkEnd w:id="8"/>
      <w:r>
        <mc:AlternateContent>
          <mc:Choice Requires="wps">
            <w:drawing>
              <wp:anchor behindDoc="0" distT="0" distB="0" distL="114935" distR="114935" simplePos="0" locked="0" layoutInCell="0" allowOverlap="1" relativeHeight="22">
                <wp:simplePos x="0" y="0"/>
                <wp:positionH relativeFrom="column">
                  <wp:posOffset>-45720</wp:posOffset>
                </wp:positionH>
                <wp:positionV relativeFrom="paragraph">
                  <wp:posOffset>398145</wp:posOffset>
                </wp:positionV>
                <wp:extent cx="5577840" cy="0"/>
                <wp:effectExtent l="0" t="5080" r="0" b="5080"/>
                <wp:wrapTopAndBottom/>
                <wp:docPr id="1" name=""/>
                <a:graphic xmlns:a="http://schemas.openxmlformats.org/drawingml/2006/main">
                  <a:graphicData uri="http://schemas.microsoft.com/office/word/2010/wordprocessingShape">
                    <wps:wsp>
                      <wps:cNvSpPr/>
                      <wps:spPr>
                        <a:xfrm>
                          <a:off x="0" y="0"/>
                          <a:ext cx="5577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31.35pt" to="435.55pt,31.35pt" stroked="t" o:allowincell="f" style="position:absolute">
                <v:stroke color="black" weight="9360" joinstyle="miter" endcap="flat"/>
                <v:fill o:detectmouseclick="t" on="false"/>
                <w10:wrap type="topAndBottom"/>
              </v:line>
            </w:pict>
          </mc:Fallback>
        </mc:AlternateContent>
      </w:r>
      <w:r>
        <w:rPr>
          <w:rStyle w:val="Prompt2"/>
        </w:rPr>
        <w:t>Date:</w:t>
      </w:r>
      <w:bookmarkStart w:id="9" w:name="Date"/>
      <w:r>
        <w:rPr/>
        <w:tab/>
      </w:r>
      <w:r>
        <w:rPr>
          <w:lang w:val="en-CA"/>
        </w:rPr>
        <w:t>October 12, 2001</w:t>
      </w:r>
      <w:bookmarkEnd w:id="9"/>
    </w:p>
    <w:p>
      <w:pPr>
        <w:pStyle w:val="BodyText"/>
        <w:ind w:hanging="0" w:end="0"/>
        <w:rPr>
          <w:u w:val="single"/>
        </w:rPr>
      </w:pPr>
      <w:r>
        <w:rPr>
          <w:b/>
        </w:rPr>
        <w:t>BACKGROUND</w:t>
      </w:r>
    </w:p>
    <w:p>
      <w:pPr>
        <w:pStyle w:val="BodyText"/>
        <w:rPr/>
      </w:pPr>
      <w:r>
        <w:rPr/>
        <w:t xml:space="preserve">Enron currently operates an electronic trading platform on its corporate website under the operating name </w:t>
      </w:r>
      <w:r>
        <w:rPr>
          <w:i/>
        </w:rPr>
        <w:t>EnronOnline</w:t>
      </w:r>
      <w:r>
        <w:rPr/>
        <w:t>, the principal characteristics of which were described in considerable detail in our memorandum to you dated September 20, 1999 (the "</w:t>
      </w:r>
      <w:r>
        <w:rPr>
          <w:b/>
        </w:rPr>
        <w:t>First Memorandum</w:t>
      </w:r>
      <w:r>
        <w:rPr/>
        <w:t>"), a copy of which has previously been provided.  As a result, those characteristics will not be reiterated herein but, rather, only our understanding of the functioning of the "enhanced limit order" option (the "</w:t>
      </w:r>
      <w:r>
        <w:rPr>
          <w:b/>
        </w:rPr>
        <w:t>ELO</w:t>
      </w:r>
      <w:r>
        <w:rPr/>
        <w:t xml:space="preserve">") that Enron intends to make available will be described.  </w:t>
      </w:r>
    </w:p>
    <w:p>
      <w:pPr>
        <w:pStyle w:val="BodyText"/>
        <w:rPr/>
      </w:pPr>
      <w:r>
        <w:rPr/>
        <w:t>The ELO to be implemented by Enron would proceed substantially as follows:</w:t>
      </w:r>
    </w:p>
    <w:p>
      <w:pPr>
        <w:pStyle w:val="Outline2"/>
        <w:numPr>
          <w:ilvl w:val="1"/>
          <w:numId w:val="3"/>
        </w:numPr>
        <w:ind w:hanging="0" w:start="0"/>
        <w:rPr/>
      </w:pPr>
      <w:r>
        <w:rPr/>
        <w:t xml:space="preserve">Counterparties authorized to access </w:t>
      </w:r>
      <w:r>
        <w:rPr>
          <w:i/>
        </w:rPr>
        <w:t>EnronOnline</w:t>
      </w:r>
      <w:r>
        <w:rPr/>
        <w:t xml:space="preserve"> would review posted Enron bid-ask prices for various commodities at differing locations and delivery dates, which transactions may be either physically or financially settled ("</w:t>
      </w:r>
      <w:r>
        <w:rPr>
          <w:b/>
        </w:rPr>
        <w:t>Transactions</w:t>
      </w:r>
      <w:r>
        <w:rPr/>
        <w:t>");</w:t>
      </w:r>
    </w:p>
    <w:p>
      <w:pPr>
        <w:pStyle w:val="Outline2"/>
        <w:numPr>
          <w:ilvl w:val="1"/>
          <w:numId w:val="3"/>
        </w:numPr>
        <w:ind w:hanging="0" w:start="0"/>
        <w:rPr/>
      </w:pPr>
      <w:r>
        <w:rPr/>
        <w:t>To the extent Enron's posted bid-ask prices were unattractive to such counterparty and the counterparty did not wish to enter into a Transaction with Enron at such posted prices, it would have the ability to place a limit order with Enron specifying the price at which it would be prepared to enter into a Transaction with Enron and specifying the period during which its limit order is to remain open;</w:t>
      </w:r>
    </w:p>
    <w:p>
      <w:pPr>
        <w:pStyle w:val="Outline2"/>
        <w:numPr>
          <w:ilvl w:val="1"/>
          <w:numId w:val="3"/>
        </w:numPr>
        <w:ind w:hanging="0" w:start="0"/>
        <w:rPr/>
      </w:pPr>
      <w:r>
        <w:rPr/>
        <w:t xml:space="preserve">Enron would utilize the limit order price to modify its corresponding posted bid-ask prices for such commodity on </w:t>
      </w:r>
      <w:r>
        <w:rPr>
          <w:i/>
        </w:rPr>
        <w:t>EnronOnline</w:t>
      </w:r>
      <w:r>
        <w:rPr/>
        <w:t xml:space="preserve"> for others to view;</w:t>
      </w:r>
    </w:p>
    <w:p>
      <w:pPr>
        <w:pStyle w:val="Outline2"/>
        <w:numPr>
          <w:ilvl w:val="1"/>
          <w:numId w:val="3"/>
        </w:numPr>
        <w:ind w:hanging="0" w:start="0"/>
        <w:rPr/>
      </w:pPr>
      <w:r>
        <w:rPr/>
        <w:t xml:space="preserve">Other </w:t>
      </w:r>
      <w:r>
        <w:rPr>
          <w:i/>
        </w:rPr>
        <w:t>EnronOnline</w:t>
      </w:r>
      <w:r>
        <w:rPr/>
        <w:t xml:space="preserve"> customers viewing the revised posted Enron bid-ask prices for such commodity could then, if they wish to transact with Enron at that price, proceed to submit their order directly to Enron; and</w:t>
      </w:r>
    </w:p>
    <w:p>
      <w:pPr>
        <w:pStyle w:val="Outline2"/>
        <w:numPr>
          <w:ilvl w:val="1"/>
          <w:numId w:val="3"/>
        </w:numPr>
        <w:ind w:hanging="0" w:start="0"/>
        <w:rPr/>
      </w:pPr>
      <w:r>
        <w:rPr/>
        <w:t xml:space="preserve">Enron could thereafter complete two Transactions, one with the original counterparty that submitted the limit order price and a second offsetting Transaction with the other customer, in each case acting as principal but effectively matching the two interested parties' specifications. </w:t>
      </w:r>
    </w:p>
    <w:p>
      <w:pPr>
        <w:pStyle w:val="BodyText"/>
        <w:rPr/>
      </w:pPr>
      <w:r>
        <w:rPr/>
        <w:t>Enron would not receive a fee from either counterparty.  It would simply buy from the first and sell to the second the same commodity at the same price.</w:t>
      </w:r>
    </w:p>
    <w:p>
      <w:pPr>
        <w:pStyle w:val="BodyText"/>
        <w:rPr/>
      </w:pPr>
      <w:r>
        <w:rPr/>
        <w:t xml:space="preserve">Our discussion and conclusions herein are predicated upon the foregoing understanding of the functioning of the ELO and the factual assumptions set forth in the First Memorandum. To the extent any of the foregoing assumptions are incorrect or inaccurate, the conclusions set forth herein may likewise prove inaccurate and may need to be revisited. </w:t>
      </w:r>
    </w:p>
    <w:p>
      <w:pPr>
        <w:pStyle w:val="Normal"/>
        <w:keepNext w:val="true"/>
        <w:rPr>
          <w:b/>
        </w:rPr>
      </w:pPr>
      <w:r>
        <w:rPr>
          <w:b/>
        </w:rPr>
        <w:t>ISSUE</w:t>
      </w:r>
    </w:p>
    <w:p>
      <w:pPr>
        <w:pStyle w:val="BodyText"/>
        <w:rPr/>
      </w:pPr>
      <w:r>
        <w:rPr/>
        <w:t xml:space="preserve">As a result of the introduction of the ELO described above, we were specifically requested to review and update, if necessary, our previous advice to you in respect of the potential Alberta securities law implications that may arise from the introduction thereof.  In particular, does the introduction thereof render </w:t>
      </w:r>
      <w:r>
        <w:rPr>
          <w:i/>
        </w:rPr>
        <w:t>EnronOnline</w:t>
      </w:r>
      <w:r>
        <w:rPr/>
        <w:t xml:space="preserve"> an "exchange" within the meaning of the </w:t>
      </w:r>
      <w:r>
        <w:rPr>
          <w:i/>
        </w:rPr>
        <w:t>Securities Act</w:t>
      </w:r>
      <w:r>
        <w:rPr/>
        <w:t xml:space="preserve"> (Alberta)</w:t>
      </w:r>
      <w:r>
        <w:rPr>
          <w:rStyle w:val="FootnoteReference"/>
          <w:vertAlign w:val="superscript"/>
        </w:rPr>
        <w:footnoteReference w:id="2"/>
      </w:r>
      <w:r>
        <w:rPr/>
        <w:t xml:space="preserve"> (the "</w:t>
      </w:r>
      <w:r>
        <w:rPr>
          <w:b/>
        </w:rPr>
        <w:t>Act</w:t>
      </w:r>
      <w:r>
        <w:rPr/>
        <w:t xml:space="preserve">") or other applicable securities legislation in force in the Province of Alberta?  </w:t>
      </w:r>
    </w:p>
    <w:p>
      <w:pPr>
        <w:pStyle w:val="BodyText"/>
        <w:rPr/>
      </w:pPr>
      <w:r>
        <w:rPr/>
        <w:t xml:space="preserve">Please note that our advice is restricted solely to the securities laws in force in the Province of Alberta.  To the extent you require a review of the securities laws in force in any other Canadian jurisdictions, please so advise.  </w:t>
      </w:r>
    </w:p>
    <w:p>
      <w:pPr>
        <w:pStyle w:val="Normal"/>
        <w:keepNext w:val="true"/>
        <w:rPr>
          <w:b/>
        </w:rPr>
      </w:pPr>
      <w:r>
        <w:rPr>
          <w:b/>
        </w:rPr>
        <w:t>SUMMARY</w:t>
      </w:r>
    </w:p>
    <w:p>
      <w:pPr>
        <w:pStyle w:val="BodyText"/>
        <w:rPr/>
      </w:pPr>
      <w:r>
        <w:rPr/>
        <w:t xml:space="preserve">If the Transactions occurring on </w:t>
      </w:r>
      <w:r>
        <w:rPr>
          <w:i/>
        </w:rPr>
        <w:t>EnronOnline</w:t>
      </w:r>
      <w:r>
        <w:rPr/>
        <w:t xml:space="preserve"> provide for the physical delivery of the commodity only or are between Qualified Parties (as hereinafter defined) acting as principal, such Transactions would not likely be considered securities and therefore, accordingly, </w:t>
      </w:r>
      <w:r>
        <w:rPr>
          <w:i/>
        </w:rPr>
        <w:t>EnronOnline</w:t>
      </w:r>
      <w:r>
        <w:rPr/>
        <w:t xml:space="preserve"> would not be considered an exchange pursuant to the Act.  If the foregoing qualifications do not apply, however, and the instruments therefore constitute securities, </w:t>
      </w:r>
      <w:r>
        <w:rPr>
          <w:i/>
        </w:rPr>
        <w:t>EnronOnline</w:t>
      </w:r>
      <w:r>
        <w:rPr/>
        <w:t xml:space="preserve"> would, notwithstanding the introduction of the ELO option, not likely be considered to be an exchange because it does not have the hallmarks attributable to an exchange, including, amongst others:  (i) it does not provide a guarantee of liquidity; (ii) it does not purport to regulate the behaviour of marketplace participants; and (iii) it does not discipline marketplace participants.  </w:t>
      </w:r>
    </w:p>
    <w:p>
      <w:pPr>
        <w:pStyle w:val="BodyText"/>
        <w:rPr/>
      </w:pPr>
      <w:r>
        <w:rPr/>
        <w:t xml:space="preserve">Notwithstanding that </w:t>
      </w:r>
      <w:r>
        <w:rPr>
          <w:i/>
        </w:rPr>
        <w:t>EnronOnline</w:t>
      </w:r>
      <w:r>
        <w:rPr/>
        <w:t xml:space="preserve"> would not likely be considered an exchange in the circumstances contemplated herein, should the Transactions constitute securities pursuant to the Act, numerous provisions thereof will have application to Enron in relation to such Transactions, including the prospectus and registration requirements.  Therefore, Enron should be diligent in restricting its Transactions to those involving Qualified Parties acting as principal or which provide for the physical delivery only of a commodity to avoid such ramifications.  To the extent Transactions with counterparties who are not "Qualified Parties" are contemplated, further advice is required as to the nature of exemptive relief that Enron should obtain.</w:t>
      </w:r>
    </w:p>
    <w:p>
      <w:pPr>
        <w:pStyle w:val="Normal"/>
        <w:keepNext w:val="true"/>
        <w:rPr>
          <w:b/>
        </w:rPr>
      </w:pPr>
      <w:r>
        <w:rPr>
          <w:b/>
        </w:rPr>
        <w:t>ANALYSIS</w:t>
      </w:r>
    </w:p>
    <w:p>
      <w:pPr>
        <w:pStyle w:val="Outline1"/>
        <w:numPr>
          <w:ilvl w:val="0"/>
          <w:numId w:val="4"/>
        </w:numPr>
        <w:ind w:hanging="0" w:start="0"/>
        <w:rPr>
          <w:b/>
          <w:i/>
          <w:i/>
        </w:rPr>
      </w:pPr>
      <w:r>
        <w:rPr>
          <w:b/>
          <w:i/>
        </w:rPr>
        <w:t>Are Transactions "Securities"?</w:t>
      </w:r>
    </w:p>
    <w:p>
      <w:pPr>
        <w:pStyle w:val="BodyText"/>
        <w:rPr/>
      </w:pPr>
      <w:r>
        <w:rPr/>
        <w:t xml:space="preserve">The starting point for the analysis is a consideration of whether any of the products offered and Transactions entered into in relation thereto by Enron through </w:t>
      </w:r>
      <w:r>
        <w:rPr>
          <w:i/>
        </w:rPr>
        <w:t>EnronOnline</w:t>
      </w:r>
      <w:r>
        <w:rPr/>
        <w:t xml:space="preserve"> would constitute a "security" as defined in the Act.  If not, then </w:t>
      </w:r>
      <w:r>
        <w:rPr>
          <w:i/>
        </w:rPr>
        <w:t>EnronOnline</w:t>
      </w:r>
      <w:r>
        <w:rPr/>
        <w:t xml:space="preserve"> would not, as advised in the First Memorandum, constitute an "exchange" for purposes of the Act.  </w:t>
      </w:r>
    </w:p>
    <w:p>
      <w:pPr>
        <w:pStyle w:val="BodyText"/>
        <w:rPr/>
      </w:pPr>
      <w:r>
        <w:rPr/>
        <w:t xml:space="preserve">The analysis of whether any of the products offered and Transactions entered into by Enron through </w:t>
      </w:r>
      <w:r>
        <w:rPr>
          <w:i/>
        </w:rPr>
        <w:t>EnronOnline</w:t>
      </w:r>
      <w:r>
        <w:rPr/>
        <w:t xml:space="preserve"> is a "security" for the purposes of the Act necessitates a review of the definition thereof, as modified and supplemented by applicable securities legislation. </w:t>
      </w:r>
    </w:p>
    <w:p>
      <w:pPr>
        <w:pStyle w:val="BodyText"/>
        <w:rPr/>
      </w:pPr>
      <w:r>
        <w:rPr/>
        <w:t>As you may recall from the discussion in our First Memorandum, as a result of certain amendments to the Act on June 1, 1999, a number of definitions contained therein were modified as they relate to over-the-counter derivatives transactions and commodity contracts in the Alberta marketplace.  Following such amendments, Section 1(v) of the Act presently defines a "security", in part, as follows:</w:t>
      </w:r>
    </w:p>
    <w:p>
      <w:pPr>
        <w:pStyle w:val="Normal"/>
        <w:ind w:hanging="720" w:start="2160" w:end="1440"/>
        <w:rPr/>
      </w:pPr>
      <w:r>
        <w:rPr/>
        <w:t xml:space="preserve">(xvi) </w:t>
        <w:tab/>
        <w:t xml:space="preserve">any item or thing not referred to in subclauses (i) to (xv) that is a futures contract or option but is not an exchange contract, </w:t>
      </w:r>
    </w:p>
    <w:p>
      <w:pPr>
        <w:pStyle w:val="BodyText"/>
        <w:rPr/>
      </w:pPr>
      <w:r>
        <w:rPr/>
        <w:t xml:space="preserve">In turn, Section 1(h.01) of the Act presently defines a "futures contract" as any obligation to make or take future delivery of a commodity, a security, or cash if the amount of cash is determined by reference to a benchmark, including the price of a commodity, interest rate, exchange rate or some other benchmark.  Importantly, the definition specifically excludes an obligation or a class of obligations that is designated not to be a futures contract pursuant to an order made under Section 9.1 of the Act.  </w:t>
      </w:r>
    </w:p>
    <w:p>
      <w:pPr>
        <w:pStyle w:val="BodyText"/>
        <w:rPr/>
      </w:pPr>
      <w:r>
        <w:rPr/>
        <w:t>Section 9.1 of the Act was enacted alongside the aforementioned amendments to the definitions in the Act in 1999 to permit the Alberta Securities Commission (the "</w:t>
      </w:r>
      <w:r>
        <w:rPr>
          <w:b/>
        </w:rPr>
        <w:t>ASC</w:t>
      </w:r>
      <w:r>
        <w:rPr/>
        <w:t>") to make an order at its discretion designating a futures contract or class of futures contracts not to be a futures contract for the purposes of the Act if such was not prejudicial to the public interest.  Pursuant to this power, the ASC issued a blanket order on July 29, 1999 (the "</w:t>
      </w:r>
      <w:r>
        <w:rPr>
          <w:b/>
        </w:rPr>
        <w:t>Old Blanket Order</w:t>
      </w:r>
      <w:r>
        <w:rPr/>
        <w:t>") pursuant to which OTC derivatives and commodity contracts were specifically excluded from the definition of futures contracts under the Act provided that either such transactions permitted the physical delivery of the underlying commodity only or that the transactions were entered into between "</w:t>
      </w:r>
      <w:r>
        <w:rPr>
          <w:b/>
        </w:rPr>
        <w:t>Qualified Parties</w:t>
      </w:r>
      <w:r>
        <w:rPr/>
        <w:t>" (as defined therein and as discussed in the First Memorandum)</w:t>
      </w:r>
      <w:r>
        <w:rPr>
          <w:rStyle w:val="FootnoteCharacters"/>
          <w:rStyle w:val="FootnoteReference"/>
        </w:rPr>
        <w:footnoteReference w:id="3"/>
      </w:r>
      <w:r>
        <w:rPr/>
        <w:t>, each acting as principal.  Although the Old Blanket Order has since been revoked, it has been replaced with a functionally equivalent blanket order dated August 4, 2000 (the "</w:t>
      </w:r>
      <w:r>
        <w:rPr>
          <w:b/>
        </w:rPr>
        <w:t>New Blanket Order</w:t>
      </w:r>
      <w:r>
        <w:rPr/>
        <w:t xml:space="preserve">"), the purpose of which is similarly to exclude from regulation those OTC derivatives and commodity transactions involving large, sophisticated and creditworthy institutions and individuals.  </w:t>
      </w:r>
    </w:p>
    <w:p>
      <w:pPr>
        <w:pStyle w:val="BodyText"/>
        <w:rPr/>
      </w:pPr>
      <w:r>
        <w:rPr/>
        <w:t>In light of the foregoing analysis, the clear implication to be drawn is that provided that an OTC derivative or commodity transaction involves Qualified Parties acting as principal or the physical delivery of the underlying commodity only, the OTC derivative or commodity contract ought not to be regarded as a futures contract and thus would not likely be regarded as a security for the purposes of the Act</w:t>
      </w:r>
      <w:r>
        <w:rPr>
          <w:rStyle w:val="FootnoteCharacters"/>
          <w:rStyle w:val="FootnoteReference"/>
        </w:rPr>
        <w:footnoteReference w:id="4"/>
      </w:r>
      <w:r>
        <w:rPr/>
        <w:t>.  Given the breadth of the "commercial user" head of the definition of Qualified Party, we would think, within the context of Enron's commodity-based business, that most industry participants who are Enron counterparties would constitute "Qualified Parties".</w:t>
      </w:r>
    </w:p>
    <w:p>
      <w:pPr>
        <w:pStyle w:val="BodyText"/>
        <w:rPr/>
      </w:pPr>
      <w:r>
        <w:rPr/>
        <w:t>However, to the extent that Transactions do not involve Qualified Parties, or involve Qualified Parties either of which is not acting as principal, and do not involve the physical delivery of the underlying commodity only, the New Blanket Order would not apply and the contract would therefore be considered a "futures contract" and hence a security under the Act, with all of the attendant implications.</w:t>
      </w:r>
    </w:p>
    <w:p>
      <w:pPr>
        <w:pStyle w:val="BodyText"/>
        <w:rPr/>
      </w:pPr>
      <w:r>
        <w:rPr/>
        <w:t xml:space="preserve">For instance, if the latter situation were the case, the definition of "trade" in Section 1(x) of the Act would include the entrance into such Transaction and therefore mandate Enron to comply with the prospectus and registration requirements contained therein, unless otherwise exempted.  Further, any act, advertisement, solicitation, conduct or negotiation made directly or indirectly in furtherance of the entrance into the Transaction would similarly qualify as a trade.  As the ELO is a precursor step to the entrance by a counterparty into a Transaction with Enron, to the extent the underlying OTC derivative was considered to be a futures contract, the ELO would qualify as an act in furtherance thereof and bring it within the rubric of the Act.  </w:t>
      </w:r>
      <w:r>
        <w:rPr>
          <w:b/>
        </w:rPr>
        <w:t>As the securities law ramifications of such Transactions with non-Qualified Parties are numerous, our advice should be sought in respect of compliance therewith or the application for exemptive relief therefrom to the extent Enron contemplates any Transactions with such entities which do not provide for the physical delivery only of the commodity.</w:t>
      </w:r>
    </w:p>
    <w:p>
      <w:pPr>
        <w:pStyle w:val="Outline1"/>
        <w:numPr>
          <w:ilvl w:val="0"/>
          <w:numId w:val="3"/>
        </w:numPr>
        <w:ind w:hanging="0" w:start="0"/>
        <w:rPr>
          <w:b/>
          <w:i/>
          <w:i/>
        </w:rPr>
      </w:pPr>
      <w:r>
        <w:rPr>
          <w:b/>
          <w:i/>
        </w:rPr>
        <w:t>Does the ELO Option Render EnronOnline an "Exchange"?</w:t>
      </w:r>
    </w:p>
    <w:p>
      <w:pPr>
        <w:pStyle w:val="BodyText"/>
        <w:rPr/>
      </w:pPr>
      <w:r>
        <w:rPr/>
        <w:t xml:space="preserve">The second stage of the analysis requires the determination of whether </w:t>
      </w:r>
      <w:r>
        <w:rPr>
          <w:i/>
        </w:rPr>
        <w:t>EnronOnline</w:t>
      </w:r>
      <w:r>
        <w:rPr/>
        <w:t xml:space="preserve"> would be considered an "exchange" for purposes of the Act in each possible scenario.</w:t>
      </w:r>
    </w:p>
    <w:p>
      <w:pPr>
        <w:pStyle w:val="BodyText"/>
        <w:rPr/>
      </w:pPr>
      <w:r>
        <w:rPr/>
        <w:t xml:space="preserve">In that regard, to the extent that the products offered and Transactions entered into in relation thereto by Enron through </w:t>
      </w:r>
      <w:r>
        <w:rPr>
          <w:i/>
        </w:rPr>
        <w:t>EnronOnline</w:t>
      </w:r>
      <w:r>
        <w:rPr/>
        <w:t xml:space="preserve"> involve Qualified Parties acting as principal, or the physical delivery of the underlying commodity only, this subsequent analysis is unnecessary.  That is, as the ASC does not have the requisite jurisdiction pursuant to the Act to regulate matters other than those relating to "securities", to the extent the foregoing qualifications are met the Transactions would not likely be regarded as securities and it would therefore be unnecessary to consider whether </w:t>
      </w:r>
      <w:r>
        <w:rPr>
          <w:i/>
        </w:rPr>
        <w:t xml:space="preserve">EnronOnline </w:t>
      </w:r>
      <w:r>
        <w:rPr/>
        <w:t xml:space="preserve">was functioning as an exchange, whether with or without the ELO option.  Put simply, if the Transactions are not securities, </w:t>
      </w:r>
      <w:r>
        <w:rPr>
          <w:i/>
        </w:rPr>
        <w:t xml:space="preserve">EnronOnline </w:t>
      </w:r>
      <w:r>
        <w:rPr/>
        <w:t>could not be considered an exchange under the Act.</w:t>
      </w:r>
    </w:p>
    <w:p>
      <w:pPr>
        <w:pStyle w:val="BodyText"/>
        <w:rPr/>
      </w:pPr>
      <w:r>
        <w:rPr/>
        <w:t xml:space="preserve">However, assuming for the purpose of this part of the analysis that the underlying Transactions would constitute securities for purposes of the Act in the circumstances hereinbefore described, it becomes necessary to consider whether the addition of the ELO function could bring </w:t>
      </w:r>
      <w:r>
        <w:rPr>
          <w:i/>
        </w:rPr>
        <w:t>EnronOnline</w:t>
      </w:r>
      <w:r>
        <w:rPr/>
        <w:t xml:space="preserve"> within the definition of an "exchange".  In that regard, Section 52(1) of the Act provides:</w:t>
      </w:r>
    </w:p>
    <w:p>
      <w:pPr>
        <w:pStyle w:val="Normal"/>
        <w:ind w:start="1440" w:end="1440"/>
        <w:rPr/>
      </w:pPr>
      <w:r>
        <w:rPr/>
        <w:t>No person or company shall carry on business as an exchange in Alberta unless the person or company is recognized by the Commission as an exchange.</w:t>
      </w:r>
    </w:p>
    <w:p>
      <w:pPr>
        <w:pStyle w:val="BodyText"/>
        <w:rPr/>
      </w:pPr>
      <w:r>
        <w:rPr/>
        <w:t xml:space="preserve">The analysis of whether </w:t>
      </w:r>
      <w:r>
        <w:rPr>
          <w:i/>
        </w:rPr>
        <w:t>EnronOnline</w:t>
      </w:r>
      <w:r>
        <w:rPr/>
        <w:t xml:space="preserve"> is the functional equivalent of an exchange, and therefore requires recognition from the ASC pursuant to Section 52(1) or an exemption therefrom, is complicated by the fact, as noted in the First Memorandum, that the term "exchange" is nowhere defined in the Act or any other Canadian securities legislation having application.  This, accordingly, led us in the First Memorandum to a consideration of the Canadian and American jurisprudence on point, much of which discussion remains applicable within the current context.</w:t>
      </w:r>
    </w:p>
    <w:p>
      <w:pPr>
        <w:pStyle w:val="BodyText"/>
        <w:rPr/>
      </w:pPr>
      <w:r>
        <w:rPr/>
        <w:t xml:space="preserve">However, subsequent to the date of the First Memorandum, this issue has been provided some guidance with the creation of National Instrument 21-101 – </w:t>
      </w:r>
      <w:r>
        <w:rPr>
          <w:i/>
        </w:rPr>
        <w:t>Marketplace Operation</w:t>
      </w:r>
      <w:r>
        <w:rPr/>
        <w:t xml:space="preserve"> ("</w:t>
      </w:r>
      <w:r>
        <w:rPr>
          <w:b/>
        </w:rPr>
        <w:t>NI 21-101</w:t>
      </w:r>
      <w:r>
        <w:rPr/>
        <w:t>") and its accompanying companion policy (the "</w:t>
      </w:r>
      <w:r>
        <w:rPr>
          <w:b/>
        </w:rPr>
        <w:t>Companion Policy</w:t>
      </w:r>
      <w:r>
        <w:rPr/>
        <w:t xml:space="preserve">") which have been approved and adopted by the Canadian securities regulatory authorities and are to come into force December 1, 2001.  Although NI 21-101 is directed primarily at alternative trading systems other than traditional exchanges and quotation and trade reporting systems, and would therefore seem at first blush to be directed squarely at services such as </w:t>
      </w:r>
      <w:r>
        <w:rPr>
          <w:i/>
        </w:rPr>
        <w:t>EnronOnline</w:t>
      </w:r>
      <w:r>
        <w:rPr/>
        <w:t xml:space="preserve">, Section 1.4 thereof expressly excludes its application to "futures contracts".  As a result, its significance to the present situation is purely circumstantial and to offer guidance as to the characteristics that may be reviewed to determine whether a trading system will be regarded as an exchange for securities law purposes.  </w:t>
      </w:r>
    </w:p>
    <w:p>
      <w:pPr>
        <w:pStyle w:val="BodyText"/>
        <w:rPr/>
      </w:pPr>
      <w:r>
        <w:rPr/>
        <w:t>In that regard, Section 3.1 of the Companion Policy provides that an "exchange" for the purposes of securities legislation is a "marketplace" that:</w:t>
      </w:r>
    </w:p>
    <w:p>
      <w:pPr>
        <w:pStyle w:val="Outline2"/>
        <w:numPr>
          <w:ilvl w:val="1"/>
          <w:numId w:val="5"/>
        </w:numPr>
        <w:ind w:hanging="0" w:start="0"/>
        <w:rPr/>
      </w:pPr>
      <w:r>
        <w:rPr/>
        <w:t>Requires an issuer to enter into an agreement in order for the issuer's securities to trade on the marketplace (</w:t>
      </w:r>
      <w:r>
        <w:rPr>
          <w:i/>
        </w:rPr>
        <w:t>ie.</w:t>
      </w:r>
      <w:r>
        <w:rPr/>
        <w:t>, The marketplace provides a listing function);</w:t>
      </w:r>
    </w:p>
    <w:p>
      <w:pPr>
        <w:pStyle w:val="Outline2"/>
        <w:numPr>
          <w:ilvl w:val="1"/>
          <w:numId w:val="3"/>
        </w:numPr>
        <w:ind w:hanging="0" w:start="0"/>
        <w:rPr/>
      </w:pPr>
      <w:r>
        <w:rPr/>
        <w:t>Provides, directly, or through one or more marketplace participants, a guarantee of a two-sided market for a security on a continuous or reasonably continuous basis (</w:t>
      </w:r>
      <w:r>
        <w:rPr>
          <w:i/>
        </w:rPr>
        <w:t>ie.</w:t>
      </w:r>
      <w:r>
        <w:rPr/>
        <w:t>, The marketplace has one or more marketplace participants that guarantee that a bid and ask will be posted for a security on a continuous or reasonably continuous basis);</w:t>
      </w:r>
    </w:p>
    <w:p>
      <w:pPr>
        <w:pStyle w:val="Outline2"/>
        <w:numPr>
          <w:ilvl w:val="1"/>
          <w:numId w:val="3"/>
        </w:numPr>
        <w:ind w:hanging="0" w:start="0"/>
        <w:rPr/>
      </w:pPr>
      <w:r>
        <w:rPr/>
        <w:t>Sets requirements governing the conduct of marketplace participants, in addition to those requirements set by the marketplace in respect of the method of trading or algorithm used by those marketplace participants to execute trades on the system (</w:t>
      </w:r>
      <w:r>
        <w:rPr>
          <w:i/>
        </w:rPr>
        <w:t>ie.</w:t>
      </w:r>
      <w:r>
        <w:rPr/>
        <w:t>, This does not include the imposition of credit conditions or the requirement for subscribers to provide financial information); or</w:t>
      </w:r>
    </w:p>
    <w:p>
      <w:pPr>
        <w:pStyle w:val="Outline2"/>
        <w:numPr>
          <w:ilvl w:val="1"/>
          <w:numId w:val="3"/>
        </w:numPr>
        <w:ind w:hanging="0" w:start="0"/>
        <w:rPr/>
      </w:pPr>
      <w:r>
        <w:rPr/>
        <w:t>Disciplines marketplace participants, in addition to discipline by exclusion from trading (</w:t>
      </w:r>
      <w:r>
        <w:rPr>
          <w:i/>
        </w:rPr>
        <w:t>ie.</w:t>
      </w:r>
      <w:r>
        <w:rPr/>
        <w:t xml:space="preserve">, The marketplace can levy fines or take enforcement action).  </w:t>
      </w:r>
    </w:p>
    <w:p>
      <w:pPr>
        <w:pStyle w:val="Outline2"/>
        <w:numPr>
          <w:ilvl w:val="0"/>
          <w:numId w:val="0"/>
        </w:numPr>
        <w:ind w:firstLine="720" w:start="0" w:end="0"/>
        <w:rPr/>
      </w:pPr>
      <w:r>
        <w:rPr/>
        <w:t>A "marketplace", in turn, means an exchange, a quotation and trade reporting system or a person or company that:</w:t>
      </w:r>
    </w:p>
    <w:p>
      <w:pPr>
        <w:pStyle w:val="Outline2"/>
        <w:numPr>
          <w:ilvl w:val="1"/>
          <w:numId w:val="6"/>
        </w:numPr>
        <w:ind w:hanging="0" w:start="0"/>
        <w:rPr/>
      </w:pPr>
      <w:r>
        <w:rPr/>
        <w:t>Constitutes, maintains or provides a market or facility for bringing together buyers and sellers of securities;</w:t>
      </w:r>
    </w:p>
    <w:p>
      <w:pPr>
        <w:pStyle w:val="Outline2"/>
        <w:numPr>
          <w:ilvl w:val="1"/>
          <w:numId w:val="3"/>
        </w:numPr>
        <w:ind w:hanging="0" w:start="0"/>
        <w:rPr/>
      </w:pPr>
      <w:r>
        <w:rPr/>
        <w:t>Brings together the orders for securities of multiple buyers and sellers (</w:t>
      </w:r>
      <w:r>
        <w:rPr>
          <w:i/>
        </w:rPr>
        <w:t>ie.</w:t>
      </w:r>
      <w:r>
        <w:rPr/>
        <w:t>, The company displays, or otherwise represents to marketplace participants, trading interests entered on the system or receives orders centrally for processing and execution); and</w:t>
      </w:r>
    </w:p>
    <w:p>
      <w:pPr>
        <w:pStyle w:val="Outline2"/>
        <w:numPr>
          <w:ilvl w:val="1"/>
          <w:numId w:val="3"/>
        </w:numPr>
        <w:ind w:hanging="0" w:start="0"/>
        <w:rPr/>
      </w:pPr>
      <w:r>
        <w:rPr/>
        <w:t>Uses established, non-discretionary methods under which the orders interact with each other, and the buyers and sellers entering the orders agree to the terms of a trade (</w:t>
      </w:r>
      <w:r>
        <w:rPr>
          <w:i/>
        </w:rPr>
        <w:t>ie.</w:t>
      </w:r>
      <w:r>
        <w:rPr/>
        <w:t xml:space="preserve">, Includes any methods that dictate the terms of trading among the multiple buyers and sellers entering orders on the system).  </w:t>
      </w:r>
    </w:p>
    <w:p>
      <w:pPr>
        <w:pStyle w:val="BodyText"/>
        <w:rPr/>
      </w:pPr>
      <w:r>
        <w:rPr/>
        <w:t xml:space="preserve">As a result of the foregoing, the implication for </w:t>
      </w:r>
      <w:r>
        <w:rPr>
          <w:i/>
        </w:rPr>
        <w:t>EnronOnline</w:t>
      </w:r>
      <w:r>
        <w:rPr/>
        <w:t xml:space="preserve"> is that in order to be considered an exchange, </w:t>
      </w:r>
      <w:r>
        <w:rPr>
          <w:i/>
        </w:rPr>
        <w:t>EnronOnline</w:t>
      </w:r>
      <w:r>
        <w:rPr/>
        <w:t xml:space="preserve"> must first be determined to meet all of the general qualifications of a "marketplace" as a precursor to the specific qualifications of a marketplace that is also an "exchange".  In that regard, it could be argued that </w:t>
      </w:r>
      <w:r>
        <w:rPr>
          <w:i/>
        </w:rPr>
        <w:t>EnronOnline</w:t>
      </w:r>
      <w:r>
        <w:rPr/>
        <w:t xml:space="preserve"> would (to the extent Transactions are "securities" as discussed above) meet the first qualification of a "marketplace" as being a facility for bringing together buyers and sellers of such securities, as such would be a primary purpose of </w:t>
      </w:r>
      <w:r>
        <w:rPr>
          <w:i/>
        </w:rPr>
        <w:t>EnronOnline</w:t>
      </w:r>
      <w:r>
        <w:rPr/>
        <w:t xml:space="preserve">.  Further, it could be argued that </w:t>
      </w:r>
      <w:r>
        <w:rPr>
          <w:i/>
        </w:rPr>
        <w:t>EnronOnline</w:t>
      </w:r>
      <w:r>
        <w:rPr/>
        <w:t xml:space="preserve"> would meet the second qualification as it brings together the orders for such "securities" of multiple buyers and sellers.  Presumably a number of entities utilize the services of </w:t>
      </w:r>
      <w:r>
        <w:rPr>
          <w:i/>
        </w:rPr>
        <w:t>EnronOnline</w:t>
      </w:r>
      <w:r>
        <w:rPr/>
        <w:t xml:space="preserve"> for purchasing and selling commodities, whether those contracts are ultimately settled by physical delivery or cash, and </w:t>
      </w:r>
      <w:r>
        <w:rPr>
          <w:i/>
        </w:rPr>
        <w:t>EnronOnline</w:t>
      </w:r>
      <w:r>
        <w:rPr/>
        <w:t xml:space="preserve"> receives and processes those orders centrally.  Notwithstanding that each individual order involves Enron and only one other counterparty, </w:t>
      </w:r>
      <w:r>
        <w:rPr>
          <w:i/>
        </w:rPr>
        <w:t>EnronOnline</w:t>
      </w:r>
      <w:r>
        <w:rPr/>
        <w:t xml:space="preserve"> itself may be regarded as bringing together multiple buyers and sellers, the utilization of the ELO being demonstrative of this intent.  Finally, it could be argued that </w:t>
      </w:r>
      <w:r>
        <w:rPr>
          <w:i/>
        </w:rPr>
        <w:t>EnronOnline</w:t>
      </w:r>
      <w:r>
        <w:rPr/>
        <w:t xml:space="preserve"> meets the final qualification of a marketplace and may be viewed as utilizing established non-discretionary methods insofar as orders that are accepted by Enron are presumably subject to a number of non-discretionary rules including in respect of price and execution priorities.  To the extent there are no non-discretionary rules governing the Transactions, however, </w:t>
      </w:r>
      <w:r>
        <w:rPr>
          <w:i/>
        </w:rPr>
        <w:t xml:space="preserve">EnronOnline </w:t>
      </w:r>
      <w:r>
        <w:rPr/>
        <w:t xml:space="preserve">would not meet this qualification for being a marketplace and thereby could not be considered an exchange.  </w:t>
      </w:r>
    </w:p>
    <w:p>
      <w:pPr>
        <w:pStyle w:val="BodyText"/>
        <w:rPr/>
      </w:pPr>
      <w:r>
        <w:rPr/>
        <w:t xml:space="preserve">Assuming for the moment that </w:t>
      </w:r>
      <w:r>
        <w:rPr>
          <w:i/>
        </w:rPr>
        <w:t>EnronOnline</w:t>
      </w:r>
      <w:r>
        <w:rPr/>
        <w:t xml:space="preserve"> would be found to be a "marketplace", it would then have to be determined whether </w:t>
      </w:r>
      <w:r>
        <w:rPr>
          <w:i/>
        </w:rPr>
        <w:t>EnronOnline</w:t>
      </w:r>
      <w:r>
        <w:rPr/>
        <w:t xml:space="preserve"> is a marketplace meeting any (or, arguably, all) of the additional requirements set forth under the description of an "exchange" above.  In that regard, on a review of those requirements it is unlikely that </w:t>
      </w:r>
      <w:r>
        <w:rPr>
          <w:i/>
        </w:rPr>
        <w:t>EnronOnline</w:t>
      </w:r>
      <w:r>
        <w:rPr/>
        <w:t xml:space="preserve"> would be considered to be an "exchange" because it does not offer the typical features of an exchange, including a guarantee of liquidity or the regulation of the behaviour of marketplace participants and the discipline of those who contravene such regulations.</w:t>
      </w:r>
    </w:p>
    <w:p>
      <w:pPr>
        <w:pStyle w:val="BodyText"/>
        <w:rPr/>
      </w:pPr>
      <w:r>
        <w:rPr/>
        <w:t xml:space="preserve">As a result, if the ELO option is being utilized by, and the underlying Transactions are entered into by, parties, at least one of which is not a Qualified Party, and which do not provide for the physical delivery only of the commodity (and as a result thereof Enron is determined to be trading in securities), it is nevertheless unlikely that </w:t>
      </w:r>
      <w:r>
        <w:rPr>
          <w:i/>
        </w:rPr>
        <w:t>EnronOnline</w:t>
      </w:r>
      <w:r>
        <w:rPr/>
        <w:t xml:space="preserve"> would be considered to be an exchange for purposes of applicable securities legislation.  Enron would, as noted above, have to in any event address the registration and prospectus issues that arise in such circumstances. </w:t>
      </w:r>
    </w:p>
    <w:p>
      <w:pPr>
        <w:pStyle w:val="Normal"/>
        <w:keepNext w:val="true"/>
        <w:rPr>
          <w:b/>
        </w:rPr>
      </w:pPr>
      <w:r>
        <w:rPr>
          <w:b/>
        </w:rPr>
        <w:t>ADDITIONAL INFORMATION:  DISCUSSION WITH THE ASC AND ANALYSIS OF OTHER TRADING SYSTEMS</w:t>
      </w:r>
    </w:p>
    <w:p>
      <w:pPr>
        <w:pStyle w:val="BodyText"/>
        <w:rPr/>
      </w:pPr>
      <w:r>
        <w:rPr/>
        <w:t xml:space="preserve">Given Enron's intended utilization of the ELO in connection with Transactions on </w:t>
      </w:r>
      <w:r>
        <w:rPr>
          <w:i/>
        </w:rPr>
        <w:t>EnronOnline</w:t>
      </w:r>
      <w:r>
        <w:rPr/>
        <w:t xml:space="preserve"> and in connection with our preparation of this memorandum, confidential "no-names" discussions were held with the relevant individual at the ASC to determine the ASC's qualified position on such activities.  Staff indicated that a number of entities have obtained exemptive relief from the ASC</w:t>
      </w:r>
      <w:r>
        <w:rPr>
          <w:rStyle w:val="FootnoteCharacters"/>
          <w:rStyle w:val="FootnoteReference"/>
        </w:rPr>
        <w:footnoteReference w:id="5"/>
      </w:r>
      <w:r>
        <w:rPr/>
        <w:t xml:space="preserve"> in the past for online OTC derivative transactions and in each such situation the crucial consideration in determining whether the instruments constituted OTC derivatives excluded from the definition of futures contracts and thereby securities, was whether the transactions were truly bilateral.  That is, to the extent one party was engaged with a counterparty in an OTC derivative transaction, the issue was whether the relationship was truly bilateral or whether the entity operating the online system was engaged merely as an agent to put together corresponding parties.  If the latter were the case, the bilateral nature would be compromised.  In addition, the individual at the ASC indicated that in respect of the determination regarding the characterization as an exchange, the ASC adopts a functional perspective in that regard.  That is, to the extent the marketplace functions in material respects similarly to a traditional exchange and has the hallmarks thereof, they would seek to compel the marketplace to seek recognition under the Act or an exemption therefrom.  Unfortunately, no specifics were forthcoming as to the precise criteria reviewed and the relative weight placed on each, notwithstanding a request therefor. </w:t>
      </w:r>
    </w:p>
    <w:p>
      <w:pPr>
        <w:pStyle w:val="BodyText"/>
        <w:rPr/>
      </w:pPr>
      <w:r>
        <w:rPr/>
        <w:t xml:space="preserve">In light of the foregoing comments and to further support our position as set forth herein in respect of Enron's trading activities on </w:t>
      </w:r>
      <w:r>
        <w:rPr>
          <w:i/>
        </w:rPr>
        <w:t>EnronOnline</w:t>
      </w:r>
      <w:r>
        <w:rPr/>
        <w:t>, a review was conducted of the relevant exemptive orders granted by the ASC to other online trading systems, notably Enbridge Petroleum Exchange Inc. ("</w:t>
      </w:r>
      <w:r>
        <w:rPr>
          <w:b/>
        </w:rPr>
        <w:t>Enbridge Exchange</w:t>
      </w:r>
      <w:r>
        <w:rPr/>
        <w:t>") and Natural Gas Exchange Inc. ("</w:t>
      </w:r>
      <w:r>
        <w:rPr>
          <w:b/>
        </w:rPr>
        <w:t>NGX</w:t>
      </w:r>
      <w:r>
        <w:rPr/>
        <w:t xml:space="preserve">").  </w:t>
      </w:r>
    </w:p>
    <w:p>
      <w:pPr>
        <w:pStyle w:val="BodyText"/>
        <w:rPr/>
      </w:pPr>
      <w:r>
        <w:rPr/>
        <w:t xml:space="preserve">In the case of Enbridge Exchange, relief was sought and obtained from the provisions of the Act governing both its activities as an exchange and the registration requirements in respect of its trades of securities.  Notable characteristics of the Enbridge Exchange are that (a) the contracts have an obligation to deliver or purchase oil but delivery may be settled by way of oil or cash, (b) upon the acceptance of an offer to sell by a subscriber a contract is deemed to be entered into between the seller and Enbridge Exchange and a second contract is deemed to be entered into between Enbridge Exchange and the subscriber who accepted the offer, both on identical terms, and (c) subscribers must be entities in the oil and gas industry with substantial financial resources whose day to day operations are affected by changes in the price of oil.  It is also important to note that Enbridge Exchange had been obtaining similar relief on a renewable basis since prior to the enactment of the amendments to the Act amending the definition of "futures contract" and the ASC's issuance of the Old Blanket Order and New Blanket Order, and that therefor there may be a historical basis for their continued application therefor.  In this regard, Enbridge Exchange initially may have obtained the exemptive relief in order to protect its transactions from the rigors of the previous broad provisions of the Act (which would have simply included most forward commodity contracts under the definition of "futures contract" and hence "security" with no corresponding blanket relief from the application of the Act for Qualified Party transactions).  On enactment of the amendment to the definition of "futures contract" and the issuance of the blanket orders, it would seem likely that most (if not all) of Enbridge Exchange's customers would be "Qualified Parties", given that subscribers are restricted to industry participants with exposure to oil price movements and thereby fall within the broad "commercial user" qualification as hereinbefore described.  However, it may have been simpler for Enbridge Exchange to simply reapply for the relief obtained under the prior definitions on the applicable anniversary date of the granting of the relief rather than explain to the ASC why it may no longer require the relief. </w:t>
      </w:r>
    </w:p>
    <w:p>
      <w:pPr>
        <w:pStyle w:val="BodyText"/>
        <w:rPr/>
      </w:pPr>
      <w:r>
        <w:rPr/>
        <w:t>In the case of NGX, similar relief to Enbridge Exchange was sought and obtained.  In that regard, NGX has certain characteristics similar to those of Enbridge Exchange insofar as (a) NGX is a counterparty to every physical contract and swap contract and (b) subscribers must be entities with access to such capacity on the transportation system as may be required for delivery of gas under a physical contract as well as meet certain financial and other qualifications. However, in addition, among other matters, (a) the electronic system displays all bids and asks of all participants and (b) NGX provides assurances as to the performance of the contracts by participants.  Once again, it is important to note that NGX has been obtaining similar relief on a renewable basis since 1993 and there may also be a historical basis for their continued application for certain aspects of relief that may not be necessary today if all NGX customers are "Qualified Parties".  In addition, however, its activities even more closely align with those of a true exchange (as determined by reference to the relevant criteria as set forth above) and to the extent non-Qualified Parties or Qualified Parties acting as agents rather than principals for non-Qualified Parties are involved in transactions, the transactions may involve "securities" and thereby bring its activities within the jurisdiction of the Act, necessitating exemptive relief.</w:t>
      </w:r>
    </w:p>
    <w:p>
      <w:pPr>
        <w:pStyle w:val="BodyText"/>
        <w:rPr/>
      </w:pPr>
      <w:r>
        <w:rPr/>
        <w:t xml:space="preserve">In contrast, </w:t>
      </w:r>
      <w:r>
        <w:rPr>
          <w:i/>
        </w:rPr>
        <w:t>EnronOnline</w:t>
      </w:r>
      <w:r>
        <w:rPr/>
        <w:t xml:space="preserve"> would appear to function differently than either of Enbridge Exchange or NGX.  While Enbridge Exchange involves itself as an agent for undisclosed principals entering into transactions between themselves and only notionally acts as a counterparty on each side of a transaction</w:t>
      </w:r>
      <w:r>
        <w:rPr>
          <w:rStyle w:val="FootnoteCharacters"/>
          <w:rStyle w:val="FootnoteReference"/>
        </w:rPr>
        <w:footnoteReference w:id="6"/>
      </w:r>
      <w:r>
        <w:rPr/>
        <w:t xml:space="preserve">, the </w:t>
      </w:r>
      <w:r>
        <w:rPr>
          <w:i/>
        </w:rPr>
        <w:t>EnronOnline</w:t>
      </w:r>
      <w:r>
        <w:rPr/>
        <w:t xml:space="preserve"> system posts only its own bid/ask prices and thereby invites counterparties to deal only with itself as principal with each participant effecting a Transaction.  As a result, provided </w:t>
      </w:r>
      <w:r>
        <w:rPr>
          <w:i/>
        </w:rPr>
        <w:t>EnronOnline</w:t>
      </w:r>
      <w:r>
        <w:rPr/>
        <w:t xml:space="preserve"> restricts transactions to Qualified Parties or to transactions involving the physical delivery of a commodity only, the transactions would not constitute securities to which the Act would have application.  In respect of the exchange characterization issue, </w:t>
      </w:r>
      <w:r>
        <w:rPr>
          <w:i/>
        </w:rPr>
        <w:t>EnronOnline</w:t>
      </w:r>
      <w:r>
        <w:rPr/>
        <w:t xml:space="preserve"> is even farther removed from the activities conducted by NGX, as NGX functions even more like a true exchange, posting bid/asks and inviting participants to deal with each other through the facilities it provides rather than having any principal interest in the transactions which thereby occur.  Again, the implications for the application of the Act to NGX are clear</w:t>
      </w:r>
      <w:r>
        <w:rPr>
          <w:rStyle w:val="FootnoteCharacters"/>
          <w:rStyle w:val="FootnoteReference"/>
        </w:rPr>
        <w:footnoteReference w:id="7"/>
      </w:r>
      <w:r>
        <w:rPr/>
        <w:t xml:space="preserve"> while the rationale for its non-application to </w:t>
      </w:r>
      <w:r>
        <w:rPr>
          <w:i/>
        </w:rPr>
        <w:t>EnronOnline</w:t>
      </w:r>
      <w:r>
        <w:rPr/>
        <w:t xml:space="preserve"> are equally apparent.  </w:t>
      </w:r>
    </w:p>
    <w:p>
      <w:pPr>
        <w:pStyle w:val="BodyText"/>
        <w:rPr/>
      </w:pPr>
      <w:r>
        <w:rPr/>
        <w:t>As noted above, ASC staff indicated that in the context of both Enbridge Exchange and NGX Exchange, the issue in the most recent application for exemptive  relief (following issuance of the Old Blanket Order in each case) was whether the transactions between Enbridge Exchange/NGX and their customers were truly bilateral or whether Enbridge Exchange/NGX was simply acting as a conduit or agent, since the blanket order only exempted transactions between Qualified Parties "each acting as principal".  In our view, even if Enbridge Exchange/NGX were only acting as an agent, so long as the principals to the transaction were Qualified Parties the transaction between them would not be a "futures contract" and hence not a "security" and, accordingly, Enbridge Exchange/NGX's activities in relation thereto would not be in relation to "securities".</w:t>
      </w:r>
    </w:p>
    <w:p>
      <w:pPr>
        <w:pStyle w:val="BodyText"/>
        <w:rPr/>
      </w:pPr>
      <w:r>
        <w:rPr/>
        <w:t xml:space="preserve">As a final note, during the course of the conversation with staff of the ASC we were advised that staff had received communications from those who operate similar online marketplaces (notably, including NGX) indicating that they were concerned that Enron was now engaged in more elaborate activities through </w:t>
      </w:r>
      <w:r>
        <w:rPr>
          <w:i/>
        </w:rPr>
        <w:t>EnronOnline</w:t>
      </w:r>
      <w:r>
        <w:rPr/>
        <w:t xml:space="preserve"> that might contravene the Act.  Staff had fairly accurate and comprehensive knowledge of the </w:t>
      </w:r>
      <w:r>
        <w:rPr>
          <w:i/>
        </w:rPr>
        <w:t>EnronOnline</w:t>
      </w:r>
      <w:r>
        <w:rPr/>
        <w:t xml:space="preserve"> ELO capacity and indicated that they might be reviewing these activities in the near future for compliance.  As a result, it is advisable for </w:t>
      </w:r>
      <w:r>
        <w:rPr>
          <w:i/>
        </w:rPr>
        <w:t>EnronOnline</w:t>
      </w:r>
      <w:r>
        <w:rPr/>
        <w:t xml:space="preserve"> to be diligent in either limiting the transactions occurring thereon to those which would not entail such transactions becoming regarded as securities or seeking our further advice in the event any such transactions are indeed contemplated.</w:t>
      </w:r>
    </w:p>
    <w:p>
      <w:pPr>
        <w:pStyle w:val="BodyText"/>
        <w:spacing w:before="0" w:after="240"/>
        <w:rPr/>
      </w:pPr>
      <w:r>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360" w:top="1440" w:footer="102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Univers Cd (W1)">
    <w:charset w:val="00" w:characterSet="windows-1252"/>
    <w:family w:val="swiss"/>
    <w:pitch w:val="variable"/>
  </w:font>
  <w:font w:name="Univers (W1)">
    <w:altName w:val="Arial"/>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lang w:val="en-CA"/>
      </w:rPr>
    </w:pPr>
    <w:r>
      <w:rPr>
        <w:lang w:val="en-CA"/>
      </w:rPr>
    </w:r>
    <w:r>
      <mc:AlternateContent>
        <mc:Choice Requires="wps">
          <w:drawing>
            <wp:anchor behindDoc="1" distT="0" distB="0" distL="114935" distR="114935" simplePos="0" locked="0" layoutInCell="0" allowOverlap="1" relativeHeight="20">
              <wp:simplePos x="0" y="0"/>
              <wp:positionH relativeFrom="margin">
                <wp:posOffset>0</wp:posOffset>
              </wp:positionH>
              <wp:positionV relativeFrom="paragraph">
                <wp:posOffset>274320</wp:posOffset>
              </wp:positionV>
              <wp:extent cx="1828800" cy="228600"/>
              <wp:effectExtent l="0" t="0" r="0" b="0"/>
              <wp:wrapNone/>
              <wp:docPr id="2" name="Frame2"/>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12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GFE\187383\1</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12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GFE\187383\1</w:t>
                    </w:r>
                    <w:r>
                      <w:rPr>
                        <w:sz w:val="12"/>
                        <w:lang w:val="en-US"/>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lang w:val="en-CA"/>
      </w:rPr>
    </w:pPr>
    <w:r>
      <w:rPr>
        <w:lang w:val="en-CA"/>
      </w:rPr>
    </w:r>
    <w:r>
      <mc:AlternateContent>
        <mc:Choice Requires="wps">
          <w:drawing>
            <wp:anchor behindDoc="1" distT="0" distB="0" distL="114935" distR="114935" simplePos="0" locked="0" layoutInCell="0" allowOverlap="1" relativeHeight="21">
              <wp:simplePos x="0" y="0"/>
              <wp:positionH relativeFrom="margin">
                <wp:posOffset>0</wp:posOffset>
              </wp:positionH>
              <wp:positionV relativeFrom="paragraph">
                <wp:posOffset>274320</wp:posOffset>
              </wp:positionV>
              <wp:extent cx="1828800" cy="228600"/>
              <wp:effectExtent l="0" t="0" r="0" b="0"/>
              <wp:wrapNone/>
              <wp:docPr id="3" name="Frame1"/>
              <a:graphic xmlns:a="http://schemas.openxmlformats.org/drawingml/2006/main">
                <a:graphicData uri="http://schemas.microsoft.com/office/word/2010/wordprocessingShape">
                  <wps:wsp>
                    <wps:cNvSpPr txBox="1"/>
                    <wps:spPr>
                      <a:xfrm>
                        <a:off x="0" y="0"/>
                        <a:ext cx="1828800" cy="228600"/>
                      </a:xfrm>
                      <a:prstGeom prst="rect"/>
                      <a:solidFill>
                        <a:srgbClr val="FFFFFF"/>
                      </a:solidFill>
                    </wps:spPr>
                    <wps:txbx>
                      <w:txbxContent>
                        <w:p>
                          <w:pPr>
                            <w:pStyle w:val="Normal"/>
                            <w:spacing w:before="0" w:after="12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GFE\187383\1</w:t>
                          </w:r>
                          <w:r>
                            <w:rPr>
                              <w:sz w:val="12"/>
                              <w:lang w:val="en-US"/>
                            </w:rPr>
                            <w:fldChar w:fldCharType="end"/>
                          </w:r>
                        </w:p>
                      </w:txbxContent>
                    </wps:txbx>
                    <wps:bodyPr anchor="t" lIns="635" tIns="46355" rIns="635" bIns="635">
                      <a:noAutofit/>
                    </wps:bodyPr>
                  </wps:wsp>
                </a:graphicData>
              </a:graphic>
            </wp:anchor>
          </w:drawing>
        </mc:Choice>
        <mc:Fallback>
          <w:pict>
            <v:rect fillcolor="#FFFFFF" style="position:absolute;rotation:-0;width:144pt;height:18pt;mso-wrap-distance-left:9.05pt;mso-wrap-distance-right:9.05pt;mso-wrap-distance-top:0pt;mso-wrap-distance-bottom:0pt;margin-top:21.6pt;mso-position-vertical-relative:text;margin-left:0pt;mso-position-horizontal-relative:margin">
              <v:textbox inset="0.000694444444444445in,0.0506944444444444in,0.000694444444444445in,0.000694444444444445in">
                <w:txbxContent>
                  <w:p>
                    <w:pPr>
                      <w:pStyle w:val="Normal"/>
                      <w:spacing w:before="0" w:after="120"/>
                      <w:rPr>
                        <w:sz w:val="12"/>
                        <w:lang w:val="en-US"/>
                      </w:rPr>
                    </w:pPr>
                    <w:r>
                      <w:rPr>
                        <w:sz w:val="12"/>
                        <w:lang w:val="en-US"/>
                      </w:rPr>
                      <w:fldChar w:fldCharType="begin"/>
                    </w:r>
                    <w:r>
                      <w:rPr>
                        <w:sz w:val="12"/>
                        <w:lang w:val="en-US"/>
                      </w:rPr>
                      <w:instrText xml:space="preserve"> DOCPROPERTY "SEDocID"</w:instrText>
                    </w:r>
                    <w:r>
                      <w:rPr>
                        <w:sz w:val="12"/>
                        <w:lang w:val="en-US"/>
                      </w:rPr>
                      <w:fldChar w:fldCharType="separate"/>
                    </w:r>
                    <w:r>
                      <w:rPr>
                        <w:sz w:val="12"/>
                        <w:lang w:val="en-US"/>
                      </w:rPr>
                      <w:t>GFE\187383\1</w:t>
                    </w:r>
                    <w:r>
                      <w:rPr>
                        <w:sz w:val="12"/>
                        <w:lang w:val="en-US"/>
                      </w:rPr>
                      <w:fldChar w:fldCharType="end"/>
                    </w:r>
                  </w:p>
                </w:txbxContent>
              </v:textbox>
              <w10:wrap type="non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S.A. 1981 c. S-6.1</w:t>
      </w:r>
    </w:p>
  </w:footnote>
  <w:footnote w:id="3">
    <w:p>
      <w:pPr>
        <w:pStyle w:val="FootnoteText"/>
        <w:tabs>
          <w:tab w:val="clear" w:pos="720"/>
          <w:tab w:val="left" w:pos="360" w:leader="none"/>
        </w:tabs>
        <w:ind w:hanging="360" w:start="360" w:end="0"/>
        <w:rPr/>
      </w:pPr>
      <w:r>
        <w:rPr>
          <w:rStyle w:val="FootnoteCharacters"/>
        </w:rPr>
        <w:footnoteRef/>
      </w:r>
      <w:r>
        <w:rPr/>
        <w:t xml:space="preserve"> </w:t>
      </w:r>
      <w:r>
        <w:rPr/>
        <w:tab/>
        <w:t>The New Blanket Order (as with the Old Blanket Order) provides for numerous classes of Qualified Parties.  Of these, the most significant and useful in Enron's scope of business are the:  (a) "commercial user" qualification (Section 9.1(D)), which is available to a person or company that sells, buys, trades, produces, markets, brokers or otherwise uses in its business a commodity and as a consequence enters into an OTC derivatives transaction or commodity contract; and (b) "corporation" qualification (Section 9.1(O)), which is available to a company, partnership, unincorporated association, organization or trust not otherwise a Qualified Party with total assets in excess of $25 million.</w:t>
      </w:r>
    </w:p>
  </w:footnote>
  <w:footnote w:id="4">
    <w:p>
      <w:pPr>
        <w:pStyle w:val="FootnoteText"/>
        <w:tabs>
          <w:tab w:val="clear" w:pos="720"/>
          <w:tab w:val="left" w:pos="360" w:leader="none"/>
        </w:tabs>
        <w:ind w:hanging="360" w:start="360" w:end="0"/>
        <w:rPr/>
      </w:pPr>
      <w:r>
        <w:rPr>
          <w:rStyle w:val="FootnoteCharacters"/>
        </w:rPr>
        <w:footnoteRef/>
      </w:r>
      <w:r>
        <w:rPr/>
        <w:t xml:space="preserve"> </w:t>
      </w:r>
      <w:r>
        <w:rPr/>
        <w:tab/>
        <w:t>Notwithstanding the analysis above, it is still possible that an OTC derivative, even though not a "futures contract" (through operation of the New Blanket Order), could otherwise be considered a security for purposes of the Act if it otherwise falls within the definition of "security" (see the First Memorandum for a discussion in this regard).  However, given that OTC derivatives have specifically been addressed by amendments to the definitions in the Act and the New Blanket Order, it is unlikely that the ASC would attempt to otherwise characterize such products as securities for the purposes of any investigation or enforcement proceedings.</w:t>
      </w:r>
    </w:p>
  </w:footnote>
  <w:footnote w:id="5">
    <w:p>
      <w:pPr>
        <w:pStyle w:val="FootnoteText"/>
        <w:tabs>
          <w:tab w:val="clear" w:pos="720"/>
          <w:tab w:val="left" w:pos="360" w:leader="none"/>
        </w:tabs>
        <w:ind w:hanging="360" w:start="360" w:end="0"/>
        <w:rPr/>
      </w:pPr>
      <w:r>
        <w:rPr>
          <w:rStyle w:val="FootnoteCharacters"/>
        </w:rPr>
        <w:footnoteRef/>
      </w:r>
      <w:r>
        <w:rPr/>
        <w:t xml:space="preserve"> </w:t>
      </w:r>
      <w:r>
        <w:rPr/>
        <w:tab/>
        <w:t xml:space="preserve">Including the ASC orders in respect of:  </w:t>
      </w:r>
      <w:r>
        <w:rPr>
          <w:i/>
        </w:rPr>
        <w:t>Enbridge Petroleum Exchange Inc</w:t>
      </w:r>
      <w:r>
        <w:rPr/>
        <w:t xml:space="preserve"> (August 25, 2000); </w:t>
      </w:r>
      <w:r>
        <w:rPr>
          <w:i/>
        </w:rPr>
        <w:t>KEFI Exchange Inc.</w:t>
      </w:r>
      <w:r>
        <w:rPr/>
        <w:t xml:space="preserve"> (April 28, 2000), </w:t>
      </w:r>
      <w:r>
        <w:rPr>
          <w:i/>
        </w:rPr>
        <w:t>Alberta Watt Exchange Limited</w:t>
      </w:r>
      <w:r>
        <w:rPr/>
        <w:t xml:space="preserve"> (November 24, 2000); and </w:t>
      </w:r>
      <w:r>
        <w:rPr>
          <w:i/>
        </w:rPr>
        <w:t>Natural Gas Exchange Inc. and NGX Financial Inc.</w:t>
      </w:r>
      <w:r>
        <w:rPr/>
        <w:t xml:space="preserve"> (August 31, 2001).</w:t>
      </w:r>
    </w:p>
  </w:footnote>
  <w:footnote w:id="6">
    <w:p>
      <w:pPr>
        <w:pStyle w:val="FootnoteText"/>
        <w:tabs>
          <w:tab w:val="clear" w:pos="720"/>
          <w:tab w:val="left" w:pos="360" w:leader="none"/>
        </w:tabs>
        <w:ind w:hanging="360" w:start="360" w:end="0"/>
        <w:rPr/>
      </w:pPr>
      <w:r>
        <w:rPr>
          <w:rStyle w:val="FootnoteCharacters"/>
        </w:rPr>
        <w:footnoteRef/>
      </w:r>
      <w:r>
        <w:rPr/>
        <w:t xml:space="preserve"> </w:t>
      </w:r>
      <w:r>
        <w:rPr/>
        <w:tab/>
        <w:t>The fact that Enbridge Exchange may only be serving as agent should not, in our view, take the transactions entered through Enbridge Exchange outside the New Blanket Order, provided both principals to the transactions are themselves "Qualified Parties".</w:t>
      </w:r>
    </w:p>
  </w:footnote>
  <w:footnote w:id="7">
    <w:p>
      <w:pPr>
        <w:pStyle w:val="FootnoteText"/>
        <w:tabs>
          <w:tab w:val="clear" w:pos="720"/>
          <w:tab w:val="left" w:pos="360" w:leader="none"/>
        </w:tabs>
        <w:ind w:hanging="360" w:start="360" w:end="0"/>
        <w:rPr/>
      </w:pPr>
      <w:r>
        <w:rPr>
          <w:rStyle w:val="FootnoteCharacters"/>
        </w:rPr>
        <w:footnoteRef/>
      </w:r>
      <w:r>
        <w:rPr/>
        <w:tab/>
        <w:t>Although, as noted above in the case of Enbridge Exchange, if NGX customers are themselves "Qualified Parties", then the products traded on the NGX are not likely "securities".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920" w:after="120"/>
      <w:jc w:val="end"/>
      <w:rPr/>
    </w:pPr>
    <w:r>
      <w:object w:dxaOrig="3059" w:dyaOrig="279">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53.95pt;margin-top:38.65pt;width:124.15pt;height:11.3pt;mso-wrap-distance-left:9.05pt;mso-wrap-distance-right:9.05pt;mso-position-horizontal-relative:text;mso-position-vertical-relative:text" filled="f" o:ole="">
          <v:imagedata r:id="rId2" o:title=""/>
        </v:shape>
        <o:OLEObject Type="Embed" ProgID="" ShapeID="ole_rId1" DrawAspect="Content" ObjectID="_224923563" r:id="rId1"/>
      </w:object>
    </w:r>
    <w:r>
      <w:rPr>
        <w:rStyle w:val="PageNumber"/>
        <w:rFonts w:eastAsia="Book Antiqua"/>
        <w:b w:val="false"/>
        <w:caps/>
      </w:rPr>
      <w:t xml:space="preserve"> </w:t>
    </w:r>
    <w:r>
      <w:rPr>
        <w:rStyle w:val="PageNumber"/>
        <w:rFonts w:cs="Book Antiqua"/>
        <w:b w:val="false"/>
        <w:caps/>
      </w:rPr>
      <w:fldChar w:fldCharType="begin"/>
    </w:r>
    <w:r>
      <w:rPr>
        <w:rStyle w:val="PageNumber"/>
        <w:caps/>
        <w:b w:val="false"/>
        <w:rFonts w:cs="Book Antiqua"/>
      </w:rPr>
      <w:instrText xml:space="preserve"> PAGE </w:instrText>
    </w:r>
    <w:r>
      <w:rPr>
        <w:rStyle w:val="PageNumber"/>
        <w:caps/>
        <w:b w:val="false"/>
        <w:rFonts w:cs="Book Antiqua"/>
      </w:rPr>
      <w:fldChar w:fldCharType="separate"/>
    </w:r>
    <w:r>
      <w:rPr>
        <w:rStyle w:val="PageNumber"/>
        <w:caps/>
        <w:b w:val="false"/>
        <w:rFonts w:cs="Book Antiqua"/>
      </w:rPr>
      <w:t>10</w:t>
    </w:r>
    <w:r>
      <w:rPr>
        <w:rStyle w:val="PageNumber"/>
        <w:caps/>
        <w:b w:val="false"/>
        <w:rFonts w:cs="Book Antiqua"/>
      </w:rPr>
      <w:fldChar w:fldCharType="end"/>
    </w:r>
    <w:r>
      <w:rPr>
        <w:rStyle w:val="PageNumber"/>
        <w:rFonts w:cs="Book Antiqua"/>
        <w:b w:val="false"/>
        <w:caps/>
      </w:rPr>
      <w:b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exact" w:line="240" w:before="0" w:after="120"/>
      <w:jc w:val="center"/>
      <w:rPr>
        <w:lang w:val="en-CA"/>
      </w:rPr>
    </w:pPr>
    <w:r>
      <w:rPr>
        <w:lang w:val="en-CA"/>
      </w:rPr>
      <w:object w:dxaOrig="3643" w:dyaOrig="33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24.95pt;margin-top:43.2pt;width:182.15pt;height:16.55pt;mso-wrap-distance-left:9.05pt;mso-wrap-distance-right:9.05pt;mso-position-horizontal-relative:text;mso-position-vertical-relative:page" filled="f" o:ole="">
          <v:imagedata r:id="rId2" o:title=""/>
        </v:shape>
        <o:OLEObject Type="Embed" ProgID="" ShapeID="ole_rId1" DrawAspect="Content" ObjectID="_819986005" r:id="rId1"/>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Symbol" w:hAnsi="Symbol" w:cs="Symbol" w:hint="default"/>
      </w:rPr>
    </w:lvl>
  </w:abstractNum>
  <w:abstractNum w:abstractNumId="3">
    <w:lvl w:ilvl="0">
      <w:start w:val="1"/>
      <w:numFmt w:val="decimal"/>
      <w:lvlText w:val="%1."/>
      <w:lvlJc w:val="start"/>
      <w:pPr>
        <w:tabs>
          <w:tab w:val="num" w:pos="0"/>
        </w:tabs>
        <w:ind w:start="720" w:hanging="720"/>
      </w:pPr>
    </w:lvl>
    <w:lvl w:ilvl="1">
      <w:start w:val="1"/>
      <w:numFmt w:val="lowerLetter"/>
      <w:lvlText w:val="(%2)"/>
      <w:lvlJc w:val="start"/>
      <w:pPr>
        <w:tabs>
          <w:tab w:val="num" w:pos="0"/>
        </w:tabs>
        <w:ind w:start="1440" w:hanging="720"/>
      </w:pPr>
    </w:lvl>
    <w:lvl w:ilvl="2">
      <w:start w:val="1"/>
      <w:numFmt w:val="lowerRoman"/>
      <w:lvlText w:val="(%3)"/>
      <w:lvlJc w:val="start"/>
      <w:pPr>
        <w:tabs>
          <w:tab w:val="num" w:pos="0"/>
        </w:tabs>
        <w:ind w:start="2160" w:hanging="720"/>
      </w:pPr>
    </w:lvl>
    <w:lvl w:ilvl="3">
      <w:start w:val="1"/>
      <w:numFmt w:val="upperLetter"/>
      <w:lvlText w:val="(%4)"/>
      <w:lvlJc w:val="start"/>
      <w:pPr>
        <w:tabs>
          <w:tab w:val="num" w:pos="0"/>
        </w:tabs>
        <w:ind w:start="2880" w:hanging="720"/>
      </w:pPr>
    </w:lvl>
    <w:lvl w:ilvl="4">
      <w:start w:val="1"/>
      <w:numFmt w:val="upperRoman"/>
      <w:lvlText w:val="(%5)"/>
      <w:lvlJc w:val="start"/>
      <w:pPr>
        <w:tabs>
          <w:tab w:val="num" w:pos="0"/>
        </w:tabs>
        <w:ind w:start="3600" w:hanging="720"/>
      </w:pPr>
    </w:lvl>
    <w:lvl w:ilvl="5">
      <w:start w:val="1"/>
      <w:numFmt w:val="decimal"/>
      <w:lvlText w:val="(%6)"/>
      <w:lvlJc w:val="start"/>
      <w:pPr>
        <w:tabs>
          <w:tab w:val="num" w:pos="0"/>
        </w:tabs>
        <w:ind w:start="4320" w:hanging="720"/>
      </w:pPr>
    </w:lvl>
    <w:lvl w:ilvl="6">
      <w:start w:val="1"/>
      <w:numFmt w:val="lowerRoman"/>
      <w:lvlText w:val="(%7)"/>
      <w:lvlJc w:val="start"/>
      <w:pPr>
        <w:tabs>
          <w:tab w:val="num" w:pos="0"/>
        </w:tabs>
        <w:ind w:start="5040" w:hanging="720"/>
      </w:pPr>
    </w:lvl>
    <w:lvl w:ilvl="7">
      <w:start w:val="1"/>
      <w:numFmt w:val="upperLetter"/>
      <w:lvlText w:val="(%8)"/>
      <w:lvlJc w:val="start"/>
      <w:pPr>
        <w:tabs>
          <w:tab w:val="num" w:pos="0"/>
        </w:tabs>
        <w:ind w:start="5760" w:hanging="720"/>
      </w:pPr>
    </w:lvl>
    <w:lvl w:ilvl="8">
      <w:start w:val="1"/>
      <w:numFmt w:val="upperRoman"/>
      <w:lvlText w:val="(%9)"/>
      <w:lvlJc w:val="start"/>
      <w:pPr>
        <w:tabs>
          <w:tab w:val="num" w:pos="0"/>
        </w:tabs>
        <w:ind w:start="6480" w:hanging="720"/>
      </w:pPr>
    </w:lvl>
  </w:abstractNum>
  <w:num w:numId="1">
    <w:abstractNumId w:val="1"/>
  </w:num>
  <w:num w:numId="2">
    <w:abstractNumId w:val="2"/>
  </w:num>
  <w:num w:numId="3">
    <w:abstractNumId w:val="3"/>
  </w:num>
  <w:num w:numId="4">
    <w:abstractNumId w:val="3"/>
    <w:lvlOverride w:ilvl="0">
      <w:startOverride w:val="1"/>
    </w:lvlOverride>
  </w:num>
  <w:num w:numId="5">
    <w:abstractNumId w:val="3"/>
    <w:lvlOverride w:ilvl="0">
      <w:startOverride w:val="1"/>
    </w:lvlOverride>
    <w:lvlOverride w:ilvl="1">
      <w:startOverride w:val="1"/>
    </w:lvlOverride>
  </w:num>
  <w:num w:numId="6">
    <w:abstractNumId w:val="3"/>
    <w:lvlOverride w:ilvl="0">
      <w:startOverride w:val="1"/>
    </w:lvlOverride>
    <w:lvlOverride w:ilvl="1">
      <w:startOverride w:val="1"/>
    </w:lvlOverride>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PaperType" w:val="plai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jc w:val="both"/>
    </w:pPr>
    <w:rPr>
      <w:rFonts w:ascii="Book Antiqua" w:hAnsi="Book Antiqua" w:eastAsia="Times New Roman" w:cs="Book Antiqua"/>
      <w:color w:val="auto"/>
      <w:sz w:val="24"/>
      <w:szCs w:val="20"/>
      <w:lang w:val="en-CA" w:eastAsia="zh-CN" w:bidi="hi-IN"/>
    </w:rPr>
  </w:style>
  <w:style w:type="paragraph" w:styleId="Heading1">
    <w:name w:val="heading 1"/>
    <w:basedOn w:val="Normal"/>
    <w:next w:val="Normal"/>
    <w:qFormat/>
    <w:pPr>
      <w:keepNext w:val="true"/>
      <w:numPr>
        <w:ilvl w:val="0"/>
        <w:numId w:val="1"/>
      </w:numPr>
      <w:spacing w:before="240" w:after="60"/>
      <w:jc w:val="start"/>
      <w:outlineLvl w:val="0"/>
    </w:pPr>
    <w:rPr>
      <w:b/>
      <w:sz w:val="28"/>
    </w:rPr>
  </w:style>
  <w:style w:type="paragraph" w:styleId="Heading2">
    <w:name w:val="heading 2"/>
    <w:basedOn w:val="Normal"/>
    <w:next w:val="Normal"/>
    <w:qFormat/>
    <w:pPr>
      <w:keepNext w:val="true"/>
      <w:numPr>
        <w:ilvl w:val="1"/>
        <w:numId w:val="1"/>
      </w:numPr>
      <w:spacing w:before="240" w:after="60"/>
      <w:jc w:val="start"/>
      <w:outlineLvl w:val="1"/>
    </w:pPr>
    <w:rPr>
      <w:b/>
    </w:rPr>
  </w:style>
  <w:style w:type="paragraph" w:styleId="Heading3">
    <w:name w:val="heading 3"/>
    <w:basedOn w:val="Normal"/>
    <w:next w:val="Normal"/>
    <w:qFormat/>
    <w:pPr>
      <w:keepNext w:val="true"/>
      <w:numPr>
        <w:ilvl w:val="2"/>
        <w:numId w:val="1"/>
      </w:numPr>
      <w:spacing w:before="240" w:after="60"/>
      <w:jc w:val="start"/>
      <w:outlineLvl w:val="2"/>
    </w:pPr>
    <w:rPr/>
  </w:style>
  <w:style w:type="paragraph" w:styleId="Heading4">
    <w:name w:val="heading 4"/>
    <w:basedOn w:val="Normal"/>
    <w:next w:val="Normal"/>
    <w:qFormat/>
    <w:pPr>
      <w:keepNext w:val="true"/>
      <w:numPr>
        <w:ilvl w:val="3"/>
        <w:numId w:val="1"/>
      </w:numPr>
      <w:spacing w:lineRule="auto" w:line="360" w:before="0" w:after="240"/>
      <w:outlineLvl w:val="3"/>
    </w:pPr>
    <w:rPr>
      <w:b/>
      <w:i/>
    </w:rPr>
  </w:style>
  <w:style w:type="paragraph" w:styleId="Heading5">
    <w:name w:val="heading 5"/>
    <w:basedOn w:val="Normal"/>
    <w:next w:val="Normal"/>
    <w:qFormat/>
    <w:pPr>
      <w:keepNext w:val="true"/>
      <w:numPr>
        <w:ilvl w:val="4"/>
        <w:numId w:val="1"/>
      </w:numPr>
      <w:spacing w:lineRule="auto" w:line="360" w:before="0" w:after="240"/>
      <w:outlineLvl w:val="4"/>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rFonts w:ascii="Univers Cd (W1)" w:hAnsi="Univers Cd (W1)" w:cs="Univers Cd (W1)"/>
      <w:b/>
      <w:strike w:val="false"/>
      <w:dstrike w:val="false"/>
      <w:color w:val="auto"/>
      <w:kern w:val="0"/>
      <w:position w:val="0"/>
      <w:sz w:val="24"/>
      <w:sz w:val="24"/>
      <w:vertAlign w:val="baseline"/>
    </w:rPr>
  </w:style>
  <w:style w:type="character" w:styleId="Prompt">
    <w:name w:val="Prompt"/>
    <w:qFormat/>
    <w:rPr>
      <w:color w:val="0000FF"/>
      <w:lang w:val="en-CA"/>
    </w:rPr>
  </w:style>
  <w:style w:type="character" w:styleId="Prompt2">
    <w:name w:val="Prompt2"/>
    <w:basedOn w:val="DefaultParagraphFont"/>
    <w:qFormat/>
    <w:rPr>
      <w:rFonts w:ascii="Arial" w:hAnsi="Arial" w:cs="Arial"/>
      <w:b/>
      <w:sz w:val="24"/>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jc w:val="start"/>
      <w:outlineLvl w:val="0"/>
    </w:pPr>
    <w:rPr>
      <w:rFonts w:ascii="Univers (W1);Arial" w:hAnsi="Univers (W1);Arial" w:cs="Univers (W1);Arial"/>
      <w:b/>
      <w:sz w:val="32"/>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jc w:val="start"/>
    </w:pPr>
    <w:rPr/>
  </w:style>
  <w:style w:type="paragraph" w:styleId="FootnoteText">
    <w:name w:val="footnote text"/>
    <w:basedOn w:val="Normal"/>
    <w:pPr>
      <w:widowControl w:val="false"/>
      <w:spacing w:before="0" w:after="0"/>
    </w:pPr>
    <w:rPr>
      <w:sz w:val="18"/>
    </w:rPr>
  </w:style>
  <w:style w:type="paragraph" w:styleId="Subtitle">
    <w:name w:val="Subtitle"/>
    <w:basedOn w:val="Heading"/>
    <w:next w:val="BodyText"/>
    <w:qFormat/>
    <w:pPr>
      <w:spacing w:before="0" w:after="120"/>
      <w:outlineLvl w:val="1"/>
    </w:pPr>
    <w:rPr>
      <w:sz w:val="24"/>
    </w:rPr>
  </w:style>
  <w:style w:type="paragraph" w:styleId="Footer">
    <w:name w:val="footer"/>
    <w:basedOn w:val="Normal"/>
    <w:pPr>
      <w:tabs>
        <w:tab w:val="clear" w:pos="720"/>
        <w:tab w:val="center" w:pos="4320" w:leader="none"/>
        <w:tab w:val="right" w:pos="8640" w:leader="none"/>
      </w:tabs>
    </w:pPr>
    <w:rPr/>
  </w:style>
  <w:style w:type="paragraph" w:styleId="Closing">
    <w:name w:val="Closing"/>
    <w:basedOn w:val="Normal"/>
    <w:next w:val="Normal"/>
    <w:qFormat/>
    <w:pPr>
      <w:keepNext w:val="true"/>
      <w:keepLines/>
      <w:spacing w:before="240" w:after="0"/>
      <w:ind w:hanging="0" w:start="5040" w:end="0"/>
      <w:jc w:val="start"/>
    </w:pPr>
    <w:rPr/>
  </w:style>
  <w:style w:type="paragraph" w:styleId="Comment">
    <w:name w:val="Comment"/>
    <w:basedOn w:val="Normal"/>
    <w:next w:val="Normal"/>
    <w:qFormat/>
    <w:pPr>
      <w:jc w:val="start"/>
    </w:pPr>
    <w:rPr>
      <w:rFonts w:ascii="Arial" w:hAnsi="Arial" w:cs="Arial"/>
      <w:vanish/>
      <w:color w:val="FF00FF"/>
    </w:rPr>
  </w:style>
  <w:style w:type="paragraph" w:styleId="Definitions">
    <w:name w:val="Definitions"/>
    <w:basedOn w:val="Normal"/>
    <w:qFormat/>
    <w:pPr>
      <w:ind w:hanging="0" w:start="720" w:end="0"/>
    </w:pPr>
    <w:rPr/>
  </w:style>
  <w:style w:type="paragraph" w:styleId="Initials">
    <w:name w:val="Initials"/>
    <w:basedOn w:val="Normal"/>
    <w:next w:val="Normal"/>
    <w:qFormat/>
    <w:pPr>
      <w:keepNext w:val="true"/>
      <w:jc w:val="start"/>
    </w:pPr>
    <w:rPr>
      <w:lang w:val="en-CA"/>
    </w:rPr>
  </w:style>
  <w:style w:type="paragraph" w:styleId="LawyersComments">
    <w:name w:val="Lawyers Comments"/>
    <w:basedOn w:val="Normal"/>
    <w:qFormat/>
    <w:pPr>
      <w:spacing w:before="0" w:after="120"/>
      <w:ind w:hanging="0" w:start="720" w:end="720"/>
    </w:pPr>
    <w:rPr>
      <w:i/>
      <w:vanish/>
      <w:color w:val="800000"/>
      <w:sz w:val="20"/>
    </w:rPr>
  </w:style>
  <w:style w:type="paragraph" w:styleId="Lnum1">
    <w:name w:val="Lnum1"/>
    <w:basedOn w:val="Normal"/>
    <w:qFormat/>
    <w:pPr>
      <w:numPr>
        <w:ilvl w:val="0"/>
        <w:numId w:val="3"/>
      </w:numPr>
      <w:jc w:val="start"/>
    </w:pPr>
    <w:rPr/>
  </w:style>
  <w:style w:type="paragraph" w:styleId="Lnum2">
    <w:name w:val="Lnum2"/>
    <w:basedOn w:val="Normal"/>
    <w:qFormat/>
    <w:pPr>
      <w:numPr>
        <w:ilvl w:val="0"/>
        <w:numId w:val="3"/>
      </w:numPr>
      <w:jc w:val="start"/>
    </w:pPr>
    <w:rPr/>
  </w:style>
  <w:style w:type="paragraph" w:styleId="Lnum3">
    <w:name w:val="Lnum3"/>
    <w:basedOn w:val="Normal"/>
    <w:qFormat/>
    <w:pPr>
      <w:numPr>
        <w:ilvl w:val="0"/>
        <w:numId w:val="3"/>
      </w:numPr>
      <w:jc w:val="start"/>
    </w:pPr>
    <w:rPr/>
  </w:style>
  <w:style w:type="paragraph" w:styleId="Outline1">
    <w:name w:val="Outline1"/>
    <w:basedOn w:val="Normal"/>
    <w:qFormat/>
    <w:pPr>
      <w:numPr>
        <w:ilvl w:val="0"/>
        <w:numId w:val="3"/>
      </w:numPr>
      <w:outlineLvl w:val="0"/>
    </w:pPr>
    <w:rPr/>
  </w:style>
  <w:style w:type="paragraph" w:styleId="Outline2">
    <w:name w:val="Outline2"/>
    <w:basedOn w:val="Normal"/>
    <w:qFormat/>
    <w:pPr>
      <w:numPr>
        <w:ilvl w:val="0"/>
        <w:numId w:val="3"/>
      </w:numPr>
      <w:outlineLvl w:val="1"/>
    </w:pPr>
    <w:rPr/>
  </w:style>
  <w:style w:type="paragraph" w:styleId="Outline3">
    <w:name w:val="Outline3"/>
    <w:basedOn w:val="Normal"/>
    <w:qFormat/>
    <w:pPr>
      <w:numPr>
        <w:ilvl w:val="0"/>
        <w:numId w:val="3"/>
      </w:numPr>
      <w:outlineLvl w:val="2"/>
    </w:pPr>
    <w:rPr/>
  </w:style>
  <w:style w:type="paragraph" w:styleId="Outline4">
    <w:name w:val="Outline4"/>
    <w:basedOn w:val="Normal"/>
    <w:qFormat/>
    <w:pPr>
      <w:numPr>
        <w:ilvl w:val="0"/>
        <w:numId w:val="3"/>
      </w:numPr>
      <w:outlineLvl w:val="3"/>
    </w:pPr>
    <w:rPr/>
  </w:style>
  <w:style w:type="paragraph" w:styleId="Outline5">
    <w:name w:val="Outline5"/>
    <w:basedOn w:val="Normal"/>
    <w:qFormat/>
    <w:pPr>
      <w:numPr>
        <w:ilvl w:val="0"/>
        <w:numId w:val="3"/>
      </w:numPr>
      <w:outlineLvl w:val="4"/>
    </w:pPr>
    <w:rPr/>
  </w:style>
  <w:style w:type="paragraph" w:styleId="Outline6">
    <w:name w:val="Outline6"/>
    <w:basedOn w:val="Normal"/>
    <w:qFormat/>
    <w:pPr>
      <w:numPr>
        <w:ilvl w:val="0"/>
        <w:numId w:val="3"/>
      </w:numPr>
      <w:outlineLvl w:val="5"/>
    </w:pPr>
    <w:rPr/>
  </w:style>
  <w:style w:type="paragraph" w:styleId="Plain">
    <w:name w:val="Plain"/>
    <w:basedOn w:val="Normal"/>
    <w:qFormat/>
    <w:pPr>
      <w:spacing w:before="0" w:after="0"/>
      <w:jc w:val="start"/>
    </w:pPr>
    <w:rPr/>
  </w:style>
  <w:style w:type="paragraph" w:styleId="ReLine">
    <w:name w:val="Re: Line"/>
    <w:basedOn w:val="Normal"/>
    <w:next w:val="Normal"/>
    <w:qFormat/>
    <w:pPr>
      <w:ind w:hanging="720" w:start="2880" w:end="1440"/>
      <w:jc w:val="start"/>
    </w:pPr>
    <w:rPr>
      <w:b/>
    </w:rPr>
  </w:style>
  <w:style w:type="paragraph" w:styleId="Bullet">
    <w:name w:val="Bullet"/>
    <w:basedOn w:val="Normal"/>
    <w:qFormat/>
    <w:pPr>
      <w:numPr>
        <w:ilvl w:val="0"/>
        <w:numId w:val="2"/>
      </w:numPr>
      <w:spacing w:before="0" w:after="240"/>
    </w:pPr>
    <w:rPr/>
  </w:style>
  <w:style w:type="paragraph" w:styleId="BodyText3">
    <w:name w:val="Body Text 3"/>
    <w:basedOn w:val="Normal"/>
    <w:qFormat/>
    <w:pPr>
      <w:spacing w:lineRule="auto" w:line="360" w:before="0" w:after="240"/>
    </w:pPr>
    <w:rPr>
      <w:b/>
    </w:rPr>
  </w:style>
  <w:style w:type="paragraph" w:styleId="BlockText">
    <w:name w:val="Block Text"/>
    <w:basedOn w:val="Normal"/>
    <w:qFormat/>
    <w:pPr>
      <w:spacing w:before="0" w:after="240"/>
      <w:ind w:hanging="0" w:start="1134" w:end="1270"/>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2001-10-12T15:55:00Z</dcterms:created>
  <dc:creator>Stikeman Elliott</dc:creator>
  <dc:description/>
  <dc:language>en-CA</dc:language>
  <cp:lastModifiedBy>Stikeman Elliott</cp:lastModifiedBy>
  <cp:lastPrinted>2001-10-12T16:15:00Z</cp:lastPrinted>
  <dcterms:modified xsi:type="dcterms:W3CDTF">2001-10-12T19:49:00Z</dcterms:modified>
  <cp:revision>10</cp:revision>
  <dc:subject/>
  <dc:title>FAX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AutoUpdate">
    <vt:lpwstr>NO</vt:lpwstr>
  </property>
  <property fmtid="{D5CDD505-2E9C-101B-9397-08002B2CF9AE}" pid="3" name="SEDocID">
    <vt:lpwstr>GFE\187383\1</vt:lpwstr>
  </property>
</Properties>
</file>