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MEMORANDUM</w:t>
      </w:r>
    </w:p>
    <w:p>
      <w:pPr>
        <w:pStyle w:val="Normal"/>
        <w:rPr/>
      </w:pPr>
      <w:r>
        <w:rPr/>
      </w:r>
    </w:p>
    <w:p>
      <w:pPr>
        <w:pStyle w:val="Normal"/>
        <w:rPr/>
      </w:pPr>
      <w:r>
        <w:rPr/>
        <w:t>To:  Stuart Zisman</w:t>
      </w:r>
    </w:p>
    <w:p>
      <w:pPr>
        <w:pStyle w:val="Normal"/>
        <w:rPr/>
      </w:pPr>
      <w:r>
        <w:rPr/>
        <w:t>From: Sam Behrends</w:t>
      </w:r>
    </w:p>
    <w:p>
      <w:pPr>
        <w:pStyle w:val="Normal"/>
        <w:rPr/>
      </w:pPr>
      <w:r>
        <w:rPr/>
        <w:t>Re:  A Company FERC Drill</w:t>
      </w:r>
    </w:p>
    <w:p>
      <w:pPr>
        <w:pStyle w:val="Normal"/>
        <w:rPr/>
      </w:pPr>
      <w:r>
        <w:rPr/>
      </w:r>
    </w:p>
    <w:p>
      <w:pPr>
        <w:pStyle w:val="Normal"/>
        <w:rPr/>
      </w:pPr>
      <w:r>
        <w:rPr/>
        <w:t xml:space="preserve">        </w:t>
      </w:r>
      <w:r>
        <w:rPr/>
        <w:t xml:space="preserve">As we discussed this morning, I believe that the chances that A company would obtain FERC approval of its acquisition of our peaker are about 99% positive.   If there is no strong opposition at FERC, FERC approval should come within 105 days of filing (a 60 day notice period plus 45 days for FERC staff to process the order.)   If there is strong opposition, 180 days is still a very reasonable prediction.   Remember, however, that these clocks begin running on the day we file for FERC approval, not the day we sign the deal.  </w:t>
      </w:r>
    </w:p>
    <w:p>
      <w:pPr>
        <w:pStyle w:val="Normal"/>
        <w:rPr/>
      </w:pPr>
      <w:r>
        <w:rPr/>
      </w:r>
    </w:p>
    <w:p>
      <w:pPr>
        <w:pStyle w:val="Normal"/>
        <w:rPr/>
      </w:pPr>
      <w:r>
        <w:rPr/>
        <w:t xml:space="preserve">       </w:t>
      </w:r>
      <w:r>
        <w:rPr/>
        <w:t xml:space="preserve">In approving the acquisition under Section 203 of the Federal Power Act, FERC normally will focus on the effect of the acquisition on competition.  In mergers,  the effect on competition is measured by an HHI study, examining whether the acquisition will unduly enhance the buyer’s market share or concentration in the market.   However, the A company’s plants are far enough away from our peaker so that a formal HHI study should not be necessary.  (A full-blown study normally takes about six weeks or more to prepare.)  Instead, the Commission should accept an affidavit from a market power consultant, based on a much more limited analysis.  Those affidavits take about two weeks to create, and should speed up the process of preparing the filing.   </w:t>
      </w:r>
    </w:p>
    <w:p>
      <w:pPr>
        <w:pStyle w:val="Normal"/>
        <w:rPr/>
      </w:pPr>
      <w:r>
        <w:rPr/>
        <w:t xml:space="preserve"> </w:t>
      </w:r>
    </w:p>
    <w:p>
      <w:pPr>
        <w:pStyle w:val="Normal"/>
        <w:rPr/>
      </w:pPr>
      <w:r>
        <w:rPr/>
        <w:t xml:space="preserve">       </w:t>
      </w:r>
      <w:r>
        <w:rPr/>
        <w:t>The second major competitive issue involves transmission.  FERC has, on occasion but not always, used a Section 203 proceeding  to pressure an acquiror into complying with FERC’s transmission and RTO policy.    Fortunately, A company has just filed an RTO proposal, as all utilities were required to do on October 15. We have reviewed that proposal pretty carefully, in the context of A’s other alternatives.   For reasons that I can discuss with you, but cannot put in writing without revealing the identity of A,  I think that proposal is good enough to please FERC, so that the transmission issue almost certainly would not delay FERC approval.   (This assumes that A does not significantly change its position).</w:t>
      </w:r>
    </w:p>
    <w:p>
      <w:pPr>
        <w:pStyle w:val="Normal"/>
        <w:rPr/>
      </w:pPr>
      <w:r>
        <w:rPr/>
      </w:r>
    </w:p>
    <w:p>
      <w:pPr>
        <w:pStyle w:val="Normal"/>
        <w:rPr/>
      </w:pPr>
      <w:r>
        <w:rPr/>
        <w:t xml:space="preserve">      </w:t>
      </w:r>
      <w:r>
        <w:rPr/>
        <w:t xml:space="preserve">As for the timing of FERC approval, it will be very difficult to obtain approval in less than 100 days.  When a hard asset is sold, FERC almost always requires a 60-day notice period, during which parties may intervene or protest.  In an uncontested case or a case with no genuine issues, FERC has stated  (in its rules) that it intends to issue an order within 45 days after the notice period expires - - i.e., 105 days after filing.  While FERC is not required to meet this deadline, it usually does unless some real issue emerges.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3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2000-11-09T18:12:00Z</dcterms:created>
  <dc:creator>samuel behrends (sb)</dc:creator>
  <dc:description/>
  <dc:language>en-CA</dc:language>
  <cp:lastModifiedBy>samuel behrends (sb)</cp:lastModifiedBy>
  <dcterms:modified xsi:type="dcterms:W3CDTF">2000-11-09T19:38:00Z</dcterms:modified>
  <cp:revision>3</cp:revision>
  <dc:subject/>
  <dc:title>                     MEMORANDUM</dc:title>
</cp:coreProperties>
</file>