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Group of People Working on Enron/Resco GA Coordination </w:t>
      </w:r>
    </w:p>
    <w:p>
      <w:pPr>
        <w:pStyle w:val="Heading"/>
        <w:rPr>
          <w:b/>
        </w:rPr>
      </w:pPr>
      <w:r>
        <w:rPr>
          <w:b/>
        </w:rPr>
      </w:r>
    </w:p>
    <w:p>
      <w:pPr>
        <w:pStyle w:val="Heading"/>
        <w:rPr>
          <w:b/>
        </w:rPr>
      </w:pPr>
      <w:r>
        <w:rPr>
          <w:b/>
        </w:rPr>
      </w:r>
    </w:p>
    <w:p>
      <w:pPr>
        <w:pStyle w:val="Heading"/>
        <w:rPr>
          <w:b/>
        </w:rPr>
      </w:pPr>
      <w:r>
        <w:rPr>
          <w:b/>
        </w:rPr>
        <w:t>April 12 &amp; 18, 2000 Meeting Notes</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rPr>
          <w:sz w:val="24"/>
        </w:rPr>
      </w:pPr>
      <w:r>
        <w:rPr>
          <w:sz w:val="24"/>
        </w:rPr>
        <w:t>In attendance:  Sue Nord, Kathleen Magruder, Thom Reichelderfer, Susan Covino, Joe Allen, Jeff Dasovich, Steve Montovano, Marc Manly (4.18.00).</w:t>
      </w:r>
    </w:p>
    <w:p>
      <w:pPr>
        <w:pStyle w:val="Normal"/>
        <w:rPr>
          <w:sz w:val="24"/>
        </w:rPr>
      </w:pPr>
      <w:r>
        <w:rPr>
          <w:sz w:val="24"/>
        </w:rPr>
      </w:r>
    </w:p>
    <w:p>
      <w:pPr>
        <w:pStyle w:val="Normal"/>
        <w:rPr>
          <w:sz w:val="24"/>
        </w:rPr>
      </w:pPr>
      <w:r>
        <w:rPr>
          <w:sz w:val="24"/>
        </w:rPr>
        <w:t>Sue noted that message points for the Resco announcement are being developed outside this group, and that our directive is to coordinate the mechanics of the government affairs activities that will take place around the announcement.  Sue also noted that this group will not be making final decisions about government affairs activities, but instead will make recommendations to Rick Shapiro, Steve Kean and Mark Palmer.</w:t>
      </w:r>
    </w:p>
    <w:p>
      <w:pPr>
        <w:pStyle w:val="Normal"/>
        <w:rPr>
          <w:sz w:val="24"/>
        </w:rPr>
      </w:pPr>
      <w:r>
        <w:rPr>
          <w:sz w:val="24"/>
        </w:rPr>
      </w:r>
    </w:p>
    <w:p>
      <w:pPr>
        <w:pStyle w:val="Normal"/>
        <w:rPr>
          <w:sz w:val="24"/>
        </w:rPr>
      </w:pPr>
      <w:r>
        <w:rPr>
          <w:sz w:val="24"/>
        </w:rPr>
        <w:t>Kathleen described the currently planned timeframe for the Resco announcement:</w:t>
      </w:r>
    </w:p>
    <w:p>
      <w:pPr>
        <w:pStyle w:val="Normal"/>
        <w:numPr>
          <w:ilvl w:val="0"/>
          <w:numId w:val="5"/>
        </w:numPr>
        <w:tabs>
          <w:tab w:val="clear" w:pos="720"/>
          <w:tab w:val="left" w:pos="420" w:leader="none"/>
        </w:tabs>
        <w:ind w:hanging="360" w:start="420" w:end="0"/>
        <w:rPr>
          <w:sz w:val="24"/>
        </w:rPr>
      </w:pPr>
      <w:r>
        <w:rPr>
          <w:sz w:val="24"/>
        </w:rPr>
        <w:t>May 1</w:t>
        <w:tab/>
        <w:tab/>
        <w:t>Public Announcement</w:t>
      </w:r>
    </w:p>
    <w:p>
      <w:pPr>
        <w:pStyle w:val="Normal"/>
        <w:numPr>
          <w:ilvl w:val="0"/>
          <w:numId w:val="5"/>
        </w:numPr>
        <w:tabs>
          <w:tab w:val="clear" w:pos="720"/>
          <w:tab w:val="left" w:pos="420" w:leader="none"/>
        </w:tabs>
        <w:ind w:hanging="360" w:start="420" w:end="0"/>
        <w:rPr>
          <w:sz w:val="24"/>
        </w:rPr>
      </w:pPr>
      <w:r>
        <w:rPr>
          <w:sz w:val="24"/>
        </w:rPr>
        <w:t>May 15</w:t>
        <w:tab/>
        <w:tab/>
        <w:t>File Form S-1 with the Securities and Exchange Commission</w:t>
      </w:r>
    </w:p>
    <w:p>
      <w:pPr>
        <w:pStyle w:val="Normal"/>
        <w:numPr>
          <w:ilvl w:val="0"/>
          <w:numId w:val="5"/>
        </w:numPr>
        <w:tabs>
          <w:tab w:val="clear" w:pos="720"/>
          <w:tab w:val="left" w:pos="420" w:leader="none"/>
        </w:tabs>
        <w:ind w:hanging="360" w:start="420" w:end="0"/>
        <w:rPr>
          <w:sz w:val="24"/>
        </w:rPr>
      </w:pPr>
      <w:r>
        <w:rPr>
          <w:sz w:val="24"/>
        </w:rPr>
        <w:t>Before Aug.1</w:t>
        <w:tab/>
        <w:t>IPO</w:t>
      </w:r>
    </w:p>
    <w:p>
      <w:pPr>
        <w:pStyle w:val="Normal"/>
        <w:rPr>
          <w:sz w:val="24"/>
        </w:rPr>
      </w:pPr>
      <w:r>
        <w:rPr>
          <w:sz w:val="24"/>
        </w:rPr>
      </w:r>
    </w:p>
    <w:p>
      <w:pPr>
        <w:pStyle w:val="BodyText"/>
        <w:rPr/>
      </w:pPr>
      <w:r>
        <w:rPr/>
        <w:t>Kathleen noted that legal counsel has cautioned that the “quiet period” before the IPO has commenced.  This means that we are prohibited from making public statements that would serve to enhance the value of the stock offering at the time of the IPO.</w:t>
      </w:r>
    </w:p>
    <w:p>
      <w:pPr>
        <w:pStyle w:val="BodyText"/>
        <w:rPr/>
      </w:pPr>
      <w:r>
        <w:rPr/>
      </w:r>
    </w:p>
    <w:p>
      <w:pPr>
        <w:pStyle w:val="BodyText"/>
        <w:rPr/>
      </w:pPr>
      <w:r>
        <w:rPr/>
        <w:t>Kathleen stated that Gene Lockhart has expressed a desire to have testimonials from key policymakers in hand for the May 1 public announcement.</w:t>
      </w:r>
    </w:p>
    <w:p>
      <w:pPr>
        <w:pStyle w:val="BodyText"/>
        <w:rPr/>
      </w:pPr>
      <w:r>
        <w:rPr/>
      </w:r>
    </w:p>
    <w:p>
      <w:pPr>
        <w:pStyle w:val="BodyText"/>
        <w:rPr/>
      </w:pPr>
      <w:r>
        <w:rPr/>
        <w:t>The group identified the following timeframe for discussions with policymakers:</w:t>
      </w:r>
    </w:p>
    <w:p>
      <w:pPr>
        <w:pStyle w:val="BodyText"/>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Immediately</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Identify and approach individuals from whom Resco would like to get a testimonial.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A day or two before May 1</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Meet with key commissioners to give a “heads up” prior to May 1.</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Very shortly before May 1 announcement</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Make informal phone calls to other policymakers who need to hear about Resco from us before they see it in the papers.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After May 1</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Resco “roadshow” to introduce Gene Lockhart to key commissions.</w:t>
            </w:r>
          </w:p>
        </w:tc>
      </w:tr>
    </w:tbl>
    <w:p>
      <w:pPr>
        <w:pStyle w:val="BodyText"/>
        <w:rPr/>
      </w:pPr>
      <w:r>
        <w:rPr/>
      </w:r>
    </w:p>
    <w:p>
      <w:pPr>
        <w:pStyle w:val="BodyText"/>
        <w:rPr/>
      </w:pPr>
      <w:r>
        <w:rPr/>
      </w:r>
    </w:p>
    <w:p>
      <w:pPr>
        <w:pStyle w:val="BodyText"/>
        <w:rPr/>
      </w:pPr>
      <w:r>
        <w:rPr/>
        <w:t>We then discussed logistics for each of these events.</w:t>
      </w:r>
    </w:p>
    <w:p>
      <w:pPr>
        <w:pStyle w:val="BodyText"/>
        <w:rPr/>
      </w:pPr>
      <w:r>
        <w:rPr/>
      </w:r>
    </w:p>
    <w:p>
      <w:pPr>
        <w:pStyle w:val="BodyText"/>
        <w:rPr/>
      </w:pPr>
      <w:r>
        <w:rPr>
          <w:b/>
        </w:rPr>
        <w:t>Testimonials.</w:t>
      </w:r>
      <w:r>
        <w:rPr/>
        <w:t xml:space="preserve">  Kathleen desires to seek testimonials from officials in: CA, TX, OH, PA and NJ.  The group initially identified Jesse Knight in CA; Pat Wood and David Sibley in TX; and the consumer advocate in OH.  After having received additional feedback from the regions, Kathleen contacted Steve Wolens and Jessie Knight, continues to try to get in touch with Pat Wood, David Sibley and Chick Tulli, and will not contact the consumer advocate from OH. </w:t>
      </w:r>
    </w:p>
    <w:p>
      <w:pPr>
        <w:pStyle w:val="BodyText"/>
        <w:rPr/>
      </w:pPr>
      <w:r>
        <w:rPr/>
      </w:r>
    </w:p>
    <w:p>
      <w:pPr>
        <w:pStyle w:val="BodyText"/>
        <w:rPr/>
      </w:pPr>
      <w:r>
        <w:rPr>
          <w:b/>
        </w:rPr>
        <w:t xml:space="preserve">Announcement Meetings.  </w:t>
      </w:r>
      <w:r>
        <w:rPr/>
        <w:t>The group agreed to recommend that pre-announcement meetings be held with commissioners in the states initially targeted by Resco, plus Connecticut (where it will be headquartered).  Additionally, we agreed to recommend that pre-announcement meetings should be scheduled with those commissioners who participated in the meeting with Jeff Skilling at the time of Enron’s decision to stop marketing to residential customers. The list of states decided upon by Resco are:</w:t>
      </w:r>
    </w:p>
    <w:p>
      <w:pPr>
        <w:pStyle w:val="BodyText"/>
        <w:rPr/>
      </w:pPr>
      <w:r>
        <w:rPr/>
      </w:r>
    </w:p>
    <w:p>
      <w:pPr>
        <w:pStyle w:val="BodyText"/>
        <w:rPr/>
      </w:pPr>
      <w:r>
        <w:rPr/>
        <w:t>NJ, CA, PA, TX, CT, NY, OH.</w:t>
      </w:r>
    </w:p>
    <w:p>
      <w:pPr>
        <w:pStyle w:val="BodyText"/>
        <w:rPr/>
      </w:pPr>
      <w:r>
        <w:rPr/>
        <w:t>The schedule for the meetings are as follows:</w:t>
      </w:r>
    </w:p>
    <w:p>
      <w:pPr>
        <w:pStyle w:val="BodyText"/>
        <w:rPr/>
      </w:pPr>
      <w:r>
        <w:rPr/>
      </w:r>
    </w:p>
    <w:p>
      <w:pPr>
        <w:pStyle w:val="BodyText"/>
        <w:rPr/>
      </w:pPr>
      <w:r>
        <w:rPr>
          <w:b/>
          <w:u w:val="single"/>
        </w:rPr>
        <w:t>State</w:t>
      </w:r>
      <w:r>
        <w:rPr/>
        <w:tab/>
        <w:tab/>
        <w:tab/>
        <w:tab/>
        <w:tab/>
      </w:r>
      <w:r>
        <w:rPr>
          <w:b/>
          <w:u w:val="single"/>
        </w:rPr>
        <w:t>Date</w:t>
      </w:r>
    </w:p>
    <w:p>
      <w:pPr>
        <w:pStyle w:val="BodyText"/>
        <w:rPr/>
      </w:pPr>
      <w:r>
        <w:rPr/>
        <w:t>CA</w:t>
        <w:tab/>
        <w:tab/>
        <w:tab/>
        <w:tab/>
        <w:tab/>
        <w:t>Week of April 24</w:t>
      </w:r>
    </w:p>
    <w:p>
      <w:pPr>
        <w:pStyle w:val="BodyText"/>
        <w:rPr/>
      </w:pPr>
      <w:r>
        <w:rPr/>
        <w:t>PA</w:t>
        <w:tab/>
        <w:tab/>
        <w:tab/>
        <w:tab/>
        <w:tab/>
        <w:tab/>
        <w:t>"</w:t>
      </w:r>
    </w:p>
    <w:p>
      <w:pPr>
        <w:pStyle w:val="BodyText"/>
        <w:rPr/>
      </w:pPr>
      <w:r>
        <w:rPr/>
        <w:t>TX</w:t>
        <w:tab/>
        <w:tab/>
        <w:tab/>
        <w:tab/>
        <w:tab/>
        <w:tab/>
        <w:t>"</w:t>
      </w:r>
    </w:p>
    <w:p>
      <w:pPr>
        <w:pStyle w:val="BodyText"/>
        <w:rPr/>
      </w:pPr>
      <w:r>
        <w:rPr/>
        <w:t>NJ</w:t>
        <w:tab/>
        <w:tab/>
        <w:tab/>
        <w:tab/>
        <w:tab/>
        <w:tab/>
        <w:t>"</w:t>
      </w:r>
    </w:p>
    <w:p>
      <w:pPr>
        <w:pStyle w:val="BodyText"/>
        <w:rPr/>
      </w:pPr>
      <w:r>
        <w:rPr/>
      </w:r>
    </w:p>
    <w:p>
      <w:pPr>
        <w:pStyle w:val="BodyText"/>
        <w:rPr/>
      </w:pPr>
      <w:r>
        <w:rPr/>
        <w:t>CT</w:t>
        <w:tab/>
        <w:tab/>
        <w:tab/>
        <w:tab/>
        <w:tab/>
        <w:t>Week of May 1</w:t>
      </w:r>
    </w:p>
    <w:p>
      <w:pPr>
        <w:pStyle w:val="BodyText"/>
        <w:rPr/>
      </w:pPr>
      <w:r>
        <w:rPr/>
        <w:t>NY</w:t>
        <w:tab/>
        <w:tab/>
        <w:tab/>
        <w:tab/>
        <w:tab/>
        <w:tab/>
        <w:t>"</w:t>
      </w:r>
    </w:p>
    <w:p>
      <w:pPr>
        <w:pStyle w:val="BodyText"/>
        <w:rPr/>
      </w:pPr>
      <w:r>
        <w:rPr/>
        <w:t>OH</w:t>
        <w:tab/>
        <w:tab/>
        <w:tab/>
        <w:tab/>
        <w:tab/>
        <w:tab/>
        <w:t>"</w:t>
      </w:r>
    </w:p>
    <w:p>
      <w:pPr>
        <w:pStyle w:val="BodyText"/>
        <w:rPr/>
      </w:pPr>
      <w:r>
        <w:rPr/>
      </w:r>
    </w:p>
    <w:p>
      <w:pPr>
        <w:pStyle w:val="BodyText"/>
        <w:rPr/>
      </w:pPr>
      <w:r>
        <w:rPr/>
        <w:t>Given the group's uncertainty about how the Master Services Agreement will be implemented, we discussed who should attend the announcement meetings.  The possibilities we discussed were:</w:t>
      </w:r>
    </w:p>
    <w:p>
      <w:pPr>
        <w:pStyle w:val="BodyText"/>
        <w:numPr>
          <w:ilvl w:val="0"/>
          <w:numId w:val="2"/>
        </w:numPr>
        <w:rPr/>
      </w:pPr>
      <w:r>
        <w:rPr/>
        <w:t>Kathleen.</w:t>
      </w:r>
    </w:p>
    <w:p>
      <w:pPr>
        <w:pStyle w:val="BodyText"/>
        <w:numPr>
          <w:ilvl w:val="0"/>
          <w:numId w:val="2"/>
        </w:numPr>
        <w:rPr/>
      </w:pPr>
      <w:r>
        <w:rPr/>
        <w:t>Kathleen and one person from EGA (either the regional director or the person with responsibility for that state).</w:t>
      </w:r>
    </w:p>
    <w:p>
      <w:pPr>
        <w:pStyle w:val="BodyText"/>
        <w:numPr>
          <w:ilvl w:val="0"/>
          <w:numId w:val="2"/>
        </w:numPr>
        <w:rPr/>
      </w:pPr>
      <w:r>
        <w:rPr/>
        <w:t>Kathleen, the person from EGA identified above, and either Thom or Susan.</w:t>
      </w:r>
    </w:p>
    <w:p>
      <w:pPr>
        <w:pStyle w:val="BodyText"/>
        <w:rPr/>
      </w:pPr>
      <w:r>
        <w:rPr/>
      </w:r>
    </w:p>
    <w:p>
      <w:pPr>
        <w:pStyle w:val="BodyText"/>
        <w:rPr/>
      </w:pPr>
      <w:r>
        <w:rPr/>
        <w:t>In deciding whether to recommend that someone from EGA attend the meetings with Kathleen, we developed the following list of pros and cons:</w:t>
      </w:r>
    </w:p>
    <w:p>
      <w:pPr>
        <w:pStyle w:val="BodyText"/>
        <w:rPr/>
      </w:pPr>
      <w:r>
        <w:rPr/>
      </w:r>
    </w:p>
    <w:p>
      <w:pPr>
        <w:pStyle w:val="BodyText"/>
        <w:rPr>
          <w:u w:val="single"/>
        </w:rPr>
      </w:pPr>
      <w:r>
        <w:rPr>
          <w:u w:val="single"/>
        </w:rPr>
        <w:t>Pros</w:t>
      </w:r>
    </w:p>
    <w:p>
      <w:pPr>
        <w:pStyle w:val="BodyText"/>
        <w:numPr>
          <w:ilvl w:val="0"/>
          <w:numId w:val="1"/>
        </w:numPr>
        <w:rPr/>
      </w:pPr>
      <w:r>
        <w:rPr/>
        <w:t>Assures that policymakers associate Enron with Resco, and that Enron gets credit for pursuing the residential market.</w:t>
      </w:r>
    </w:p>
    <w:p>
      <w:pPr>
        <w:pStyle w:val="BodyText"/>
        <w:numPr>
          <w:ilvl w:val="0"/>
          <w:numId w:val="1"/>
        </w:numPr>
        <w:rPr/>
      </w:pPr>
      <w:r>
        <w:rPr/>
        <w:t>Provides an appropriate follow-up to Enron’s decision to stop marketing to residential customers.</w:t>
      </w:r>
    </w:p>
    <w:p>
      <w:pPr>
        <w:pStyle w:val="BodyText"/>
        <w:numPr>
          <w:ilvl w:val="0"/>
          <w:numId w:val="1"/>
        </w:numPr>
        <w:rPr/>
      </w:pPr>
      <w:r>
        <w:rPr/>
        <w:t>Gives Resco full benefit of Enron Government Affairs relationships.</w:t>
      </w:r>
    </w:p>
    <w:p>
      <w:pPr>
        <w:pStyle w:val="BodyText"/>
        <w:numPr>
          <w:ilvl w:val="0"/>
          <w:numId w:val="1"/>
        </w:numPr>
        <w:rPr/>
      </w:pPr>
      <w:r>
        <w:rPr/>
        <w:t>Protects EGA from a loss of credibility if we’re not involved in announcement meetings with key policymakers.</w:t>
      </w:r>
    </w:p>
    <w:p>
      <w:pPr>
        <w:pStyle w:val="BodyText"/>
        <w:rPr/>
      </w:pPr>
      <w:r>
        <w:rPr/>
      </w:r>
    </w:p>
    <w:p>
      <w:pPr>
        <w:pStyle w:val="BodyText"/>
        <w:rPr>
          <w:u w:val="single"/>
        </w:rPr>
      </w:pPr>
      <w:r>
        <w:rPr>
          <w:u w:val="single"/>
        </w:rPr>
        <w:t>Cons</w:t>
      </w:r>
    </w:p>
    <w:p>
      <w:pPr>
        <w:pStyle w:val="BodyText"/>
        <w:numPr>
          <w:ilvl w:val="0"/>
          <w:numId w:val="4"/>
        </w:numPr>
        <w:tabs>
          <w:tab w:val="clear" w:pos="720"/>
          <w:tab w:val="left" w:pos="420" w:leader="none"/>
        </w:tabs>
        <w:ind w:hanging="360" w:start="420" w:end="0"/>
        <w:rPr/>
      </w:pPr>
      <w:r>
        <w:rPr/>
        <w:t>We need to be careful about how closely Enron is associated with Resco.  There are disadvantages to Resco if it is perceived as nothing more than an Enron spin-off. There is risk to Enron if Resco loses favor with policymakers.</w:t>
      </w:r>
    </w:p>
    <w:p>
      <w:pPr>
        <w:pStyle w:val="BodyText"/>
        <w:numPr>
          <w:ilvl w:val="0"/>
          <w:numId w:val="4"/>
        </w:numPr>
        <w:tabs>
          <w:tab w:val="clear" w:pos="720"/>
          <w:tab w:val="left" w:pos="420" w:leader="none"/>
        </w:tabs>
        <w:ind w:hanging="360" w:start="420" w:end="0"/>
        <w:rPr/>
      </w:pPr>
      <w:r>
        <w:rPr/>
        <w:t>Time spent on Resco matters pulls EGA people from other activities.</w:t>
      </w:r>
    </w:p>
    <w:p>
      <w:pPr>
        <w:pStyle w:val="BodyText"/>
        <w:rPr/>
      </w:pPr>
      <w:r>
        <w:rPr/>
      </w:r>
    </w:p>
    <w:p>
      <w:pPr>
        <w:pStyle w:val="BodyText"/>
        <w:rPr/>
      </w:pPr>
      <w:r>
        <w:rPr/>
        <w:t>Based on this discussion, we agreed to recommend that the appropriate individual from EGA should participate in the meetings with Kathleen. We also discussed the need for clear message points describing the relationship between Resco and Enron.  We agreed to recommend that the message be simple and reflect that the relationship between Enron and Resco is both financial and contractual.</w:t>
      </w:r>
    </w:p>
    <w:p>
      <w:pPr>
        <w:pStyle w:val="BodyText"/>
        <w:rPr/>
      </w:pPr>
      <w:r>
        <w:rPr/>
      </w:r>
    </w:p>
    <w:p>
      <w:pPr>
        <w:pStyle w:val="BodyText"/>
        <w:rPr/>
      </w:pPr>
      <w:r>
        <w:rPr/>
        <w:t xml:space="preserve">The group then discussed the question of whether Thom or Susan should participate in the announcement meetings. We identified the following "cons" regarding their attendance:  </w:t>
      </w:r>
    </w:p>
    <w:p>
      <w:pPr>
        <w:pStyle w:val="BodyText"/>
        <w:rPr/>
      </w:pPr>
      <w:r>
        <w:rPr/>
      </w:r>
    </w:p>
    <w:p>
      <w:pPr>
        <w:pStyle w:val="BodyText"/>
        <w:numPr>
          <w:ilvl w:val="0"/>
          <w:numId w:val="3"/>
        </w:numPr>
        <w:tabs>
          <w:tab w:val="clear" w:pos="720"/>
          <w:tab w:val="left" w:pos="420" w:leader="none"/>
        </w:tabs>
        <w:ind w:hanging="360" w:start="420" w:end="0"/>
        <w:rPr/>
      </w:pPr>
      <w:r>
        <w:rPr/>
        <w:t>A meeting attended by more Enron employees than Resco employees sends the wrong message about the relationship between the two companies.</w:t>
      </w:r>
    </w:p>
    <w:p>
      <w:pPr>
        <w:pStyle w:val="BodyText"/>
        <w:numPr>
          <w:ilvl w:val="0"/>
          <w:numId w:val="3"/>
        </w:numPr>
        <w:tabs>
          <w:tab w:val="clear" w:pos="720"/>
          <w:tab w:val="left" w:pos="420" w:leader="none"/>
        </w:tabs>
        <w:ind w:hanging="360" w:start="420" w:end="0"/>
        <w:rPr/>
      </w:pPr>
      <w:r>
        <w:rPr/>
        <w:t>The intent of the meetings is to deliver simple, clear messages about the relationship between Enron and Resco.  Introducing Susan or Thom as “half and half” only makes the issue murkier.</w:t>
      </w:r>
    </w:p>
    <w:p>
      <w:pPr>
        <w:pStyle w:val="BodyText"/>
        <w:numPr>
          <w:ilvl w:val="0"/>
          <w:numId w:val="3"/>
        </w:numPr>
        <w:tabs>
          <w:tab w:val="clear" w:pos="720"/>
          <w:tab w:val="left" w:pos="420" w:leader="none"/>
        </w:tabs>
        <w:ind w:hanging="360" w:start="420" w:end="0"/>
        <w:rPr/>
      </w:pPr>
      <w:r>
        <w:rPr/>
        <w:t>Because Susan or Thom will not be attending meetings or hearings solely on behalf of Resco, there is no need to introduce them to commissions as part of the Resco announcement.</w:t>
      </w:r>
    </w:p>
    <w:p>
      <w:pPr>
        <w:pStyle w:val="BodyText"/>
        <w:rPr/>
      </w:pPr>
      <w:r>
        <w:rPr/>
      </w:r>
    </w:p>
    <w:p>
      <w:pPr>
        <w:pStyle w:val="BodyText"/>
        <w:rPr/>
      </w:pPr>
      <w:r>
        <w:rPr/>
        <w:t>Having considered these "cons," we ultimately based our recommendation on whether Susan and Thom will publicly represent Resco.  If they will publicly represent Resco, we recommend that Susan and Thom attend the meetings.  Kathleen expressed the view that, if Susan and Thom will administer the Master Services Agreement, it is important that they attend the meetings. Mark Manly attended the meeting on the 18</w:t>
      </w:r>
      <w:r>
        <w:rPr>
          <w:vertAlign w:val="superscript"/>
        </w:rPr>
        <w:t>th</w:t>
      </w:r>
      <w:r>
        <w:rPr/>
        <w:t xml:space="preserve"> and expressed the view that Thom and Susan should publicly represent Resco. </w:t>
      </w:r>
    </w:p>
    <w:p>
      <w:pPr>
        <w:pStyle w:val="BodyText"/>
        <w:rPr/>
      </w:pPr>
      <w:r>
        <w:rPr/>
      </w:r>
    </w:p>
    <w:p>
      <w:pPr>
        <w:pStyle w:val="BodyText"/>
        <w:rPr/>
      </w:pPr>
      <w:r>
        <w:rPr>
          <w:b/>
        </w:rPr>
        <w:t>Announcement Phone Calls.</w:t>
      </w:r>
      <w:r>
        <w:rPr/>
        <w:t xml:space="preserve">  The group discussed the informal contact that many members of Enron Government Affairs will need to make with key policymakers in their states very shortly before the public announcement.  We agreed to recommend that each regional director inform her group of the announcement shortly before it takes place.  We also agreed to recommend that clear direction be given about the timing and message of these informal calls.</w:t>
      </w:r>
    </w:p>
    <w:p>
      <w:pPr>
        <w:pStyle w:val="BodyText"/>
        <w:rPr/>
      </w:pPr>
      <w:r>
        <w:rPr/>
      </w:r>
    </w:p>
    <w:p>
      <w:pPr>
        <w:pStyle w:val="BodyText"/>
        <w:rPr/>
      </w:pPr>
      <w:r>
        <w:rPr>
          <w:b/>
        </w:rPr>
        <w:t>Post-Announcement Roadshow.</w:t>
      </w:r>
      <w:r>
        <w:rPr/>
        <w:t xml:space="preserve">  The group discussed these meetings very briefly. </w:t>
      </w:r>
    </w:p>
    <w:p>
      <w:pPr>
        <w:pStyle w:val="BodyText"/>
        <w:rPr/>
      </w:pPr>
      <w:r>
        <w:rPr/>
      </w:r>
    </w:p>
    <w:sectPr>
      <w:footerReference w:type="default" r:id="rId2"/>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5z0">
    <w:name w:val="WW8Num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2000-04-18T18:15:00Z</dcterms:created>
  <dc:creator>EES</dc:creator>
  <dc:description/>
  <dc:language>en-CA</dc:language>
  <cp:lastModifiedBy>jdasovic</cp:lastModifiedBy>
  <cp:lastPrinted>2000-04-17T13:48:00Z</cp:lastPrinted>
  <dcterms:modified xsi:type="dcterms:W3CDTF">2000-04-18T18:17:00Z</dcterms:modified>
  <cp:revision>3</cp:revision>
  <dc:subject/>
  <dc:title>Group of People Working on Enron/Resco GA Coordination </dc:title>
</cp:coreProperties>
</file>