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i/>
                <w:i/>
                <w:sz w:val="22"/>
              </w:rPr>
            </w:pPr>
            <w:r>
              <w:rPr>
                <w:i/>
                <w:sz w:val="22"/>
              </w:rPr>
              <w:t>Fax:  (713) 646-4816</w:t>
            </w:r>
          </w:p>
          <w:p>
            <w:pPr>
              <w:pStyle w:val="Normal"/>
              <w:tabs>
                <w:tab w:val="clear" w:pos="720"/>
                <w:tab w:val="left" w:pos="2412" w:leader="none"/>
              </w:tabs>
              <w:ind w:start="1782" w:end="0"/>
              <w:rPr>
                <w:i/>
                <w:i/>
                <w:sz w:val="22"/>
              </w:rPr>
            </w:pPr>
            <w:r>
              <w:rPr>
                <w:i/>
                <w:sz w:val="22"/>
              </w:rPr>
            </w:r>
          </w:p>
        </w:tc>
      </w:tr>
    </w:tbl>
    <w:p>
      <w:pPr>
        <w:pStyle w:val="Caption"/>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61925"/>
                        </a:xfrm>
                        <a:prstGeom prst="rect"/>
                        <a:solidFill>
                          <a:srgbClr val="FFFFFF">
                            <a:alpha val="0"/>
                          </a:srgbClr>
                        </a:solidFill>
                      </wps:spPr>
                      <wps:txbx>
                        <w:txbxContent>
                          <w:p>
                            <w:pPr>
                              <w:pStyle w:val="Normal"/>
                              <w:ind w:start="1800" w:end="0"/>
                              <w:jc w:val="center"/>
                              <w:rPr>
                                <w:sz w:val="22"/>
                              </w:rPr>
                            </w:pPr>
                            <w:r>
                              <w:rPr>
                                <w:sz w:val="22"/>
                              </w:rPr>
                            </w:r>
                          </w:p>
                        </w:txbxContent>
                      </wps:txbx>
                      <wps:bodyPr anchor="t" lIns="0" tIns="0" rIns="0" bIns="0">
                        <a:noAutofit/>
                      </wps:bodyPr>
                    </wps:wsp>
                  </a:graphicData>
                </a:graphic>
              </wp:anchor>
            </w:drawing>
          </mc:Choice>
          <mc:Fallback>
            <w:pict>
              <v:rect fillcolor="#FFFFFF" style="position:absolute;rotation:-0;width:91.15pt;height:12.7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ind w:start="1800" w:end="0"/>
                        <w:jc w:val="center"/>
                        <w:rPr>
                          <w:sz w:val="22"/>
                        </w:rPr>
                      </w:pPr>
                      <w:r>
                        <w:rPr>
                          <w:sz w:val="22"/>
                        </w:rPr>
                      </w:r>
                    </w:p>
                  </w:txbxContent>
                </v:textbox>
                <w10:wrap type="square"/>
              </v:rect>
            </w:pict>
          </mc:Fallback>
        </mc:AlternateContent>
      </w:r>
    </w:p>
    <w:p>
      <w:pPr>
        <w:pStyle w:val="Normal"/>
        <w:rPr>
          <w:b/>
          <w:sz w:val="20"/>
          <w:u w:val="single"/>
        </w:rPr>
      </w:pPr>
      <w:r>
        <w:rPr>
          <w:b/>
          <w:sz w:val="20"/>
          <w:u w:val="single"/>
        </w:rPr>
      </w:r>
    </w:p>
    <w:p>
      <w:pPr>
        <w:pStyle w:val="Normal"/>
        <w:jc w:val="both"/>
        <w:rPr>
          <w:sz w:val="20"/>
        </w:rPr>
      </w:pPr>
      <w:r>
        <w:rPr>
          <w:sz w:val="20"/>
        </w:rPr>
        <w:t>Date:</w:t>
        <w:tab/>
        <w:tab/>
        <w:t>&lt;&lt;  &gt;&gt;</w:t>
      </w:r>
    </w:p>
    <w:p>
      <w:pPr>
        <w:pStyle w:val="Normal"/>
        <w:jc w:val="both"/>
        <w:rPr>
          <w:sz w:val="20"/>
        </w:rPr>
      </w:pPr>
      <w:r>
        <w:rPr>
          <w:sz w:val="20"/>
        </w:rPr>
      </w:r>
    </w:p>
    <w:p>
      <w:pPr>
        <w:pStyle w:val="BodyText2"/>
        <w:rPr>
          <w:sz w:val="20"/>
        </w:rPr>
      </w:pPr>
      <w:r>
        <w:rPr>
          <w:sz w:val="20"/>
        </w:rPr>
        <w:t xml:space="preserve">To: </w:t>
        <w:tab/>
        <w:tab/>
        <w:t>&lt;&lt;  &gt;&gt;  (“Party B”)</w:t>
      </w:r>
    </w:p>
    <w:p>
      <w:pPr>
        <w:pStyle w:val="BodyText2"/>
        <w:rPr>
          <w:sz w:val="20"/>
        </w:rPr>
      </w:pPr>
      <w:r>
        <w:rPr>
          <w:sz w:val="20"/>
        </w:rPr>
      </w:r>
    </w:p>
    <w:p>
      <w:pPr>
        <w:pStyle w:val="Normal"/>
        <w:jc w:val="both"/>
        <w:rPr>
          <w:sz w:val="20"/>
        </w:rPr>
      </w:pPr>
      <w:r>
        <w:rPr>
          <w:sz w:val="20"/>
        </w:rPr>
        <w:t>Attention:</w:t>
        <w:tab/>
        <w:t>&lt;&lt;  &gt;&gt;</w:t>
      </w:r>
    </w:p>
    <w:p>
      <w:pPr>
        <w:pStyle w:val="Normal"/>
        <w:jc w:val="both"/>
        <w:rPr>
          <w:sz w:val="20"/>
        </w:rPr>
      </w:pPr>
      <w:r>
        <w:rPr>
          <w:sz w:val="20"/>
        </w:rPr>
      </w:r>
    </w:p>
    <w:p>
      <w:pPr>
        <w:pStyle w:val="Normal"/>
        <w:jc w:val="both"/>
        <w:rPr>
          <w:sz w:val="20"/>
        </w:rPr>
      </w:pPr>
      <w:r>
        <w:rPr>
          <w:sz w:val="20"/>
        </w:rPr>
        <w:t xml:space="preserve">Fax No: </w:t>
        <w:tab/>
        <w:tab/>
        <w:t>&lt;&lt;  &gt;&gt;</w:t>
      </w:r>
    </w:p>
    <w:p>
      <w:pPr>
        <w:pStyle w:val="Normal"/>
        <w:jc w:val="both"/>
        <w:rPr>
          <w:sz w:val="20"/>
        </w:rPr>
      </w:pPr>
      <w:r>
        <w:rPr>
          <w:sz w:val="20"/>
        </w:rPr>
      </w:r>
    </w:p>
    <w:p>
      <w:pPr>
        <w:pStyle w:val="Normal"/>
        <w:jc w:val="both"/>
        <w:rPr>
          <w:sz w:val="20"/>
        </w:rPr>
      </w:pPr>
      <w:r>
        <w:rPr>
          <w:sz w:val="20"/>
        </w:rPr>
        <w:t>From:</w:t>
        <w:tab/>
        <w:tab/>
        <w:t>Enron North America Corp. (“Party A”)</w:t>
      </w:r>
    </w:p>
    <w:p>
      <w:pPr>
        <w:pStyle w:val="Normal"/>
        <w:jc w:val="both"/>
        <w:rPr>
          <w:sz w:val="20"/>
        </w:rPr>
      </w:pPr>
      <w:r>
        <w:rPr>
          <w:sz w:val="20"/>
        </w:rPr>
      </w:r>
    </w:p>
    <w:p>
      <w:pPr>
        <w:pStyle w:val="Normal"/>
        <w:jc w:val="both"/>
        <w:rPr/>
      </w:pPr>
      <w:r>
        <w:rPr>
          <w:sz w:val="20"/>
        </w:rPr>
        <w:t>RE:</w:t>
        <w:tab/>
        <w:tab/>
        <w:t xml:space="preserve">Foreign Exchange Transaction, Deal No. </w:t>
      </w:r>
      <w:r>
        <w:rPr>
          <w:color w:val="FF0000"/>
          <w:sz w:val="20"/>
        </w:rPr>
        <w:t>M&lt;&lt;  &gt;&gt; A&amp;B</w:t>
      </w:r>
    </w:p>
    <w:p>
      <w:pPr>
        <w:pStyle w:val="Normal"/>
        <w:jc w:val="both"/>
        <w:rPr>
          <w:color w:val="FF0000"/>
          <w:sz w:val="20"/>
        </w:rPr>
      </w:pPr>
      <w:r>
        <w:rPr>
          <w:color w:val="FF0000"/>
          <w:sz w:val="20"/>
        </w:rPr>
      </w:r>
    </w:p>
    <w:p>
      <w:pPr>
        <w:pStyle w:val="BodyText3"/>
        <w:rPr/>
      </w:pPr>
      <w:r>
        <w:rPr/>
        <w:t>The purpose of this letter agreement (this “Confirmation”) is to evidence a complete and binding agreement and to confirm the terms and conditions of the Transaction entered into between us on the Trade Date specified below (the “Transaction”). This Confirmation constitutes a “Confirmation” pursuant to the 1992 ISDA Master Agreement (Multicurrency-Cross Border) (the "ISDA Form") specified below.</w:t>
      </w:r>
    </w:p>
    <w:p>
      <w:pPr>
        <w:pStyle w:val="Normal"/>
        <w:jc w:val="both"/>
        <w:rPr>
          <w:sz w:val="20"/>
        </w:rPr>
      </w:pPr>
      <w:r>
        <w:rPr>
          <w:sz w:val="20"/>
        </w:rPr>
      </w:r>
    </w:p>
    <w:p>
      <w:pPr>
        <w:pStyle w:val="Normal"/>
        <w:jc w:val="both"/>
        <w:rPr>
          <w:sz w:val="20"/>
        </w:rPr>
      </w:pPr>
      <w:r>
        <w:rPr>
          <w:sz w:val="20"/>
        </w:rPr>
        <w:t>Party A and Party B agree to use all reasonable efforts promptly to negotiate, execute and deliver an agreement in the ISDA Form with such modifications as Party A and Party B will in good faith agree.  Upon execution by Party A and Party B of such an agreement this Confirmation will supplement, form part of, and be subject to that agreement.  All provisions contained or incorporated by reference in that agreement upon its execution will govern this Confirmation except as expressly modified below.  Until we execute and deliver that agreement, this Confirmation, together with all other documents referring to the ISDA Form (each a "Confirmation") and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on the Trade Date of the first such Transaction between us.  In the event of any inconsistency between the provisions of that agreement and this Confirmation, this Confirmation will prevail for the purposes of this Transaction.</w:t>
      </w:r>
    </w:p>
    <w:p>
      <w:pPr>
        <w:pStyle w:val="Normal"/>
        <w:jc w:val="both"/>
        <w:rPr>
          <w:sz w:val="20"/>
        </w:rPr>
      </w:pPr>
      <w:r>
        <w:rPr>
          <w:sz w:val="20"/>
        </w:rPr>
      </w:r>
    </w:p>
    <w:p>
      <w:pPr>
        <w:pStyle w:val="BodyText2"/>
        <w:rPr>
          <w:sz w:val="20"/>
        </w:rPr>
      </w:pPr>
      <w:r>
        <w:rPr>
          <w:sz w:val="20"/>
        </w:rPr>
        <w:t>The definitions and provisions contained in the 1998 FX and Currency Option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t>1.</w:t>
        <w:tab/>
        <w:t>The terms of the particular Transaction to which this Confirmation relates are as follows:</w:t>
      </w:r>
    </w:p>
    <w:tbl>
      <w:tblPr>
        <w:tblW w:w="8856" w:type="dxa"/>
        <w:jc w:val="start"/>
        <w:tblInd w:w="0" w:type="dxa"/>
        <w:tblLayout w:type="fixed"/>
        <w:tblCellMar>
          <w:top w:w="0" w:type="dxa"/>
          <w:start w:w="108" w:type="dxa"/>
          <w:bottom w:w="0" w:type="dxa"/>
          <w:end w:w="108" w:type="dxa"/>
        </w:tblCellMar>
      </w:tblPr>
      <w:tblGrid>
        <w:gridCol w:w="3528"/>
        <w:gridCol w:w="2790"/>
        <w:gridCol w:w="2538"/>
      </w:tblGrid>
      <w:tr>
        <w:trPr/>
        <w:tc>
          <w:tcPr>
            <w:tcW w:w="3528" w:type="dxa"/>
            <w:tcBorders/>
          </w:tcPr>
          <w:p>
            <w:pPr>
              <w:pStyle w:val="Normal"/>
              <w:widowControl/>
              <w:spacing w:before="60" w:after="0"/>
              <w:jc w:val="both"/>
              <w:rPr>
                <w:sz w:val="20"/>
              </w:rPr>
            </w:pPr>
            <w:r>
              <w:rPr>
                <w:sz w:val="20"/>
              </w:rPr>
              <w:t>M&lt;&lt;  &gt;&gt;A</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M&lt;&lt;  &gt;&gt;B</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Trade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Amount and currency payable by Party A:</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Amount and currency payable by Party B:</w:t>
            </w:r>
          </w:p>
        </w:tc>
        <w:tc>
          <w:tcPr>
            <w:tcW w:w="5328" w:type="dxa"/>
            <w:gridSpan w:val="2"/>
            <w:tcBorders/>
          </w:tcPr>
          <w:p>
            <w:pPr>
              <w:pStyle w:val="Normal"/>
              <w:widowControl/>
              <w:snapToGrid w:val="false"/>
              <w:spacing w:before="60" w:after="0"/>
              <w:jc w:val="both"/>
              <w:rPr>
                <w:sz w:val="20"/>
              </w:rPr>
            </w:pPr>
            <w:r>
              <w:rPr>
                <w:sz w:val="20"/>
              </w:rPr>
            </w:r>
          </w:p>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Settlement Date:</w:t>
            </w:r>
          </w:p>
        </w:tc>
        <w:tc>
          <w:tcPr>
            <w:tcW w:w="5328" w:type="dxa"/>
            <w:gridSpan w:val="2"/>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tabs>
                <w:tab w:val="left" w:pos="720" w:leader="none"/>
              </w:tabs>
              <w:spacing w:before="60" w:after="0"/>
              <w:jc w:val="both"/>
              <w:rPr>
                <w:sz w:val="20"/>
              </w:rPr>
            </w:pPr>
            <w:r>
              <w:rPr>
                <w:sz w:val="20"/>
              </w:rPr>
              <w:t>2.         Calculation Agent:</w:t>
            </w:r>
          </w:p>
        </w:tc>
        <w:tc>
          <w:tcPr>
            <w:tcW w:w="5328" w:type="dxa"/>
            <w:gridSpan w:val="2"/>
            <w:tcBorders/>
          </w:tcPr>
          <w:p>
            <w:pPr>
              <w:pStyle w:val="Normal"/>
              <w:widowControl/>
              <w:spacing w:before="60" w:after="0"/>
              <w:jc w:val="both"/>
              <w:rPr>
                <w:sz w:val="20"/>
              </w:rPr>
            </w:pPr>
            <w:r>
              <w:rPr>
                <w:sz w:val="20"/>
              </w:rPr>
              <w:t>Party A, whose calculations shall be binding in the absence of manifest error.</w:t>
            </w:r>
          </w:p>
        </w:tc>
      </w:tr>
      <w:tr>
        <w:trPr/>
        <w:tc>
          <w:tcPr>
            <w:tcW w:w="3528" w:type="dxa"/>
            <w:tcBorders/>
          </w:tcPr>
          <w:p>
            <w:pPr>
              <w:pStyle w:val="Normal"/>
              <w:widowControl/>
              <w:spacing w:before="60" w:after="0"/>
              <w:jc w:val="both"/>
              <w:rPr>
                <w:sz w:val="20"/>
              </w:rPr>
            </w:pPr>
            <w:r>
              <w:rPr>
                <w:sz w:val="20"/>
              </w:rPr>
              <w:t>3.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pPr>
            <w:r>
              <w:rPr>
                <w:sz w:val="20"/>
              </w:rPr>
              <w:t xml:space="preserve">        </w:t>
            </w:r>
            <w:r>
              <w:rPr>
                <w:sz w:val="20"/>
                <w:u w:val="single"/>
              </w:rPr>
              <w:t>Payments to Party A:</w:t>
            </w:r>
          </w:p>
          <w:p>
            <w:pPr>
              <w:pStyle w:val="Normal"/>
              <w:widowControl/>
              <w:spacing w:before="60" w:after="0"/>
              <w:ind w:start="270" w:end="0"/>
              <w:jc w:val="both"/>
              <w:rPr>
                <w:sz w:val="20"/>
                <w:u w:val="single"/>
              </w:rPr>
            </w:pPr>
            <w:r>
              <w:rPr>
                <w:sz w:val="20"/>
                <w:u w:val="single"/>
              </w:rPr>
            </w:r>
          </w:p>
        </w:tc>
        <w:tc>
          <w:tcPr>
            <w:tcW w:w="2790" w:type="dxa"/>
            <w:tcBorders/>
          </w:tcPr>
          <w:p>
            <w:pPr>
              <w:pStyle w:val="Normal"/>
              <w:widowControl/>
              <w:spacing w:before="60" w:after="0"/>
              <w:jc w:val="both"/>
              <w:rPr>
                <w:sz w:val="20"/>
              </w:rPr>
            </w:pPr>
            <w:r>
              <w:rPr>
                <w:sz w:val="20"/>
              </w:rPr>
              <w:t>&lt;&lt;  &gt;&gt;</w:t>
            </w:r>
          </w:p>
        </w:tc>
        <w:tc>
          <w:tcPr>
            <w:tcW w:w="2538" w:type="dxa"/>
            <w:tcBorders/>
          </w:tcPr>
          <w:p>
            <w:pPr>
              <w:pStyle w:val="Normal"/>
              <w:widowControl/>
              <w:spacing w:before="60" w:after="0"/>
              <w:jc w:val="both"/>
              <w:rPr>
                <w:sz w:val="20"/>
              </w:rPr>
            </w:pPr>
            <w:r>
              <w:rPr>
                <w:sz w:val="20"/>
              </w:rPr>
              <w:t>&lt;&lt;  &gt;&gt;</w:t>
            </w:r>
          </w:p>
        </w:tc>
      </w:tr>
      <w:tr>
        <w:trPr/>
        <w:tc>
          <w:tcPr>
            <w:tcW w:w="3528" w:type="dxa"/>
            <w:tcBorders/>
          </w:tcPr>
          <w:p>
            <w:pPr>
              <w:pStyle w:val="Normal"/>
              <w:widowControl/>
              <w:snapToGrid w:val="false"/>
              <w:spacing w:before="60" w:after="0"/>
              <w:ind w:start="27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270" w:end="0"/>
              <w:jc w:val="both"/>
              <w:rPr>
                <w:sz w:val="20"/>
              </w:rPr>
            </w:pPr>
            <w:r>
              <w:rPr>
                <w:sz w:val="20"/>
              </w:rPr>
              <w:t xml:space="preserve">        </w:t>
            </w:r>
            <w:r>
              <w:rPr>
                <w:sz w:val="20"/>
                <w:u w:val="single"/>
              </w:rPr>
              <w:t>Payments to Party B:</w:t>
            </w:r>
          </w:p>
          <w:p>
            <w:pPr>
              <w:pStyle w:val="Normal"/>
              <w:widowControl/>
              <w:spacing w:before="60" w:after="0"/>
              <w:ind w:start="270" w:end="0"/>
              <w:jc w:val="both"/>
              <w:rPr>
                <w:sz w:val="20"/>
              </w:rPr>
            </w:pPr>
            <w:r>
              <w:rPr>
                <w:sz w:val="20"/>
              </w:rPr>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tabs>
                <w:tab w:val="left" w:pos="720" w:leader="none"/>
              </w:tabs>
              <w:spacing w:before="60" w:after="0"/>
              <w:jc w:val="both"/>
              <w:rPr>
                <w:sz w:val="20"/>
              </w:rPr>
            </w:pPr>
            <w:r>
              <w:rPr>
                <w:sz w:val="20"/>
              </w:rPr>
              <w:t>4.         Governing Law:</w:t>
            </w:r>
          </w:p>
        </w:tc>
        <w:tc>
          <w:tcPr>
            <w:tcW w:w="5328" w:type="dxa"/>
            <w:gridSpan w:val="2"/>
            <w:tcBorders/>
          </w:tcPr>
          <w:p>
            <w:pPr>
              <w:pStyle w:val="Normal"/>
              <w:widowControl/>
              <w:spacing w:before="60" w:after="0"/>
              <w:jc w:val="both"/>
              <w:rPr>
                <w:sz w:val="20"/>
              </w:rPr>
            </w:pPr>
            <w:r>
              <w:rPr>
                <w:sz w:val="20"/>
              </w:rPr>
              <w:t>State of New York (without reference to the choice of law doctrine</w:t>
            </w:r>
          </w:p>
        </w:tc>
      </w:tr>
    </w:tbl>
    <w:p>
      <w:pPr>
        <w:pStyle w:val="Normal"/>
        <w:jc w:val="both"/>
        <w:rPr>
          <w:sz w:val="20"/>
        </w:rPr>
      </w:pPr>
      <w:r>
        <w:rPr>
          <w:sz w:val="20"/>
        </w:rPr>
      </w:r>
    </w:p>
    <w:p>
      <w:pPr>
        <w:pStyle w:val="BodyText3"/>
        <w:widowControl/>
        <w:rPr/>
      </w:pPr>
      <w:r>
        <w:rPr/>
        <w:t>Please confirm that the foregoing correctly sets forth the terms of our agreement by executing the copy of this Confirmation enclosed for that purpose and returning it to Facsimile No.: (713) 646-4816, Attention: Director, Documentation Department and returning it to us within three Business Days after the date first above written.</w:t>
      </w:r>
    </w:p>
    <w:p>
      <w:pPr>
        <w:pStyle w:val="Normal"/>
        <w:jc w:val="both"/>
        <w:rPr>
          <w:sz w:val="20"/>
        </w:rPr>
      </w:pPr>
      <w:r>
        <w:rPr>
          <w:sz w:val="20"/>
        </w:rPr>
      </w:r>
    </w:p>
    <w:p>
      <w:pPr>
        <w:pStyle w:val="Normal"/>
        <w:jc w:val="both"/>
        <w:rPr>
          <w:sz w:val="20"/>
        </w:rPr>
      </w:pPr>
      <w:r>
        <w:rPr>
          <w:sz w:val="20"/>
        </w:rPr>
      </w:r>
    </w:p>
    <w:p>
      <w:pPr>
        <w:pStyle w:val="BodyText3"/>
        <w:rPr/>
      </w:pPr>
      <w:r>
        <w:rPr/>
        <w:t>Enron North America Corp. is pleased to have entered into this Transaction with you.</w:t>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BodyText2"/>
        <w:widowControl/>
        <w:rPr>
          <w:sz w:val="20"/>
        </w:rPr>
      </w:pPr>
      <w:r>
        <w:rPr>
          <w:sz w:val="20"/>
        </w:rPr>
        <w:tab/>
        <w:tab/>
        <w:tab/>
        <w:tab/>
        <w:tab/>
        <w:tab/>
        <w:t>ENRON NORTH AMERICA CORP.</w:t>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2"/>
        </w:rPr>
      </w:pPr>
      <w:r>
        <w:rPr>
          <w:sz w:val="20"/>
        </w:rPr>
        <w:tab/>
        <w:tab/>
        <w:tab/>
        <w:tab/>
        <w:tab/>
        <w:tab/>
        <w:t>Title:</w:t>
      </w:r>
      <w:r>
        <w:rPr>
          <w:sz w:val="20"/>
          <w:u w:val="single"/>
        </w:rPr>
        <w:tab/>
        <w:tab/>
        <w:tab/>
        <w:tab/>
        <w:tab/>
      </w:r>
      <w:r>
        <w:rPr>
          <w:sz w:val="22"/>
          <w:u w:val="single"/>
        </w:rPr>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t>&lt;&lt;  &gt;&gt;</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r>
      <mc:AlternateContent>
        <mc:Choice Requires="wps">
          <w:drawing>
            <wp:anchor behindDoc="0" distT="0" distB="0" distL="0" distR="0" simplePos="0" locked="0" layoutInCell="0" allowOverlap="1" relativeHeight="4">
              <wp:simplePos x="0" y="0"/>
              <wp:positionH relativeFrom="page">
                <wp:posOffset>3841115</wp:posOffset>
              </wp:positionH>
              <wp:positionV relativeFrom="paragraph">
                <wp:posOffset>25400</wp:posOffset>
              </wp:positionV>
              <wp:extent cx="70485" cy="161925"/>
              <wp:effectExtent l="0" t="0" r="0" b="0"/>
              <wp:wrapSquare wrapText="bothSides"/>
              <wp:docPr id="3" name="Frame2"/>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2pt;mso-position-vertical-relative:text;margin-left:302.45pt;mso-position-horizontal-relative:page">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w:t>
                    </w:r>
                    <w:r>
                      <w:rPr>
                        <w:rStyle w:val="PageNumber"/>
                        <w:sz w:val="2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2"/>
      </w:rPr>
    </w:pPr>
    <w:r>
      <w:rPr>
        <w:sz w:val="22"/>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M229069 A&amp;B</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ab/>
      <w:tab/>
      <w:tab/>
      <w:tab/>
    </w:r>
  </w:p>
</w:hd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widowControl/>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Indent">
    <w:name w:val="Body Text Indent"/>
    <w:basedOn w:val="Normal"/>
    <w:pPr>
      <w:ind w:hanging="0" w:start="720" w:end="0"/>
      <w:jc w:val="both"/>
    </w:pPr>
    <w:rPr>
      <w:sz w:val="22"/>
    </w:rPr>
  </w:style>
  <w:style w:type="paragraph" w:styleId="BodyText3">
    <w:name w:val="Body Text 3"/>
    <w:basedOn w:val="Normal"/>
    <w:qFormat/>
    <w:pPr>
      <w:jc w:val="both"/>
    </w:pPr>
    <w:rPr>
      <w:sz w:val="20"/>
    </w:rPr>
  </w:style>
  <w:style w:type="paragraph" w:styleId="BlockText">
    <w:name w:val="Block Text"/>
    <w:basedOn w:val="Normal"/>
    <w:qFormat/>
    <w:pPr>
      <w:spacing w:lineRule="exact" w:line="240" w:before="240" w:after="0"/>
      <w:ind w:hanging="0" w:start="1440" w:end="72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2001-10-17T14:20:00Z</dcterms:created>
  <dc:creator>ECT</dc:creator>
  <dc:description/>
  <dc:language>en-CA</dc:language>
  <cp:lastModifiedBy>jgarci11</cp:lastModifiedBy>
  <cp:lastPrinted>1999-12-14T07:58:00Z</cp:lastPrinted>
  <dcterms:modified xsi:type="dcterms:W3CDTF">2001-10-17T14:20:00Z</dcterms:modified>
  <cp:revision>2</cp:revision>
  <dc:subject/>
  <dc:title> 1400 Smith  Houston, TX 77002 (713) 853-3300 Fax (713) 646-4816</dc:title>
</cp:coreProperties>
</file>