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25pt;height:78.7pt" filled="f" o:ole="">
            <v:imagedata r:id="rId3" o:title=""/>
          </v:shape>
          <o:OLEObject Type="Embed" ProgID="" ShapeID="ole_rId2" DrawAspect="Content" ObjectID="_1284470836" r:id="rId2"/>
        </w:object>
      </w:r>
    </w:p>
    <w:p>
      <w:pPr>
        <w:pStyle w:val="Heading1"/>
        <w:ind w:hanging="0" w:start="0"/>
        <w:rPr/>
      </w:pPr>
      <w:r>
        <w:rPr/>
      </w:r>
    </w:p>
    <w:p>
      <w:pPr>
        <w:pStyle w:val="Heading1"/>
        <w:ind w:hanging="0" w:start="0"/>
        <w:rPr/>
      </w:pPr>
      <w:r>
        <w:rPr/>
      </w:r>
    </w:p>
    <w:p>
      <w:pPr>
        <w:pStyle w:val="Heading1"/>
        <w:ind w:hanging="0" w:start="0"/>
        <w:jc w:val="start"/>
        <w:rPr/>
      </w:pPr>
      <w:r>
        <w:rPr/>
        <w:t xml:space="preserve">ENRON </w:t>
      </w:r>
    </w:p>
    <w:p>
      <w:pPr>
        <w:pStyle w:val="Heading1"/>
        <w:ind w:hanging="0" w:start="0"/>
        <w:jc w:val="start"/>
        <w:rPr/>
      </w:pPr>
      <w:r>
        <w:rPr/>
      </w:r>
    </w:p>
    <w:p>
      <w:pPr>
        <w:pStyle w:val="Heading1"/>
        <w:ind w:hanging="0" w:start="0"/>
        <w:jc w:val="start"/>
        <w:rPr/>
      </w:pPr>
      <w:r>
        <w:rPr/>
        <w:t xml:space="preserve">InterOffice Memo </w:t>
      </w:r>
    </w:p>
    <w:p>
      <w:pPr>
        <w:pStyle w:val="Normal"/>
        <w:rPr/>
      </w:pPr>
      <w:r>
        <w:rPr/>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8856"/>
        <w:gridCol w:w="612"/>
      </w:tblGrid>
      <w:tr>
        <w:trPr/>
        <w:tc>
          <w:tcPr>
            <w:tcW w:w="8856" w:type="dxa"/>
            <w:tcBorders/>
          </w:tcPr>
          <w:p>
            <w:pPr>
              <w:pStyle w:val="Normal"/>
              <w:tabs>
                <w:tab w:val="clear" w:pos="720"/>
                <w:tab w:val="left" w:pos="1440" w:leader="none"/>
              </w:tabs>
              <w:rPr>
                <w:rFonts w:ascii="Arial" w:hAnsi="Arial" w:cs="Arial"/>
                <w:sz w:val="24"/>
              </w:rPr>
            </w:pPr>
            <w:r>
              <w:rPr>
                <w:rFonts w:cs="Arial" w:ascii="Arial" w:hAnsi="Arial"/>
                <w:sz w:val="24"/>
              </w:rPr>
              <w:t>To:</w:t>
              <w:tab/>
              <w:t>Distribution</w:t>
            </w:r>
          </w:p>
          <w:p>
            <w:pPr>
              <w:pStyle w:val="Normal"/>
              <w:rPr>
                <w:rFonts w:ascii="Arial" w:hAnsi="Arial" w:cs="Arial"/>
                <w:sz w:val="24"/>
              </w:rPr>
            </w:pPr>
            <w:r>
              <w:rPr>
                <w:rFonts w:cs="Arial" w:ascii="Arial" w:hAnsi="Arial"/>
                <w:sz w:val="24"/>
              </w:rPr>
            </w:r>
          </w:p>
        </w:tc>
        <w:tc>
          <w:tcPr>
            <w:tcW w:w="612" w:type="dxa"/>
            <w:tcBorders/>
            <w:tcMar>
              <w:start w:w="0" w:type="dxa"/>
              <w:end w:w="0" w:type="dxa"/>
            </w:tcMar>
          </w:tcPr>
          <w:p>
            <w:pPr>
              <w:pStyle w:val="Normal"/>
              <w:snapToGrid w:val="false"/>
              <w:rPr>
                <w:rFonts w:ascii="Arial" w:hAnsi="Arial" w:cs="Arial"/>
                <w:sz w:val="24"/>
              </w:rPr>
            </w:pPr>
            <w:r>
              <w:rPr>
                <w:rFonts w:cs="Arial" w:ascii="Arial" w:hAnsi="Arial"/>
                <w:sz w:val="24"/>
              </w:rPr>
            </w:r>
          </w:p>
        </w:tc>
      </w:tr>
      <w:tr>
        <w:trPr/>
        <w:tc>
          <w:tcPr>
            <w:tcW w:w="8856"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rPr>
                <w:rFonts w:ascii="Arial" w:hAnsi="Arial" w:cs="Arial"/>
                <w:sz w:val="24"/>
              </w:rPr>
            </w:pPr>
            <w:r>
              <w:rPr>
                <w:rFonts w:cs="Arial" w:ascii="Arial" w:hAnsi="Arial"/>
                <w:sz w:val="24"/>
              </w:rPr>
            </w:r>
          </w:p>
        </w:tc>
        <w:tc>
          <w:tcPr>
            <w:tcW w:w="612" w:type="dxa"/>
            <w:tcBorders/>
            <w:tcMar>
              <w:start w:w="0" w:type="dxa"/>
              <w:end w:w="0" w:type="dxa"/>
            </w:tcMar>
          </w:tcPr>
          <w:p>
            <w:pPr>
              <w:pStyle w:val="Normal"/>
              <w:snapToGrid w:val="false"/>
              <w:rPr>
                <w:rFonts w:ascii="Arial" w:hAnsi="Arial" w:cs="Arial"/>
                <w:sz w:val="24"/>
              </w:rPr>
            </w:pPr>
            <w:r>
              <w:rPr>
                <w:rFonts w:cs="Arial" w:ascii="Arial" w:hAnsi="Arial"/>
                <w:sz w:val="24"/>
              </w:rPr>
            </w:r>
          </w:p>
        </w:tc>
      </w:tr>
      <w:tr>
        <w:trPr/>
        <w:tc>
          <w:tcPr>
            <w:tcW w:w="8856" w:type="dxa"/>
            <w:tcBorders/>
          </w:tcPr>
          <w:p>
            <w:pPr>
              <w:pStyle w:val="Normal"/>
              <w:tabs>
                <w:tab w:val="clear" w:pos="720"/>
                <w:tab w:val="left" w:pos="1440" w:leader="none"/>
              </w:tabs>
              <w:rPr>
                <w:rFonts w:ascii="Arial" w:hAnsi="Arial" w:cs="Arial"/>
                <w:sz w:val="24"/>
              </w:rPr>
            </w:pPr>
            <w:r>
              <w:rPr>
                <w:rFonts w:cs="Arial" w:ascii="Arial" w:hAnsi="Arial"/>
                <w:sz w:val="24"/>
              </w:rPr>
              <w:t>Date:</w:t>
              <w:tab/>
              <w:t>October 1, 2001</w:t>
            </w:r>
          </w:p>
          <w:p>
            <w:pPr>
              <w:pStyle w:val="Normal"/>
              <w:rPr>
                <w:rFonts w:ascii="Arial" w:hAnsi="Arial" w:cs="Arial"/>
                <w:sz w:val="24"/>
              </w:rPr>
            </w:pPr>
            <w:r>
              <w:rPr>
                <w:rFonts w:cs="Arial" w:ascii="Arial" w:hAnsi="Arial"/>
                <w:sz w:val="24"/>
              </w:rPr>
            </w:r>
          </w:p>
        </w:tc>
        <w:tc>
          <w:tcPr>
            <w:tcW w:w="612" w:type="dxa"/>
            <w:tcBorders/>
            <w:tcMar>
              <w:start w:w="0" w:type="dxa"/>
              <w:end w:w="0" w:type="dxa"/>
            </w:tcMar>
          </w:tcPr>
          <w:p>
            <w:pPr>
              <w:pStyle w:val="Normal"/>
              <w:snapToGrid w:val="false"/>
              <w:rPr>
                <w:rFonts w:ascii="Arial" w:hAnsi="Arial" w:cs="Arial"/>
                <w:sz w:val="24"/>
              </w:rPr>
            </w:pPr>
            <w:r>
              <w:rPr>
                <w:rFonts w:cs="Arial" w:ascii="Arial" w:hAnsi="Arial"/>
                <w:sz w:val="24"/>
              </w:rPr>
            </w:r>
          </w:p>
        </w:tc>
      </w:tr>
      <w:tr>
        <w:trPr/>
        <w:tc>
          <w:tcPr>
            <w:tcW w:w="8856" w:type="dxa"/>
            <w:tcBorders/>
          </w:tcPr>
          <w:p>
            <w:pPr>
              <w:pStyle w:val="Normal"/>
              <w:tabs>
                <w:tab w:val="clear" w:pos="720"/>
                <w:tab w:val="left" w:pos="1440" w:leader="none"/>
              </w:tabs>
              <w:rPr>
                <w:rFonts w:ascii="Arial" w:hAnsi="Arial" w:cs="Arial"/>
                <w:sz w:val="24"/>
              </w:rPr>
            </w:pPr>
            <w:r>
              <w:rPr>
                <w:rFonts w:cs="Arial" w:ascii="Arial" w:hAnsi="Arial"/>
                <w:sz w:val="24"/>
              </w:rPr>
              <w:t>Re:</w:t>
              <w:tab/>
              <w:t>U.S. Anti-Boycott Report</w:t>
            </w:r>
          </w:p>
          <w:p>
            <w:pPr>
              <w:pStyle w:val="Heading3"/>
              <w:rPr/>
            </w:pPr>
            <w:r>
              <w:rPr/>
              <w:t>Third Quarter 2001</w:t>
            </w:r>
          </w:p>
          <w:p>
            <w:pPr>
              <w:pStyle w:val="Normal"/>
              <w:tabs>
                <w:tab w:val="clear" w:pos="720"/>
                <w:tab w:val="left" w:pos="1440" w:leader="none"/>
              </w:tabs>
              <w:rPr>
                <w:rFonts w:ascii="Arial" w:hAnsi="Arial" w:cs="Arial"/>
                <w:sz w:val="24"/>
              </w:rPr>
            </w:pPr>
            <w:r>
              <w:rPr>
                <w:rFonts w:cs="Arial" w:ascii="Arial" w:hAnsi="Arial"/>
                <w:sz w:val="24"/>
              </w:rPr>
            </w:r>
          </w:p>
        </w:tc>
        <w:tc>
          <w:tcPr>
            <w:tcW w:w="612" w:type="dxa"/>
            <w:tcBorders/>
            <w:tcMar>
              <w:start w:w="0" w:type="dxa"/>
              <w:end w:w="0" w:type="dxa"/>
            </w:tcMar>
          </w:tcPr>
          <w:p>
            <w:pPr>
              <w:pStyle w:val="Normal"/>
              <w:snapToGrid w:val="false"/>
              <w:rPr>
                <w:rFonts w:ascii="Arial" w:hAnsi="Arial" w:cs="Arial"/>
                <w:sz w:val="24"/>
              </w:rPr>
            </w:pPr>
            <w:r>
              <w:rPr>
                <w:rFonts w:cs="Arial" w:ascii="Arial" w:hAnsi="Arial"/>
                <w:sz w:val="24"/>
              </w:rPr>
            </w:r>
          </w:p>
        </w:tc>
      </w:tr>
      <w:tr>
        <w:trPr/>
        <w:tc>
          <w:tcPr>
            <w:tcW w:w="9468" w:type="dxa"/>
            <w:gridSpan w:val="2"/>
            <w:tcBorders/>
          </w:tcPr>
          <w:p>
            <w:pPr>
              <w:pStyle w:val="Normal"/>
              <w:tabs>
                <w:tab w:val="clear" w:pos="720"/>
                <w:tab w:val="left" w:pos="9252" w:leader="none"/>
              </w:tabs>
              <w:rPr>
                <w:rFonts w:ascii="Arial" w:hAnsi="Arial" w:cs="Arial"/>
                <w:sz w:val="24"/>
                <w:u w:val="single"/>
              </w:rPr>
            </w:pPr>
            <w:r>
              <w:rPr>
                <w:rFonts w:cs="Arial" w:ascii="Arial" w:hAnsi="Arial"/>
                <w:sz w:val="24"/>
                <w:u w:val="single"/>
              </w:rPr>
              <w:tab/>
            </w:r>
          </w:p>
          <w:p>
            <w:pPr>
              <w:pStyle w:val="Normal"/>
              <w:tabs>
                <w:tab w:val="clear" w:pos="720"/>
                <w:tab w:val="left" w:pos="1440" w:leader="none"/>
                <w:tab w:val="left" w:pos="8640" w:leader="none"/>
              </w:tabs>
              <w:rPr>
                <w:rFonts w:ascii="Arial" w:hAnsi="Arial" w:cs="Arial"/>
                <w:sz w:val="24"/>
                <w:u w:val="single"/>
              </w:rPr>
            </w:pPr>
            <w:r>
              <w:rPr>
                <w:rFonts w:cs="Arial" w:ascii="Arial" w:hAnsi="Arial"/>
                <w:sz w:val="24"/>
                <w:u w:val="single"/>
              </w:rPr>
            </w:r>
          </w:p>
        </w:tc>
      </w:tr>
    </w:tbl>
    <w:p>
      <w:pPr>
        <w:pStyle w:val="Normal"/>
        <w:jc w:val="both"/>
        <w:rPr>
          <w:rFonts w:ascii="Arial" w:hAnsi="Arial" w:cs="Arial"/>
          <w:sz w:val="24"/>
        </w:rPr>
      </w:pPr>
      <w:r>
        <w:rPr>
          <w:rFonts w:cs="Arial" w:ascii="Arial" w:hAnsi="Arial"/>
          <w:sz w:val="24"/>
        </w:rPr>
        <w:t>The third quarter (2001) report to the Commerce Department in compliance with the anti-boycott provisions of the Export Administration Act (EAA) is due.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EAA requires that the Company report to the United States Department of Commerce the receipt of any request to take any action which is intended to support any foreign boycott imposed by one country against another country (unless such boycott is sanctioned by the United States).  While the EAA was primarily directed at the boycott imposed by Arab League nations against Israel, it covers all unsanctioned foreign boycotts.</w:t>
      </w:r>
    </w:p>
    <w:p>
      <w:pPr>
        <w:pStyle w:val="Normal"/>
        <w:jc w:val="both"/>
        <w:rPr>
          <w:rFonts w:ascii="Arial" w:hAnsi="Arial" w:cs="Arial"/>
          <w:sz w:val="24"/>
        </w:rPr>
      </w:pPr>
      <w:r>
        <w:rPr>
          <w:rFonts w:cs="Arial" w:ascii="Arial" w:hAnsi="Arial"/>
          <w:sz w:val="24"/>
        </w:rPr>
      </w:r>
    </w:p>
    <w:p>
      <w:pPr>
        <w:pStyle w:val="BodyText"/>
        <w:rPr/>
      </w:pPr>
      <w:r>
        <w:rPr/>
        <w:t>Requests reportable under the EAA include:  (1) a request not to do business with a company located in, or organized under the laws of, a boycotted country; (2) a request not to do business with a company which has been blacklisted by a boycotting country; (3) a request not to do business with a person or company which is of, or associated with, a particular religion; (4) a request to furnish information as to a company’s operations (or lack of operations) in a boycotted country; (5) a request for information relating to the blacklist status of the Company (Enron or any of its affiliates) or any supplier, contractor, shipper or insurer of the Company; (6) a request to agree to contractual provisions which require compliance with the boycott regulations of a boycotting country; and (7) a request for information as to the nationality or religion of shareholders, directors, officers or employees of the Company (except for visa, immigration, passport or employment purposes).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These prohibited requests can be in the form of oral statements, correspondence, proposed contract language, shipping, import or letter of credit documentation, or government documentation requirements.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Boycott-related requests are required to be reported even though the Company is legally permitted to take the requested action and regardless of whether the Company in fact responds to the request or takes the requested action.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Please review your third quarter files and let me know by October 15, 2001, of any information which might be boycott-related.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My contact information: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Telephone:</w:t>
        <w:tab/>
        <w:tab/>
        <w:t>(713) 345-3633</w:t>
      </w:r>
    </w:p>
    <w:p>
      <w:pPr>
        <w:pStyle w:val="Normal"/>
        <w:jc w:val="both"/>
        <w:rPr>
          <w:rFonts w:ascii="Arial" w:hAnsi="Arial" w:cs="Arial"/>
          <w:sz w:val="24"/>
        </w:rPr>
      </w:pPr>
      <w:r>
        <w:rPr>
          <w:rFonts w:cs="Arial" w:ascii="Arial" w:hAnsi="Arial"/>
          <w:sz w:val="24"/>
        </w:rPr>
        <w:tab/>
        <w:tab/>
        <w:t>Fax:</w:t>
        <w:tab/>
        <w:tab/>
        <w:tab/>
        <w:t>(713) 646-3490</w:t>
      </w:r>
    </w:p>
    <w:p>
      <w:pPr>
        <w:pStyle w:val="Normal"/>
        <w:jc w:val="both"/>
        <w:rPr/>
      </w:pPr>
      <w:r>
        <w:rPr>
          <w:rFonts w:cs="Arial" w:ascii="Arial" w:hAnsi="Arial"/>
          <w:sz w:val="24"/>
        </w:rPr>
        <w:tab/>
        <w:tab/>
        <w:t>E-Mail address:</w:t>
        <w:tab/>
      </w:r>
      <w:hyperlink r:id="rId4">
        <w:r>
          <w:rPr>
            <w:rStyle w:val="Hyperlink"/>
            <w:rFonts w:cs="Arial" w:ascii="Arial" w:hAnsi="Arial"/>
            <w:color w:val="000000"/>
            <w:sz w:val="24"/>
            <w:u w:val="none"/>
          </w:rPr>
          <w:t>mblaine@enron.com</w:t>
        </w:r>
      </w:hyperlink>
      <w:r>
        <w:rPr>
          <w:rFonts w:cs="Arial" w:ascii="Arial" w:hAnsi="Arial"/>
          <w:sz w:val="24"/>
        </w:rPr>
        <w:t xml:space="preserve"> or Michelle.Blaine@enron.com</w:t>
      </w:r>
    </w:p>
    <w:p>
      <w:pPr>
        <w:pStyle w:val="Normal"/>
        <w:jc w:val="both"/>
        <w:rPr>
          <w:rFonts w:ascii="Arial" w:hAnsi="Arial" w:cs="Arial"/>
          <w:sz w:val="24"/>
        </w:rPr>
      </w:pPr>
      <w:r>
        <w:rPr>
          <w:rFonts w:cs="Arial" w:ascii="Arial" w:hAnsi="Arial"/>
          <w:sz w:val="24"/>
        </w:rPr>
        <w:tab/>
        <w:tab/>
        <w:t>Office address:</w:t>
        <w:tab/>
        <w:t>Enron Building, Room 3828</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Nony Flores</w:t>
      </w:r>
    </w:p>
    <w:p>
      <w:pPr>
        <w:pStyle w:val="Normal"/>
        <w:ind w:firstLine="720" w:end="0"/>
        <w:jc w:val="both"/>
        <w:rPr>
          <w:rFonts w:ascii="Arial" w:hAnsi="Arial" w:cs="Arial"/>
          <w:sz w:val="24"/>
        </w:rPr>
      </w:pPr>
      <w:r>
        <w:rPr>
          <w:rFonts w:cs="Arial" w:ascii="Arial" w:hAnsi="Arial"/>
          <w:sz w:val="24"/>
        </w:rPr>
        <w:t>Julie Goodfriend</w:t>
      </w:r>
    </w:p>
    <w:p>
      <w:pPr>
        <w:pStyle w:val="Normal"/>
        <w:jc w:val="both"/>
        <w:rPr>
          <w:rFonts w:ascii="Arial" w:hAnsi="Arial" w:cs="Arial"/>
          <w:sz w:val="24"/>
        </w:rPr>
      </w:pPr>
      <w:r>
        <w:rPr>
          <w:rFonts w:cs="Arial" w:ascii="Arial" w:hAnsi="Arial"/>
          <w:sz w:val="24"/>
        </w:rPr>
        <w:tab/>
        <w:t>Deb Korkmas</w:t>
      </w:r>
    </w:p>
    <w:p>
      <w:pPr>
        <w:pStyle w:val="Normal"/>
        <w:ind w:firstLine="720" w:end="0"/>
        <w:jc w:val="both"/>
        <w:rPr>
          <w:rFonts w:ascii="Arial" w:hAnsi="Arial" w:cs="Arial"/>
          <w:sz w:val="24"/>
        </w:rPr>
      </w:pPr>
      <w:r>
        <w:rPr>
          <w:rFonts w:cs="Arial" w:ascii="Arial" w:hAnsi="Arial"/>
          <w:sz w:val="24"/>
        </w:rPr>
        <w:t>Robert C. Williams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u w:val="single"/>
        </w:rPr>
        <w:t>Distribution</w:t>
      </w:r>
      <w:r>
        <w:rPr>
          <w:rFonts w:cs="Arial" w:ascii="Arial" w:hAnsi="Arial"/>
          <w:sz w:val="24"/>
        </w:rPr>
        <w: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Alan Aronowitz</w:t>
      </w:r>
    </w:p>
    <w:p>
      <w:pPr>
        <w:pStyle w:val="Normal"/>
        <w:jc w:val="both"/>
        <w:rPr>
          <w:rFonts w:ascii="Arial" w:hAnsi="Arial" w:cs="Arial"/>
          <w:sz w:val="24"/>
        </w:rPr>
      </w:pPr>
      <w:r>
        <w:rPr>
          <w:rFonts w:cs="Arial" w:ascii="Arial" w:hAnsi="Arial"/>
          <w:sz w:val="24"/>
        </w:rPr>
        <w:t>Tim Dorsey</w:t>
      </w:r>
    </w:p>
    <w:p>
      <w:pPr>
        <w:pStyle w:val="Normal"/>
        <w:jc w:val="both"/>
        <w:rPr>
          <w:rFonts w:ascii="Arial" w:hAnsi="Arial" w:cs="Arial"/>
          <w:sz w:val="24"/>
        </w:rPr>
      </w:pPr>
      <w:r>
        <w:rPr>
          <w:rFonts w:cs="Arial" w:ascii="Arial" w:hAnsi="Arial"/>
          <w:sz w:val="24"/>
        </w:rPr>
        <w:t>Mark Evans</w:t>
      </w:r>
    </w:p>
    <w:p>
      <w:pPr>
        <w:pStyle w:val="Normal"/>
        <w:jc w:val="both"/>
        <w:rPr>
          <w:rFonts w:ascii="Arial" w:hAnsi="Arial" w:cs="Arial"/>
          <w:sz w:val="24"/>
        </w:rPr>
      </w:pPr>
      <w:r>
        <w:rPr>
          <w:rFonts w:cs="Arial" w:ascii="Arial" w:hAnsi="Arial"/>
          <w:sz w:val="24"/>
        </w:rPr>
        <w:t>Drew Fossum</w:t>
      </w:r>
    </w:p>
    <w:p>
      <w:pPr>
        <w:pStyle w:val="Normal"/>
        <w:jc w:val="both"/>
        <w:rPr>
          <w:rFonts w:ascii="Arial" w:hAnsi="Arial" w:cs="Arial"/>
          <w:sz w:val="24"/>
        </w:rPr>
      </w:pPr>
      <w:r>
        <w:rPr>
          <w:rFonts w:cs="Arial" w:ascii="Arial" w:hAnsi="Arial"/>
          <w:sz w:val="24"/>
        </w:rPr>
        <w:t>Mark Haedicke</w:t>
      </w:r>
    </w:p>
    <w:p>
      <w:pPr>
        <w:pStyle w:val="Normal"/>
        <w:jc w:val="both"/>
        <w:rPr>
          <w:rFonts w:ascii="Arial" w:hAnsi="Arial" w:cs="Arial"/>
          <w:sz w:val="24"/>
        </w:rPr>
      </w:pPr>
      <w:r>
        <w:rPr>
          <w:rFonts w:cs="Arial" w:ascii="Arial" w:hAnsi="Arial"/>
          <w:sz w:val="24"/>
        </w:rPr>
        <w:t>Sandeep Katwala</w:t>
      </w:r>
    </w:p>
    <w:p>
      <w:pPr>
        <w:pStyle w:val="Normal"/>
        <w:jc w:val="both"/>
        <w:rPr>
          <w:rFonts w:ascii="Arial" w:hAnsi="Arial" w:cs="Arial"/>
          <w:sz w:val="24"/>
        </w:rPr>
      </w:pPr>
      <w:r>
        <w:rPr>
          <w:rFonts w:cs="Arial" w:ascii="Arial" w:hAnsi="Arial"/>
          <w:sz w:val="24"/>
        </w:rPr>
        <w:t>Bruce Lundstrom</w:t>
      </w:r>
    </w:p>
    <w:p>
      <w:pPr>
        <w:pStyle w:val="Normal"/>
        <w:jc w:val="both"/>
        <w:rPr>
          <w:rFonts w:ascii="Arial" w:hAnsi="Arial" w:cs="Arial"/>
          <w:sz w:val="24"/>
        </w:rPr>
      </w:pPr>
      <w:r>
        <w:rPr>
          <w:rFonts w:cs="Arial" w:ascii="Arial" w:hAnsi="Arial"/>
          <w:sz w:val="24"/>
        </w:rPr>
        <w:t>Jordan Mintz</w:t>
      </w:r>
    </w:p>
    <w:p>
      <w:pPr>
        <w:pStyle w:val="Normal"/>
        <w:jc w:val="both"/>
        <w:rPr>
          <w:rFonts w:ascii="Arial" w:hAnsi="Arial" w:cs="Arial"/>
          <w:sz w:val="24"/>
        </w:rPr>
      </w:pPr>
      <w:r>
        <w:rPr>
          <w:rFonts w:cs="Arial" w:ascii="Arial" w:hAnsi="Arial"/>
          <w:sz w:val="24"/>
        </w:rPr>
        <w:t>Kristrina Mordaunt</w:t>
      </w:r>
    </w:p>
    <w:p>
      <w:pPr>
        <w:pStyle w:val="Normal"/>
        <w:jc w:val="both"/>
        <w:rPr>
          <w:rFonts w:ascii="Arial" w:hAnsi="Arial" w:cs="Arial"/>
          <w:sz w:val="24"/>
        </w:rPr>
      </w:pPr>
      <w:r>
        <w:rPr>
          <w:rFonts w:cs="Arial" w:ascii="Arial" w:hAnsi="Arial"/>
          <w:sz w:val="24"/>
        </w:rPr>
        <w:t>Julia Murray</w:t>
      </w:r>
    </w:p>
    <w:p>
      <w:pPr>
        <w:pStyle w:val="Normal"/>
        <w:jc w:val="both"/>
        <w:rPr>
          <w:rFonts w:ascii="Arial" w:hAnsi="Arial" w:cs="Arial"/>
          <w:sz w:val="24"/>
        </w:rPr>
      </w:pPr>
      <w:r>
        <w:rPr>
          <w:rFonts w:cs="Arial" w:ascii="Arial" w:hAnsi="Arial"/>
          <w:sz w:val="24"/>
        </w:rPr>
        <w:t>Eric Newell</w:t>
      </w:r>
    </w:p>
    <w:p>
      <w:pPr>
        <w:pStyle w:val="Normal"/>
        <w:jc w:val="both"/>
        <w:rPr>
          <w:rFonts w:ascii="Arial" w:hAnsi="Arial" w:cs="Arial"/>
          <w:sz w:val="24"/>
        </w:rPr>
      </w:pPr>
      <w:r>
        <w:rPr>
          <w:rFonts w:cs="Arial" w:ascii="Arial" w:hAnsi="Arial"/>
          <w:sz w:val="24"/>
        </w:rPr>
        <w:t>John Novak</w:t>
      </w:r>
    </w:p>
    <w:p>
      <w:pPr>
        <w:pStyle w:val="Normal"/>
        <w:jc w:val="both"/>
        <w:rPr>
          <w:rFonts w:ascii="Arial" w:hAnsi="Arial" w:cs="Arial"/>
          <w:sz w:val="24"/>
        </w:rPr>
      </w:pPr>
      <w:r>
        <w:rPr>
          <w:rFonts w:cs="Arial" w:ascii="Arial" w:hAnsi="Arial"/>
          <w:sz w:val="24"/>
        </w:rPr>
        <w:t>Dan Rogers</w:t>
      </w:r>
    </w:p>
    <w:p>
      <w:pPr>
        <w:pStyle w:val="Normal"/>
        <w:jc w:val="both"/>
        <w:rPr>
          <w:rFonts w:ascii="Arial" w:hAnsi="Arial" w:cs="Arial"/>
          <w:sz w:val="24"/>
        </w:rPr>
      </w:pPr>
      <w:r>
        <w:rPr>
          <w:rFonts w:cs="Arial" w:ascii="Arial" w:hAnsi="Arial"/>
          <w:sz w:val="24"/>
        </w:rPr>
        <w:t>John Schwartzenburg</w:t>
      </w:r>
    </w:p>
    <w:p>
      <w:pPr>
        <w:pStyle w:val="Normal"/>
        <w:jc w:val="both"/>
        <w:rPr>
          <w:rFonts w:ascii="Arial" w:hAnsi="Arial" w:cs="Arial"/>
          <w:sz w:val="24"/>
        </w:rPr>
      </w:pPr>
      <w:r>
        <w:rPr>
          <w:rFonts w:cs="Arial" w:ascii="Arial" w:hAnsi="Arial"/>
          <w:sz w:val="24"/>
        </w:rPr>
        <w:t>Vicki Sharp</w:t>
      </w:r>
    </w:p>
    <w:p>
      <w:pPr>
        <w:pStyle w:val="Normal"/>
        <w:jc w:val="both"/>
        <w:rPr>
          <w:rFonts w:ascii="Arial" w:hAnsi="Arial" w:cs="Arial"/>
          <w:sz w:val="24"/>
        </w:rPr>
      </w:pPr>
      <w:r>
        <w:rPr>
          <w:rFonts w:cs="Arial" w:ascii="Arial" w:hAnsi="Arial"/>
          <w:sz w:val="24"/>
        </w:rPr>
        <w:t>Stephen Wallace</w:t>
      </w:r>
    </w:p>
    <w:p>
      <w:pPr>
        <w:pStyle w:val="Normal"/>
        <w:jc w:val="both"/>
        <w:rPr>
          <w:rFonts w:ascii="Arial" w:hAnsi="Arial" w:cs="Arial"/>
          <w:sz w:val="24"/>
        </w:rPr>
      </w:pPr>
      <w:r>
        <w:rPr>
          <w:rFonts w:cs="Arial" w:ascii="Arial" w:hAnsi="Arial"/>
          <w:sz w:val="24"/>
        </w:rPr>
        <w:t>Rob Walls</w:t>
      </w:r>
    </w:p>
    <w:p>
      <w:pPr>
        <w:pStyle w:val="Normal"/>
        <w:jc w:val="both"/>
        <w:rPr>
          <w:rFonts w:ascii="Arial" w:hAnsi="Arial" w:cs="Arial"/>
          <w:sz w:val="24"/>
        </w:rPr>
      </w:pPr>
      <w:r>
        <w:rPr>
          <w:rFonts w:cs="Arial" w:ascii="Arial" w:hAnsi="Arial"/>
          <w:sz w:val="24"/>
        </w:rPr>
      </w:r>
    </w:p>
    <w:sectPr>
      <w:headerReference w:type="default" r:id="rId5"/>
      <w:headerReference w:type="first" r:id="rId6"/>
      <w:footerReference w:type="default" r:id="rId7"/>
      <w:footerReference w:type="first" r:id="rId8"/>
      <w:type w:val="nextPage"/>
      <w:pgSz w:w="12240" w:h="15840"/>
      <w:pgMar w:left="1440" w:right="1440" w:gutter="0" w:header="576" w:top="1152"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/mnt/main-storage/datasets/enron-docs/doc/3rdQtr01.doc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4"/>
      </w:rPr>
    </w:pPr>
    <w:r>
      <w:rPr>
        <w:rFonts w:cs="Arial" w:ascii="Arial" w:hAnsi="Arial"/>
        <w:sz w:val="24"/>
      </w:rPr>
      <w:t>U.S. Anti-Boycott Report</w:t>
    </w:r>
  </w:p>
  <w:p>
    <w:pPr>
      <w:pStyle w:val="Header"/>
      <w:rPr>
        <w:rFonts w:ascii="Arial" w:hAnsi="Arial" w:cs="Arial"/>
        <w:sz w:val="24"/>
      </w:rPr>
    </w:pPr>
    <w:r>
      <w:rPr>
        <w:rFonts w:cs="Arial" w:ascii="Arial" w:hAnsi="Arial"/>
        <w:sz w:val="24"/>
      </w:rPr>
      <w:t>Third Quarter 2001</w:t>
    </w:r>
  </w:p>
  <w:p>
    <w:pPr>
      <w:pStyle w:val="Header"/>
      <w:rPr>
        <w:rFonts w:ascii="Arial" w:hAnsi="Arial" w:cs="Arial"/>
        <w:sz w:val="24"/>
      </w:rPr>
    </w:pPr>
    <w:r>
      <w:rPr>
        <w:rFonts w:cs="Arial" w:ascii="Arial" w:hAnsi="Arial"/>
        <w:sz w:val="24"/>
      </w:rPr>
      <w:t>October 1, 2001</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ind w:hanging="0" w:start="1440" w:end="0"/>
      <w:outlineLvl w:val="2"/>
    </w:pPr>
    <w:rPr>
      <w:rFonts w:ascii="Arial" w:hAnsi="Arial" w:cs="Arial"/>
      <w:sz w:val="24"/>
    </w:rPr>
  </w:style>
  <w:style w:type="paragraph" w:styleId="Heading4">
    <w:name w:val="heading 4"/>
    <w:basedOn w:val="Normal"/>
    <w:next w:val="Normal"/>
    <w:qFormat/>
    <w:pPr>
      <w:keepNext w:val="true"/>
      <w:numPr>
        <w:ilvl w:val="3"/>
        <w:numId w:val="1"/>
      </w:numPr>
      <w:ind w:firstLine="720" w:start="0" w:end="0"/>
      <w:jc w:val="both"/>
      <w:outlineLvl w:val="3"/>
    </w:pPr>
    <w:rPr>
      <w:rFonts w:ascii="Arial" w:hAnsi="Arial" w:cs="Arial"/>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mblaine@enron.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2001-08-09T12:12:00Z</dcterms:created>
  <dc:creator>llee</dc:creator>
  <dc:description/>
  <dc:language>en-CA</dc:language>
  <cp:lastModifiedBy>jcooley</cp:lastModifiedBy>
  <cp:lastPrinted>2001-10-01T10:48:00Z</cp:lastPrinted>
  <dcterms:modified xsi:type="dcterms:W3CDTF">2001-10-01T13:18:00Z</dcterms:modified>
  <cp:revision>8</cp:revision>
  <dc:subject/>
  <dc:title> </dc:title>
</cp:coreProperties>
</file>