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rFonts w:ascii="Arial" w:hAnsi="Arial" w:cs="Arial"/>
              </w:rPr>
            </w:pPr>
            <w:r>
              <w:rPr>
                <w:rFonts w:cs="Arial" w:ascii="Arial" w:hAnsi="Arial"/>
              </w:rPr>
              <w:drawing>
                <wp:inline distT="0" distB="0" distL="0" distR="0">
                  <wp:extent cx="1878965" cy="542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66" r="-19" b="-66"/>
                          <a:stretch>
                            <a:fillRect/>
                          </a:stretch>
                        </pic:blipFill>
                        <pic:spPr bwMode="auto">
                          <a:xfrm>
                            <a:off x="0" y="0"/>
                            <a:ext cx="1878965" cy="542925"/>
                          </a:xfrm>
                          <a:prstGeom prst="rect">
                            <a:avLst/>
                          </a:prstGeom>
                          <a:noFill/>
                        </pic:spPr>
                      </pic:pic>
                    </a:graphicData>
                  </a:graphic>
                </wp:inline>
              </w:drawing>
            </w:r>
          </w:p>
        </w:tc>
        <w:tc>
          <w:tcPr>
            <w:tcW w:w="6228" w:type="dxa"/>
            <w:tcBorders/>
          </w:tcPr>
          <w:p>
            <w:pPr>
              <w:pStyle w:val="Normal"/>
              <w:rPr>
                <w:rFonts w:ascii="Arial" w:hAnsi="Arial" w:cs="Arial"/>
              </w:rPr>
            </w:pPr>
            <w:r>
              <w:rPr>
                <w:rFonts w:cs="Arial" w:ascii="Arial" w:hAnsi="Arial"/>
                <w:b/>
                <w:sz w:val="28"/>
              </w:rPr>
              <w:t>International Uniform Brokerage Execution Services (“Give-Up”) Agreement</w:t>
            </w:r>
            <w:r>
              <w:rPr>
                <w:rStyle w:val="FootnoteCharacters"/>
                <w:rStyle w:val="FootnoteReference"/>
                <w:rFonts w:cs="Arial" w:ascii="Arial" w:hAnsi="Arial"/>
                <w:b/>
                <w:sz w:val="28"/>
              </w:rPr>
              <w:footnoteReference w:id="2"/>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CAUTION: THIS AGREEMENT IS DESIGNED AS A BASIC DOCUMENT FOR MARKET PARTICIPANTS ENGAGING IN “GIVE-UP” TRANSACTIONS.  IT IS NOT INTENDED TO SERVE AS AN ALL ENCOMPASSING DOCUMENT FOR USE BY ALL PARTIES UNDER ALL CIRCUMSTANCES.  PARTIES SHOULD CAREFULLY CONSIDER THE FULL SCOPE OF REGULATORY (INCLUDING EXCHANGE) AND COMMERCIAL TERMS THAT MAY BE APPLICABLE TO THEIR PARTICULAR CIRCUMSTANCES AND MAY ELECT TO ENTER INTO MORE DETAILED CUSTOMER AGREEMENTS AT THE OUTSET OR DURING THE COURSE OF THEIR RELATIONSHIP.</w:t>
      </w:r>
    </w:p>
    <w:p>
      <w:pPr>
        <w:pStyle w:val="Normal"/>
        <w:rPr>
          <w:rFonts w:ascii="Arial" w:hAnsi="Arial" w:cs="Arial"/>
          <w:b/>
          <w:sz w:val="24"/>
        </w:rPr>
      </w:pPr>
      <w:r>
        <w:rPr>
          <w:rFonts w:cs="Arial" w:ascii="Arial" w:hAnsi="Arial"/>
          <w:b/>
          <w:sz w:val="24"/>
        </w:rPr>
      </w:r>
    </w:p>
    <w:p>
      <w:pPr>
        <w:pStyle w:val="Normal"/>
        <w:tabs>
          <w:tab w:val="clear" w:pos="720"/>
          <w:tab w:val="left" w:pos="5040" w:leader="underscore"/>
        </w:tabs>
        <w:rPr/>
      </w:pPr>
      <w:r>
        <w:rPr>
          <w:rFonts w:cs="Arial" w:ascii="Arial" w:hAnsi="Arial"/>
        </w:rPr>
        <w:t xml:space="preserve">Agreement made this </w:t>
      </w:r>
      <w:r>
        <w:rPr>
          <w:rFonts w:cs="Arial" w:ascii="Arial" w:hAnsi="Arial"/>
          <w:b/>
        </w:rPr>
        <w:t>___</w:t>
      </w:r>
      <w:r>
        <w:rPr>
          <w:rFonts w:cs="Arial" w:ascii="Arial" w:hAnsi="Arial"/>
        </w:rPr>
        <w:t xml:space="preserve"> day of </w:t>
      </w:r>
      <w:r>
        <w:rPr>
          <w:rFonts w:cs="Arial" w:ascii="Arial" w:hAnsi="Arial"/>
          <w:b/>
        </w:rPr>
        <w:t>____</w:t>
      </w:r>
      <w:r>
        <w:rPr>
          <w:rFonts w:cs="Arial" w:ascii="Arial" w:hAnsi="Arial"/>
        </w:rPr>
        <w:t xml:space="preserve">, </w:t>
      </w:r>
      <w:r>
        <w:rPr>
          <w:rFonts w:cs="Arial" w:ascii="Arial" w:hAnsi="Arial"/>
          <w:b/>
        </w:rPr>
        <w:t>2000</w:t>
      </w:r>
      <w:r>
        <w:rPr>
          <w:rFonts w:cs="Arial" w:ascii="Arial" w:hAnsi="Arial"/>
        </w:rPr>
        <w:t xml:space="preserve"> by and among</w:t>
      </w:r>
    </w:p>
    <w:p>
      <w:pPr>
        <w:pStyle w:val="Normal"/>
        <w:rPr>
          <w:rFonts w:ascii="Arial" w:hAnsi="Arial" w:cs="Arial"/>
          <w:u w:val="single"/>
        </w:rPr>
      </w:pPr>
      <w:r>
        <w:rPr>
          <w:rFonts w:cs="Arial" w:ascii="Arial" w:hAnsi="Arial"/>
          <w:u w:val="single"/>
        </w:rPr>
      </w:r>
    </w:p>
    <w:tbl>
      <w:tblPr>
        <w:tblW w:w="9850" w:type="dxa"/>
        <w:jc w:val="start"/>
        <w:tblInd w:w="0" w:type="dxa"/>
        <w:tblLayout w:type="fixed"/>
        <w:tblCellMar>
          <w:top w:w="0" w:type="dxa"/>
          <w:start w:w="108" w:type="dxa"/>
          <w:bottom w:w="0" w:type="dxa"/>
          <w:end w:w="108" w:type="dxa"/>
        </w:tblCellMar>
      </w:tblPr>
      <w:tblGrid>
        <w:gridCol w:w="7578"/>
        <w:gridCol w:w="2272"/>
      </w:tblGrid>
      <w:tr>
        <w:trPr/>
        <w:tc>
          <w:tcPr>
            <w:tcW w:w="7578" w:type="dxa"/>
            <w:tcBorders/>
          </w:tcPr>
          <w:p>
            <w:pPr>
              <w:pStyle w:val="Normal"/>
              <w:snapToGrid w:val="false"/>
              <w:rPr>
                <w:rFonts w:ascii="Arial" w:hAnsi="Arial" w:cs="Arial"/>
              </w:rPr>
            </w:pPr>
            <w:r>
              <w:rPr>
                <w:rFonts w:cs="Arial" w:ascii="Arial" w:hAnsi="Arial"/>
              </w:rPr>
            </w:r>
          </w:p>
        </w:tc>
        <w:tc>
          <w:tcPr>
            <w:tcW w:w="2272" w:type="dxa"/>
            <w:tcBorders/>
          </w:tcPr>
          <w:p>
            <w:pPr>
              <w:pStyle w:val="Normal"/>
              <w:jc w:val="end"/>
              <w:rPr>
                <w:rFonts w:ascii="Arial" w:hAnsi="Arial" w:cs="Arial"/>
              </w:rPr>
            </w:pPr>
            <w:r>
              <w:rPr>
                <w:rFonts w:cs="Arial" w:ascii="Arial" w:hAnsi="Arial"/>
              </w:rPr>
              <w:t>(“Executing Broker”),</w:t>
            </w:r>
          </w:p>
        </w:tc>
      </w:tr>
    </w:tbl>
    <w:p>
      <w:pPr>
        <w:pStyle w:val="Normal"/>
        <w:rPr>
          <w:rFonts w:ascii="Arial" w:hAnsi="Arial" w:cs="Arial"/>
        </w:rPr>
      </w:pPr>
      <w:r>
        <w:rPr>
          <w:rFonts w:cs="Arial" w:ascii="Arial" w:hAnsi="Arial"/>
        </w:rPr>
      </w:r>
    </w:p>
    <w:tbl>
      <w:tblPr>
        <w:tblW w:w="9850" w:type="dxa"/>
        <w:jc w:val="start"/>
        <w:tblInd w:w="0" w:type="dxa"/>
        <w:tblLayout w:type="fixed"/>
        <w:tblCellMar>
          <w:top w:w="0" w:type="dxa"/>
          <w:start w:w="108" w:type="dxa"/>
          <w:bottom w:w="0" w:type="dxa"/>
          <w:end w:w="108" w:type="dxa"/>
        </w:tblCellMar>
      </w:tblPr>
      <w:tblGrid>
        <w:gridCol w:w="7218"/>
        <w:gridCol w:w="2632"/>
      </w:tblGrid>
      <w:tr>
        <w:trPr/>
        <w:tc>
          <w:tcPr>
            <w:tcW w:w="7218" w:type="dxa"/>
            <w:tcBorders/>
          </w:tcPr>
          <w:p>
            <w:pPr>
              <w:pStyle w:val="Normal"/>
              <w:snapToGrid w:val="false"/>
              <w:rPr>
                <w:rFonts w:ascii="Arial" w:hAnsi="Arial" w:cs="Arial"/>
                <w:b/>
              </w:rPr>
            </w:pPr>
            <w:r>
              <w:rPr>
                <w:rFonts w:cs="Arial" w:ascii="Arial" w:hAnsi="Arial"/>
                <w:b/>
              </w:rPr>
            </w:r>
          </w:p>
        </w:tc>
        <w:tc>
          <w:tcPr>
            <w:tcW w:w="2632" w:type="dxa"/>
            <w:tcBorders/>
          </w:tcPr>
          <w:p>
            <w:pPr>
              <w:pStyle w:val="Normal"/>
              <w:jc w:val="end"/>
              <w:rPr>
                <w:rFonts w:ascii="Arial" w:hAnsi="Arial" w:cs="Arial"/>
              </w:rPr>
            </w:pPr>
            <w:r>
              <w:rPr>
                <w:rFonts w:cs="Arial" w:ascii="Arial" w:hAnsi="Arial"/>
              </w:rPr>
              <w:t>(“Clearing Broker”), and</w:t>
            </w:r>
          </w:p>
        </w:tc>
      </w:tr>
    </w:tbl>
    <w:p>
      <w:pPr>
        <w:pStyle w:val="Normal"/>
        <w:rPr>
          <w:rFonts w:ascii="Arial" w:hAnsi="Arial" w:cs="Arial"/>
        </w:rPr>
      </w:pPr>
      <w:r>
        <w:rPr>
          <w:rFonts w:cs="Arial" w:ascii="Arial" w:hAnsi="Arial"/>
        </w:rPr>
      </w:r>
    </w:p>
    <w:tbl>
      <w:tblPr>
        <w:tblW w:w="9850" w:type="dxa"/>
        <w:jc w:val="start"/>
        <w:tblInd w:w="0" w:type="dxa"/>
        <w:tblLayout w:type="fixed"/>
        <w:tblCellMar>
          <w:top w:w="0" w:type="dxa"/>
          <w:start w:w="108" w:type="dxa"/>
          <w:bottom w:w="0" w:type="dxa"/>
          <w:end w:w="108" w:type="dxa"/>
        </w:tblCellMar>
      </w:tblPr>
      <w:tblGrid>
        <w:gridCol w:w="7578"/>
        <w:gridCol w:w="2272"/>
      </w:tblGrid>
      <w:tr>
        <w:trPr/>
        <w:tc>
          <w:tcPr>
            <w:tcW w:w="7578" w:type="dxa"/>
            <w:tcBorders/>
          </w:tcPr>
          <w:p>
            <w:pPr>
              <w:pStyle w:val="Normal"/>
              <w:snapToGrid w:val="false"/>
              <w:rPr>
                <w:rFonts w:ascii="Arial" w:hAnsi="Arial" w:cs="Arial"/>
                <w:b/>
              </w:rPr>
            </w:pPr>
            <w:r>
              <w:rPr>
                <w:rFonts w:cs="Arial" w:ascii="Arial" w:hAnsi="Arial"/>
                <w:b/>
              </w:rPr>
            </w:r>
          </w:p>
        </w:tc>
        <w:tc>
          <w:tcPr>
            <w:tcW w:w="2272" w:type="dxa"/>
            <w:tcBorders/>
          </w:tcPr>
          <w:p>
            <w:pPr>
              <w:pStyle w:val="Normal"/>
              <w:jc w:val="end"/>
              <w:rPr>
                <w:rFonts w:ascii="Arial" w:hAnsi="Arial" w:cs="Arial"/>
              </w:rPr>
            </w:pPr>
            <w:r>
              <w:rPr>
                <w:rFonts w:cs="Arial" w:ascii="Arial" w:hAnsi="Arial"/>
              </w:rPr>
              <w:t>(“Customer”).</w:t>
            </w:r>
          </w:p>
        </w:tc>
      </w:tr>
    </w:tbl>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All transactions executed or cleared hereunder shall be subject to applicable laws, governmental, regulatory, self-regulatory, exchange or clearing house rules,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judgment, in a commercially reasonable manner under the circumstances, and consistent with Applicable Law.</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Customer authorizes Executing Broker to execute orders for Customer as transmitted by Customer to Executing Broker.  Executing Broker reserves the right to reject an order that Customer may transmit to Executing Broker for execution and shall promptly notify Customer of any such rejection.  Clearing Broker may, upon prior notice to Executing Broker and Customer, place limits or conditions on the positions it will accept for give-up for Customer’s account.</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r>
        <w:br w:type="page"/>
      </w:r>
    </w:p>
    <w:p>
      <w:pPr>
        <w:pStyle w:val="Normal"/>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Customer will be responsible for accurate placement of orders with Executing Broker.  Executing Broker, and not Clearing Broker, will be responsible for determining that all orders are placed or authorized by Customer.  Additionally, Executing Broker will: (a) upon placement of the order by Customer, confirm the terms of the order with Customer if customary and practicable; (b) be responsible for the accurate execution of all such orders; (c) confirm the execution of such orders to Customer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neither Executing Broker nor Clearing Broker shall be responsible or liable for losses or damages resulting from: (x) error, negligence or misconduct of Customer and/or exchange or clearing house; (y) failure of transmission or communication facilities; or (z) any other cause or causes beyond their control.</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Executing Broker will, where applicable, bill commissions for executing trades, as elected in Section 12 below, on a monthly basis.  Customer or Clearing Broker, as elected in Section 12 below, shall be responsible for verifying billing and making payment.  Clearing Broker will, where applicable, pay floor brokerage fees, as well as any exchange or clearing house fees, incurred for all transactions executed by Executing Broker for and on behalf of Customer and subsequently accepted by Clearing Broker.</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In the event that Customer disputes or denies knowledge of any transaction confirmed to Customer, Clearing Broker or Executing Broker shall be authorized to liquidate or otherwise offset the disputed position.  Where practicable, prior notice of such liquidation or offset shall be provided to the other parties to this Agreement.</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In the event that Clearing Broker does not, for any reason, accept a trade transmitted to it by Executing Broker, Clearing Broker shall promptly notify Customer and Executing Broker of such non-acceptance, and Executing Broker, or its designated clearing broker if applicable, shall at its option be entitled: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from such close out shall be promptly settled between Executing Broker and Customer; or</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transfer Customer’s trades to another clearing broker as instructed by Customer; or</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clear Customer’s trade in accordance with the following terms:</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Customer shall be fully liable for any and all obligations arising out of or related to transactions entered into or carried in Customer’s account by Executing Broker, including, but not limited to: 1) debit balances, 2) exchange or clearing house fees, and 3) brokerage, commissions, and applicable fees charged by Executing Broker;</w:t>
      </w:r>
    </w:p>
    <w:p>
      <w:pPr>
        <w:pStyle w:val="Normal"/>
        <w:numPr>
          <w:ilvl w:val="0"/>
          <w:numId w:val="0"/>
        </w:numPr>
        <w:ind w:hanging="360" w:start="108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Executing Broker shall have the right to call Customer for margin in such amounts, in such form, by such time and in such manner as may be required by Executing Broker.  If Customer fails to meet such margin call within such specified time, or if Executing Broker, in its discretion, otherwise deems it appropriate for Executing Broker’s protection, Executing Broker may close out Customer’s trade pursuant to sub-paragraph (a) above;</w:t>
      </w:r>
    </w:p>
    <w:p>
      <w:pPr>
        <w:pStyle w:val="Normal"/>
        <w:numPr>
          <w:ilvl w:val="0"/>
          <w:numId w:val="0"/>
        </w:numPr>
        <w:ind w:hanging="360" w:start="108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Customer acknowledges that Customer’s trades may be subject to exercise or delivery assignments, where applicable.</w:t>
      </w:r>
      <w:r>
        <w:br w:type="page"/>
      </w:r>
    </w:p>
    <w:p>
      <w:pPr>
        <w:pStyle w:val="Normal"/>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to Customer (or Customer’s representative).  </w:t>
      </w:r>
      <w:r>
        <w:rPr>
          <w:rFonts w:cs="Arial" w:ascii="Arial" w:hAnsi="Arial"/>
          <w:i/>
        </w:rPr>
        <w:t>Notices to be provided as listed in Appendix A.</w:t>
      </w:r>
    </w:p>
    <w:p>
      <w:pPr>
        <w:pStyle w:val="Normal"/>
        <w:numPr>
          <w:ilvl w:val="0"/>
          <w:numId w:val="0"/>
        </w:numPr>
        <w:ind w:hanging="360" w:start="360" w:end="0"/>
        <w:rPr>
          <w:rFonts w:ascii="Arial" w:hAnsi="Arial" w:cs="Arial"/>
          <w:i/>
          <w:i/>
        </w:rPr>
      </w:pPr>
      <w:r>
        <w:rPr>
          <w:rFonts w:cs="Arial" w:ascii="Arial" w:hAnsi="Arial"/>
          <w:i/>
        </w:rPr>
      </w:r>
    </w:p>
    <w:p>
      <w:pPr>
        <w:pStyle w:val="Normal"/>
        <w:numPr>
          <w:ilvl w:val="0"/>
          <w:numId w:val="5"/>
        </w:numPr>
        <w:rPr>
          <w:rFonts w:ascii="Arial" w:hAnsi="Arial" w:cs="Arial"/>
        </w:rPr>
      </w:pPr>
      <w:r>
        <w:rPr>
          <w:rFonts w:cs="Arial" w:ascii="Arial" w:hAnsi="Arial"/>
        </w:rPr>
        <w:t>This Agreement may be terminated by any parties hereto upon prior written notice to the other parties.  Any such termination shall have no effect upon any party’s rights and obligations arising out of transactions executed prior to such termination.</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This Agreement shall be exclusively governed by, and construed in accordance with, the laws of </w:t>
      </w:r>
      <w:r>
        <w:rPr>
          <w:rFonts w:cs="Arial" w:ascii="Arial" w:hAnsi="Arial"/>
          <w:i/>
        </w:rPr>
        <w:t>the State of New Yo</w:t>
      </w:r>
      <w:r>
        <w:rPr>
          <w:rFonts w:cs="Arial" w:ascii="Arial" w:hAnsi="Arial"/>
        </w:rPr>
        <w:t>r</w:t>
      </w:r>
      <w:r>
        <w:rPr>
          <w:rFonts w:cs="Arial" w:ascii="Arial" w:hAnsi="Arial"/>
          <w:i/>
        </w:rPr>
        <w:t>k,</w:t>
      </w:r>
      <w:r>
        <w:rPr>
          <w:rFonts w:cs="Arial" w:ascii="Arial" w:hAnsi="Arial"/>
        </w:rPr>
        <w:t xml:space="preserve"> without regard to principles of choice of law.</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This Agreement shall not amend or vary any clearing agreement between Clearing Broker and Customer or Executing Broker and Customer.  In the event of a conflict between this Agreement and such other clearing agreement with respect to the clearing or carrying of Customer’s trades, such other clearing agreement will control with respect thereto.</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Executing Broker will, where applicable, bill commissions in the amount of ______per contract per half turn to:</w:t>
      </w:r>
    </w:p>
    <w:p>
      <w:pPr>
        <w:pStyle w:val="Normal"/>
        <w:ind w:start="720" w:end="0"/>
        <w:rPr>
          <w:rFonts w:ascii="Arial" w:hAnsi="Arial" w:cs="Arial"/>
        </w:rPr>
      </w:pPr>
      <w:r>
        <w:rPr>
          <w:rFonts w:cs="Arial" w:ascii="Arial" w:hAnsi="Arial"/>
        </w:rPr>
      </w:r>
    </w:p>
    <w:p>
      <w:pPr>
        <w:pStyle w:val="Normal"/>
        <w:ind w:start="720" w:end="0"/>
        <w:rPr/>
      </w:pP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0" w:name="Check1"/>
      <w:bookmarkStart w:id="1" w:name="Check1"/>
      <w:bookmarkEnd w:id="1"/>
      <w:r>
        <w:rPr>
          <w:rFonts w:cs="Arial" w:ascii="Arial" w:hAnsi="Arial"/>
        </w:rPr>
      </w:r>
      <w:r>
        <w:rPr>
          <w:rFonts w:cs="Arial" w:ascii="Arial" w:hAnsi="Arial"/>
        </w:rPr>
        <w:fldChar w:fldCharType="end"/>
      </w:r>
      <w:r>
        <w:rPr>
          <w:rFonts w:cs="Arial" w:ascii="Arial" w:hAnsi="Arial"/>
        </w:rPr>
        <w:t>Customer</w:t>
        <w:tab/>
        <w:t>X Clearing Broker</w:t>
        <w:tab/>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Customer’s Account No.(s) at Clearing Broker:</w:t>
      </w:r>
    </w:p>
    <w:p>
      <w:pPr>
        <w:pStyle w:val="Normal"/>
        <w:ind w:start="720" w:end="0"/>
        <w:rPr>
          <w:rFonts w:ascii="Arial" w:hAnsi="Arial" w:cs="Arial"/>
        </w:rPr>
      </w:pPr>
      <w:r>
        <w:rPr>
          <w:rFonts w:cs="Arial" w:ascii="Arial" w:hAnsi="Arial"/>
        </w:rPr>
      </w:r>
    </w:p>
    <w:tbl>
      <w:tblPr>
        <w:tblW w:w="5130" w:type="dxa"/>
        <w:jc w:val="start"/>
        <w:tblInd w:w="828" w:type="dxa"/>
        <w:tblLayout w:type="fixed"/>
        <w:tblCellMar>
          <w:top w:w="0" w:type="dxa"/>
          <w:start w:w="108" w:type="dxa"/>
          <w:bottom w:w="0" w:type="dxa"/>
          <w:end w:w="108" w:type="dxa"/>
        </w:tblCellMar>
      </w:tblPr>
      <w:tblGrid>
        <w:gridCol w:w="5130"/>
      </w:tblGrid>
      <w:tr>
        <w:trPr/>
        <w:tc>
          <w:tcPr>
            <w:tcW w:w="5130" w:type="dxa"/>
            <w:tcBorders/>
          </w:tcPr>
          <w:p>
            <w:pPr>
              <w:pStyle w:val="Normal"/>
              <w:tabs>
                <w:tab w:val="clear" w:pos="720"/>
                <w:tab w:val="left" w:pos="5040" w:leader="underscore"/>
              </w:tabs>
              <w:snapToGrid w:val="false"/>
              <w:spacing w:before="120" w:after="0"/>
              <w:rPr>
                <w:rFonts w:ascii="Arial" w:hAnsi="Arial" w:cs="Arial"/>
                <w:b/>
              </w:rPr>
            </w:pPr>
            <w:r>
              <w:rPr>
                <w:rFonts w:cs="Arial" w:ascii="Arial" w:hAnsi="Arial"/>
                <w:b/>
              </w:rPr>
            </w:r>
          </w:p>
        </w:tc>
      </w:tr>
      <w:tr>
        <w:trPr/>
        <w:tc>
          <w:tcPr>
            <w:tcW w:w="5130" w:type="dxa"/>
            <w:tcBorders>
              <w:top w:val="single" w:sz="6" w:space="0" w:color="000000"/>
              <w:bottom w:val="single" w:sz="6" w:space="0" w:color="000000"/>
            </w:tcBorders>
          </w:tcPr>
          <w:p>
            <w:pPr>
              <w:pStyle w:val="Normal"/>
              <w:tabs>
                <w:tab w:val="clear" w:pos="720"/>
                <w:tab w:val="left" w:pos="5040" w:leader="underscore"/>
              </w:tabs>
              <w:snapToGrid w:val="false"/>
              <w:spacing w:before="120" w:after="0"/>
              <w:rPr>
                <w:rFonts w:ascii="Arial" w:hAnsi="Arial" w:cs="Arial"/>
                <w:b/>
              </w:rPr>
            </w:pPr>
            <w:r>
              <w:rPr>
                <w:rFonts w:cs="Arial" w:ascii="Arial" w:hAnsi="Arial"/>
                <w:b/>
              </w:rPr>
            </w:r>
          </w:p>
        </w:tc>
      </w:tr>
    </w:tbl>
    <w:p>
      <w:pPr>
        <w:pStyle w:val="Normal"/>
        <w:tabs>
          <w:tab w:val="clear" w:pos="720"/>
          <w:tab w:val="left" w:pos="5040" w:leader="underscore"/>
        </w:tabs>
        <w:ind w:start="720" w:end="0"/>
        <w:rPr>
          <w:rFonts w:ascii="Arial" w:hAnsi="Arial" w:cs="Arial"/>
        </w:rPr>
      </w:pPr>
      <w:r>
        <w:rPr>
          <w:rFonts w:cs="Arial" w:ascii="Arial" w:hAnsi="Arial"/>
        </w:rPr>
      </w:r>
    </w:p>
    <w:p>
      <w:pPr>
        <w:pStyle w:val="Normal"/>
        <w:rPr>
          <w:rFonts w:ascii="Arial" w:hAnsi="Arial" w:cs="Arial"/>
        </w:rPr>
      </w:pPr>
      <w:r>
        <w:rPr>
          <w:rFonts w:cs="Arial" w:ascii="Arial" w:hAnsi="Arial"/>
        </w:rPr>
        <w:t>IN WITNESS WHEREOF, the parties hereto have caused this Agreement to be duly executed and delivered by their respective authorized officers as of the date set forth above.</w:t>
      </w:r>
    </w:p>
    <w:p>
      <w:pPr>
        <w:pStyle w:val="Normal"/>
        <w:ind w:firstLine="360" w:end="0"/>
        <w:rPr>
          <w:rFonts w:ascii="Arial" w:hAnsi="Arial" w:eastAsia="Arial" w:cs="Arial"/>
        </w:rPr>
      </w:pPr>
      <w:r>
        <w:rPr>
          <w:rFonts w:eastAsia="Arial" w:cs="Arial" w:ascii="Arial" w:hAnsi="Arial"/>
        </w:rPr>
        <w:t xml:space="preserve">       </w:t>
      </w:r>
    </w:p>
    <w:tbl>
      <w:tblPr>
        <w:tblW w:w="10098" w:type="dxa"/>
        <w:jc w:val="start"/>
        <w:tblInd w:w="0" w:type="dxa"/>
        <w:tblLayout w:type="fixed"/>
        <w:tblCellMar>
          <w:top w:w="0" w:type="dxa"/>
          <w:start w:w="108" w:type="dxa"/>
          <w:bottom w:w="0" w:type="dxa"/>
          <w:end w:w="108" w:type="dxa"/>
        </w:tblCellMar>
      </w:tblPr>
      <w:tblGrid>
        <w:gridCol w:w="4968"/>
        <w:gridCol w:w="4882"/>
        <w:gridCol w:w="248"/>
      </w:tblGrid>
      <w:tr>
        <w:trPr/>
        <w:tc>
          <w:tcPr>
            <w:tcW w:w="4968" w:type="dxa"/>
            <w:tcBorders/>
          </w:tcPr>
          <w:p>
            <w:pPr>
              <w:pStyle w:val="Normal"/>
              <w:snapToGrid w:val="false"/>
              <w:rPr>
                <w:rFonts w:ascii="Arial" w:hAnsi="Arial" w:cs="Arial"/>
              </w:rPr>
            </w:pPr>
            <w:r>
              <w:rPr>
                <w:rFonts w:cs="Arial" w:ascii="Arial" w:hAnsi="Arial"/>
              </w:rPr>
            </w:r>
          </w:p>
        </w:tc>
        <w:tc>
          <w:tcPr>
            <w:tcW w:w="4882" w:type="dxa"/>
            <w:tcBorders/>
          </w:tcPr>
          <w:p>
            <w:pPr>
              <w:pStyle w:val="Normal"/>
              <w:snapToGrid w:val="false"/>
              <w:rPr>
                <w:rFonts w:ascii="Arial" w:hAnsi="Arial" w:cs="Arial"/>
              </w:rPr>
            </w:pPr>
            <w:r>
              <w:rPr>
                <w:rFonts w:cs="Arial" w:ascii="Arial" w:hAnsi="Arial"/>
              </w:rPr>
            </w:r>
          </w:p>
        </w:tc>
        <w:tc>
          <w:tcPr>
            <w:tcW w:w="248" w:type="dxa"/>
            <w:tcBorders/>
            <w:tcMar>
              <w:start w:w="0" w:type="dxa"/>
              <w:end w:w="0" w:type="dxa"/>
            </w:tcMar>
          </w:tcPr>
          <w:p>
            <w:pPr>
              <w:pStyle w:val="Normal"/>
              <w:snapToGrid w:val="false"/>
              <w:rPr>
                <w:rFonts w:ascii="Arial" w:hAnsi="Arial" w:cs="Arial"/>
              </w:rPr>
            </w:pPr>
            <w:r>
              <w:rPr>
                <w:rFonts w:cs="Arial" w:ascii="Arial" w:hAnsi="Arial"/>
              </w:rPr>
            </w:r>
          </w:p>
        </w:tc>
      </w:tr>
      <w:tr>
        <w:trPr/>
        <w:tc>
          <w:tcPr>
            <w:tcW w:w="4968" w:type="dxa"/>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Customer]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pPr>
            <w:r>
              <w:rPr>
                <w:rFonts w:cs="Arial" w:ascii="Arial" w:hAnsi="Arial"/>
              </w:rPr>
              <w:t>[Print Name and Title]</w:t>
            </w:r>
            <w:r>
              <w:rPr>
                <w:rFonts w:cs="Arial" w:ascii="Arial" w:hAnsi="Arial"/>
                <w:sz w:val="18"/>
              </w:rPr>
              <w:tab/>
            </w:r>
          </w:p>
          <w:p>
            <w:pPr>
              <w:pStyle w:val="Normal"/>
              <w:tabs>
                <w:tab w:val="clear" w:pos="720"/>
                <w:tab w:val="left" w:pos="-1440" w:leader="none"/>
                <w:tab w:val="left" w:pos="-720" w:leader="none"/>
              </w:tabs>
              <w:suppressAutoHyphens w:val="true"/>
              <w:rPr>
                <w:rFonts w:ascii="Arial" w:hAnsi="Arial" w:cs="Arial"/>
                <w:b/>
                <w:sz w:val="22"/>
              </w:rPr>
            </w:pPr>
            <w:r>
              <w:rPr>
                <w:rFonts w:cs="Arial" w:ascii="Arial" w:hAnsi="Arial"/>
                <w:sz w:val="18"/>
              </w:rPr>
              <w:tab/>
            </w:r>
          </w:p>
        </w:tc>
        <w:tc>
          <w:tcPr>
            <w:tcW w:w="5130" w:type="dxa"/>
            <w:gridSpan w:val="2"/>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Clearing Broker]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rFonts w:ascii="Arial" w:hAnsi="Arial" w:cs="Arial"/>
                <w:b/>
                <w:sz w:val="22"/>
              </w:rPr>
            </w:pPr>
            <w:r>
              <w:rPr>
                <w:rFonts w:cs="Arial" w:ascii="Arial" w:hAnsi="Arial"/>
              </w:rPr>
              <w:t>[Print Name and Title]</w:t>
            </w:r>
          </w:p>
        </w:tc>
      </w:tr>
      <w:tr>
        <w:trPr/>
        <w:tc>
          <w:tcPr>
            <w:tcW w:w="4968" w:type="dxa"/>
            <w:tcBorders/>
          </w:tcPr>
          <w:p>
            <w:pPr>
              <w:pStyle w:val="Normal"/>
              <w:tabs>
                <w:tab w:val="clear" w:pos="720"/>
                <w:tab w:val="left" w:pos="-1440" w:leader="none"/>
                <w:tab w:val="left" w:pos="-720" w:leader="none"/>
              </w:tabs>
              <w:suppressAutoHyphens w:val="true"/>
              <w:snapToGrid w:val="false"/>
              <w:rPr>
                <w:rFonts w:ascii="Arial" w:hAnsi="Arial" w:cs="Arial"/>
                <w:b/>
                <w:sz w:val="22"/>
              </w:rPr>
            </w:pPr>
            <w:r>
              <w:rPr>
                <w:rFonts w:cs="Arial" w:ascii="Arial" w:hAnsi="Arial"/>
                <w:b/>
                <w:sz w:val="22"/>
              </w:rPr>
            </w:r>
          </w:p>
        </w:tc>
        <w:tc>
          <w:tcPr>
            <w:tcW w:w="5130" w:type="dxa"/>
            <w:gridSpan w:val="2"/>
            <w:tcBorders/>
          </w:tcPr>
          <w:p>
            <w:pPr>
              <w:pStyle w:val="Normal"/>
              <w:tabs>
                <w:tab w:val="clear" w:pos="720"/>
                <w:tab w:val="left" w:pos="-1440" w:leader="none"/>
                <w:tab w:val="left" w:pos="-720" w:leader="none"/>
              </w:tabs>
              <w:suppressAutoHyphens w:val="true"/>
              <w:snapToGrid w:val="false"/>
              <w:rPr>
                <w:rFonts w:ascii="Arial" w:hAnsi="Arial" w:cs="Arial"/>
                <w:b/>
                <w:sz w:val="22"/>
              </w:rPr>
            </w:pPr>
            <w:r>
              <w:rPr>
                <w:rFonts w:cs="Arial" w:ascii="Arial" w:hAnsi="Arial"/>
                <w:b/>
                <w:sz w:val="22"/>
              </w:rPr>
            </w:r>
          </w:p>
        </w:tc>
      </w:tr>
      <w:tr>
        <w:trPr/>
        <w:tc>
          <w:tcPr>
            <w:tcW w:w="4968" w:type="dxa"/>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Executing Broker]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rFonts w:ascii="Arial" w:hAnsi="Arial" w:cs="Arial"/>
                <w:sz w:val="22"/>
              </w:rPr>
            </w:pPr>
            <w:r>
              <w:rPr>
                <w:rFonts w:cs="Arial" w:ascii="Arial" w:hAnsi="Arial"/>
              </w:rPr>
              <w:t>[Print Name and Title]</w:t>
            </w:r>
          </w:p>
        </w:tc>
        <w:tc>
          <w:tcPr>
            <w:tcW w:w="5130" w:type="dxa"/>
            <w:gridSpan w:val="2"/>
            <w:tcBorders/>
          </w:tcPr>
          <w:p>
            <w:pPr>
              <w:pStyle w:val="Normal"/>
              <w:tabs>
                <w:tab w:val="clear" w:pos="720"/>
                <w:tab w:val="left" w:pos="-1440" w:leader="none"/>
                <w:tab w:val="left" w:pos="-720" w:leader="none"/>
              </w:tabs>
              <w:suppressAutoHyphens w:val="true"/>
              <w:rPr>
                <w:rFonts w:ascii="Arial" w:hAnsi="Arial" w:cs="Arial"/>
                <w:sz w:val="22"/>
              </w:rPr>
            </w:pPr>
            <w:r>
              <w:rPr>
                <w:rFonts w:cs="Arial" w:ascii="Arial" w:hAnsi="Arial"/>
                <w:sz w:val="22"/>
              </w:rPr>
              <w:br/>
            </w:r>
          </w:p>
        </w:tc>
      </w:tr>
    </w:tbl>
    <w:p>
      <w:pPr>
        <w:pStyle w:val="Normal"/>
        <w:rPr>
          <w:rFonts w:ascii="Arial" w:hAnsi="Arial" w:eastAsia="Arial" w:cs="Arial"/>
        </w:rPr>
      </w:pPr>
      <w:r>
        <w:rPr>
          <w:rFonts w:eastAsia="Arial" w:cs="Arial" w:ascii="Arial" w:hAnsi="Arial"/>
        </w:rPr>
        <w:t xml:space="preserve">                                          </w:t>
      </w:r>
      <w:r>
        <w:br w:type="page"/>
      </w:r>
    </w:p>
    <w:p>
      <w:pPr>
        <w:pStyle w:val="Normal"/>
        <w:rPr>
          <w:rFonts w:ascii="Arial" w:hAnsi="Arial" w:cs="Arial"/>
        </w:rPr>
      </w:pPr>
      <w:r>
        <w:rPr>
          <w:rFonts w:cs="Arial" w:ascii="Arial" w:hAnsi="Arial"/>
        </w:rPr>
      </w:r>
    </w:p>
    <w:p>
      <w:pPr>
        <w:pStyle w:val="EndnoteText"/>
        <w:jc w:val="center"/>
        <w:rPr>
          <w:rFonts w:ascii="Arial" w:hAnsi="Arial" w:cs="Arial"/>
          <w:b/>
          <w:sz w:val="28"/>
        </w:rPr>
      </w:pPr>
      <w:r>
        <w:rPr>
          <w:rFonts w:cs="Arial" w:ascii="Arial" w:hAnsi="Arial"/>
          <w:b/>
          <w:sz w:val="28"/>
        </w:rPr>
      </w:r>
    </w:p>
    <w:p>
      <w:pPr>
        <w:pStyle w:val="EndnoteText"/>
        <w:jc w:val="center"/>
        <w:rPr>
          <w:rFonts w:ascii="Arial" w:hAnsi="Arial" w:cs="Arial"/>
          <w:b/>
          <w:sz w:val="22"/>
        </w:rPr>
      </w:pPr>
      <w:r>
        <w:rPr>
          <w:rFonts w:cs="Arial" w:ascii="Arial" w:hAnsi="Arial"/>
          <w:b/>
          <w:sz w:val="28"/>
        </w:rPr>
        <w:t>APPENDIX A</w:t>
      </w:r>
    </w:p>
    <w:p>
      <w:pPr>
        <w:pStyle w:val="EndnoteText"/>
        <w:jc w:val="center"/>
        <w:rPr>
          <w:rFonts w:ascii="Arial" w:hAnsi="Arial" w:cs="Arial"/>
          <w:b/>
          <w:sz w:val="22"/>
        </w:rPr>
      </w:pPr>
      <w:r>
        <w:rPr>
          <w:rFonts w:cs="Arial" w:ascii="Arial" w:hAnsi="Arial"/>
          <w:b/>
          <w:sz w:val="24"/>
        </w:rPr>
        <w:t>NOTICES</w:t>
      </w:r>
    </w:p>
    <w:p>
      <w:pPr>
        <w:pStyle w:val="EndnoteText"/>
        <w:jc w:val="center"/>
        <w:rPr>
          <w:rFonts w:ascii="Arial" w:hAnsi="Arial" w:cs="Arial"/>
          <w:b/>
          <w:sz w:val="22"/>
        </w:rPr>
      </w:pPr>
      <w:r>
        <w:rPr>
          <w:rFonts w:cs="Arial" w:ascii="Arial" w:hAnsi="Arial"/>
          <w:b/>
          <w:sz w:val="22"/>
        </w:rPr>
      </w:r>
    </w:p>
    <w:p>
      <w:pPr>
        <w:pStyle w:val="EndnoteText"/>
        <w:rPr>
          <w:rFonts w:ascii="Arial" w:hAnsi="Arial" w:cs="Arial"/>
          <w:sz w:val="22"/>
          <w:u w:val="single"/>
        </w:rPr>
      </w:pPr>
      <w:r>
        <w:rPr>
          <w:rFonts w:cs="Arial" w:ascii="Arial" w:hAnsi="Arial"/>
          <w:sz w:val="22"/>
        </w:rPr>
        <w:t>To:</w:t>
        <w:tab/>
        <w:tab/>
      </w:r>
      <w:r>
        <w:rPr>
          <w:rFonts w:cs="Arial" w:ascii="Arial" w:hAnsi="Arial"/>
          <w:b/>
          <w:sz w:val="22"/>
        </w:rPr>
        <w:t>CREDIT SUISSE FIRST BOSTON CORPORATION</w:t>
      </w:r>
      <w:r>
        <w:rPr>
          <w:rFonts w:cs="Arial" w:ascii="Arial" w:hAnsi="Arial"/>
          <w:sz w:val="22"/>
        </w:rPr>
        <w:t>:</w:t>
      </w:r>
    </w:p>
    <w:p>
      <w:pPr>
        <w:pStyle w:val="EndnoteText"/>
        <w:ind w:firstLine="1440" w:end="0"/>
        <w:rPr>
          <w:rFonts w:ascii="Arial" w:hAnsi="Arial" w:cs="Arial"/>
          <w:sz w:val="22"/>
        </w:rPr>
      </w:pPr>
      <w:r>
        <w:rPr>
          <w:rFonts w:cs="Arial" w:ascii="Arial" w:hAnsi="Arial"/>
          <w:sz w:val="22"/>
        </w:rPr>
        <w:t>Futures Department</w:t>
      </w:r>
    </w:p>
    <w:p>
      <w:pPr>
        <w:pStyle w:val="EndnoteText"/>
        <w:ind w:firstLine="1440" w:end="0"/>
        <w:rPr>
          <w:rFonts w:ascii="Arial" w:hAnsi="Arial" w:cs="Arial"/>
          <w:sz w:val="22"/>
        </w:rPr>
      </w:pPr>
      <w:r>
        <w:rPr>
          <w:rFonts w:cs="Arial" w:ascii="Arial" w:hAnsi="Arial"/>
          <w:sz w:val="22"/>
        </w:rPr>
        <w:t>Credit Suisse First Boston Corporation</w:t>
      </w:r>
    </w:p>
    <w:p>
      <w:pPr>
        <w:pStyle w:val="EndnoteText"/>
        <w:ind w:firstLine="1440" w:end="0"/>
        <w:rPr>
          <w:rFonts w:ascii="Arial" w:hAnsi="Arial" w:cs="Arial"/>
          <w:sz w:val="22"/>
        </w:rPr>
      </w:pPr>
      <w:r>
        <w:rPr>
          <w:rFonts w:cs="Arial" w:ascii="Arial" w:hAnsi="Arial"/>
          <w:sz w:val="22"/>
        </w:rPr>
        <w:t>Five World Trade Center</w:t>
      </w:r>
    </w:p>
    <w:p>
      <w:pPr>
        <w:pStyle w:val="EndnoteText"/>
        <w:ind w:firstLine="1440" w:end="0"/>
        <w:rPr>
          <w:rFonts w:ascii="Arial" w:hAnsi="Arial" w:cs="Arial"/>
          <w:sz w:val="22"/>
        </w:rPr>
      </w:pPr>
      <w:r>
        <w:rPr>
          <w:rFonts w:cs="Arial" w:ascii="Arial" w:hAnsi="Arial"/>
          <w:sz w:val="22"/>
        </w:rPr>
        <w:t>New York, NY 10048</w:t>
      </w:r>
    </w:p>
    <w:p>
      <w:pPr>
        <w:pStyle w:val="EndnoteText"/>
        <w:ind w:firstLine="1440" w:end="0"/>
        <w:rPr>
          <w:rFonts w:ascii="Arial" w:hAnsi="Arial" w:cs="Arial"/>
          <w:sz w:val="22"/>
        </w:rPr>
      </w:pPr>
      <w:r>
        <w:rPr>
          <w:rFonts w:cs="Arial" w:ascii="Arial" w:hAnsi="Arial"/>
          <w:sz w:val="22"/>
        </w:rPr>
        <w:t xml:space="preserve">Telephone: </w:t>
        <w:tab/>
        <w:t>(212) 322-1636</w:t>
      </w:r>
    </w:p>
    <w:p>
      <w:pPr>
        <w:pStyle w:val="EndnoteText"/>
        <w:ind w:firstLine="1440" w:end="0"/>
        <w:rPr>
          <w:rFonts w:ascii="Arial" w:hAnsi="Arial" w:cs="Arial"/>
          <w:sz w:val="22"/>
        </w:rPr>
      </w:pPr>
      <w:r>
        <w:rPr>
          <w:rFonts w:cs="Arial" w:ascii="Arial" w:hAnsi="Arial"/>
          <w:sz w:val="22"/>
        </w:rPr>
        <w:t xml:space="preserve">Facsimile: </w:t>
        <w:tab/>
        <w:t>(212) 335-0505</w:t>
      </w:r>
    </w:p>
    <w:p>
      <w:pPr>
        <w:pStyle w:val="EndnoteText"/>
        <w:ind w:firstLine="720" w:end="0"/>
        <w:rPr>
          <w:rFonts w:ascii="Arial" w:hAnsi="Arial" w:cs="Arial"/>
          <w:sz w:val="22"/>
        </w:rPr>
      </w:pPr>
      <w:r>
        <w:rPr>
          <w:rFonts w:cs="Arial" w:ascii="Arial" w:hAnsi="Arial"/>
          <w:sz w:val="22"/>
        </w:rPr>
      </w:r>
    </w:p>
    <w:p>
      <w:pPr>
        <w:pStyle w:val="EndnoteText"/>
        <w:ind w:firstLine="720" w:end="0"/>
        <w:rPr>
          <w:rFonts w:ascii="Arial" w:hAnsi="Arial" w:cs="Arial"/>
          <w:sz w:val="22"/>
        </w:rPr>
      </w:pPr>
      <w:r>
        <w:rPr>
          <w:rFonts w:cs="Arial" w:ascii="Arial" w:hAnsi="Arial"/>
          <w:sz w:val="22"/>
        </w:rPr>
      </w:r>
    </w:p>
    <w:tbl>
      <w:tblPr>
        <w:tblW w:w="8028" w:type="dxa"/>
        <w:jc w:val="start"/>
        <w:tblInd w:w="0" w:type="dxa"/>
        <w:tblLayout w:type="fixed"/>
        <w:tblCellMar>
          <w:top w:w="0" w:type="dxa"/>
          <w:start w:w="108" w:type="dxa"/>
          <w:bottom w:w="0" w:type="dxa"/>
          <w:end w:w="108" w:type="dxa"/>
        </w:tblCellMar>
      </w:tblPr>
      <w:tblGrid>
        <w:gridCol w:w="1548"/>
        <w:gridCol w:w="6480"/>
      </w:tblGrid>
      <w:tr>
        <w:trPr/>
        <w:tc>
          <w:tcPr>
            <w:tcW w:w="1548" w:type="dxa"/>
            <w:tcBorders/>
          </w:tcPr>
          <w:p>
            <w:pPr>
              <w:pStyle w:val="EndnoteText"/>
              <w:spacing w:lineRule="auto" w:line="360"/>
              <w:rPr>
                <w:rFonts w:ascii="Arial" w:hAnsi="Arial" w:cs="Arial"/>
                <w:sz w:val="22"/>
              </w:rPr>
            </w:pPr>
            <w:r>
              <w:rPr>
                <w:rFonts w:cs="Arial" w:ascii="Arial" w:hAnsi="Arial"/>
                <w:sz w:val="22"/>
              </w:rPr>
              <w:t>To:</w:t>
            </w:r>
          </w:p>
        </w:tc>
        <w:tc>
          <w:tcPr>
            <w:tcW w:w="6480" w:type="dxa"/>
            <w:tcBorders/>
          </w:tcPr>
          <w:p>
            <w:pPr>
              <w:pStyle w:val="EndnoteText"/>
              <w:spacing w:lineRule="auto" w:line="360"/>
              <w:rPr>
                <w:rFonts w:ascii="Arial" w:hAnsi="Arial" w:cs="Arial"/>
                <w:sz w:val="22"/>
              </w:rPr>
            </w:pPr>
            <w:r>
              <w:rPr>
                <w:rFonts w:cs="Arial" w:ascii="Arial" w:hAnsi="Arial"/>
                <w:b/>
              </w:rPr>
              <w:t>[Customer]</w:t>
            </w:r>
          </w:p>
        </w:tc>
      </w:tr>
      <w:tr>
        <w:trPr/>
        <w:tc>
          <w:tcPr>
            <w:tcW w:w="1548" w:type="dxa"/>
            <w:tcBorders/>
          </w:tcPr>
          <w:p>
            <w:pPr>
              <w:pStyle w:val="EndnoteText"/>
              <w:spacing w:lineRule="auto" w:line="360"/>
              <w:rPr>
                <w:rFonts w:ascii="Arial" w:hAnsi="Arial" w:cs="Arial"/>
                <w:sz w:val="22"/>
              </w:rPr>
            </w:pPr>
            <w:r>
              <w:rPr>
                <w:rFonts w:cs="Arial" w:ascii="Arial" w:hAnsi="Arial"/>
                <w:sz w:val="22"/>
              </w:rPr>
              <w:t>Attn:</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Address:</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Telephone:</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Facsimile:</w:t>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To:</w:t>
            </w:r>
          </w:p>
        </w:tc>
        <w:tc>
          <w:tcPr>
            <w:tcW w:w="6480" w:type="dxa"/>
            <w:tcBorders/>
          </w:tcPr>
          <w:p>
            <w:pPr>
              <w:pStyle w:val="Normal"/>
              <w:rPr>
                <w:rFonts w:ascii="Arial" w:hAnsi="Arial" w:cs="Arial"/>
                <w:b/>
              </w:rPr>
            </w:pPr>
            <w:r>
              <w:rPr>
                <w:rFonts w:cs="Arial" w:ascii="Arial" w:hAnsi="Arial"/>
                <w:b/>
              </w:rPr>
              <w:t>[executing / clearing broker]</w:t>
            </w:r>
          </w:p>
        </w:tc>
      </w:tr>
      <w:tr>
        <w:trPr/>
        <w:tc>
          <w:tcPr>
            <w:tcW w:w="1548" w:type="dxa"/>
            <w:tcBorders/>
          </w:tcPr>
          <w:p>
            <w:pPr>
              <w:pStyle w:val="EndnoteText"/>
              <w:spacing w:lineRule="auto" w:line="360"/>
              <w:rPr>
                <w:rFonts w:ascii="Arial" w:hAnsi="Arial" w:cs="Arial"/>
                <w:sz w:val="22"/>
              </w:rPr>
            </w:pPr>
            <w:r>
              <w:rPr>
                <w:rFonts w:cs="Arial" w:ascii="Arial" w:hAnsi="Arial"/>
                <w:sz w:val="22"/>
              </w:rPr>
              <w:t>Attn:</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Address:</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Telephone:</w:t>
            </w:r>
          </w:p>
        </w:tc>
        <w:tc>
          <w:tcPr>
            <w:tcW w:w="6480" w:type="dxa"/>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Facsimile:</w:t>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bl>
    <w:p>
      <w:pPr>
        <w:pStyle w:val="Normal"/>
        <w:rPr/>
      </w:pPr>
      <w:r>
        <w:rPr/>
      </w:r>
    </w:p>
    <w:sectPr>
      <w:headerReference w:type="default" r:id="rId3"/>
      <w:footerReference w:type="default" r:id="rId4"/>
      <w:footnotePr>
        <w:numFmt w:val="decimal"/>
      </w:footnotePr>
      <w:type w:val="nextPage"/>
      <w:pgSz w:w="12240" w:h="15840"/>
      <w:pgMar w:left="1440" w:right="1166"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2"/>
      </w:rPr>
    </w:pPr>
    <w:r>
      <w:rPr/>
      <w:drawing>
        <wp:inline distT="0" distB="0" distL="0" distR="0">
          <wp:extent cx="1313180" cy="37846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27" t="-95" r="-27" b="-95"/>
                  <a:stretch>
                    <a:fillRect/>
                  </a:stretch>
                </pic:blipFill>
                <pic:spPr bwMode="auto">
                  <a:xfrm>
                    <a:off x="0" y="0"/>
                    <a:ext cx="1313180" cy="378460"/>
                  </a:xfrm>
                  <a:prstGeom prst="rect">
                    <a:avLst/>
                  </a:prstGeom>
                  <a:noFill/>
                </pic:spPr>
              </pic:pic>
            </a:graphicData>
          </a:graphic>
        </wp:inline>
      </w:drawing>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76.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114300" distR="114300" simplePos="0" locked="0" layoutInCell="0" allowOverlap="1" relativeHeight="10">
              <wp:simplePos x="0" y="0"/>
              <wp:positionH relativeFrom="page">
                <wp:posOffset>3787775</wp:posOffset>
              </wp:positionH>
              <wp:positionV relativeFrom="paragraph">
                <wp:posOffset>111760</wp:posOffset>
              </wp:positionV>
              <wp:extent cx="3250565" cy="218440"/>
              <wp:effectExtent l="0" t="0" r="0" b="0"/>
              <wp:wrapSquare wrapText="bothSides"/>
              <wp:docPr id="5" name="Frame3"/>
              <a:graphic xmlns:a="http://schemas.openxmlformats.org/drawingml/2006/main">
                <a:graphicData uri="http://schemas.microsoft.com/office/word/2010/wordprocessingShape">
                  <wps:wsp>
                    <wps:cNvSpPr txBox="1"/>
                    <wps:spPr>
                      <a:xfrm>
                        <a:off x="0" y="0"/>
                        <a:ext cx="3250565" cy="218440"/>
                      </a:xfrm>
                      <a:prstGeom prst="rect"/>
                      <a:solidFill>
                        <a:srgbClr val="FFFFFF">
                          <a:alpha val="0"/>
                        </a:srgbClr>
                      </a:solidFill>
                    </wps:spPr>
                    <wps:txbx>
                      <w:txbxContent>
                        <w:p>
                          <w:pPr>
                            <w:pStyle w:val="Footer"/>
                            <w:tabs>
                              <w:tab w:val="clear" w:pos="4320"/>
                              <w:tab w:val="clear" w:pos="8640"/>
                            </w:tabs>
                            <w:ind w:end="360"/>
                            <w:rPr>
                              <w:rFonts w:ascii="Arial Narrow" w:hAnsi="Arial Narrow" w:cs="Arial Narrow"/>
                              <w:b/>
                              <w:sz w:val="24"/>
                            </w:rPr>
                          </w:pPr>
                          <w:r>
                            <w:rPr>
                              <w:rFonts w:cs="Arial Narrow" w:ascii="Arial Narrow" w:hAnsi="Arial Narrow"/>
                              <w:b/>
                              <w:sz w:val="24"/>
                            </w:rPr>
                            <w:t>Global Clearing Across Markets</w:t>
                          </w:r>
                        </w:p>
                      </w:txbxContent>
                    </wps:txbx>
                    <wps:bodyPr anchor="t" lIns="0" tIns="12700" rIns="0" bIns="0">
                      <a:noAutofit/>
                    </wps:bodyPr>
                  </wps:wsp>
                </a:graphicData>
              </a:graphic>
            </wp:anchor>
          </w:drawing>
        </mc:Choice>
        <mc:Fallback>
          <w:pict>
            <v:rect fillcolor="#FFFFFF" style="position:absolute;rotation:-0;width:255.95pt;height:17.2pt;mso-wrap-distance-left:9pt;mso-wrap-distance-right:9pt;mso-wrap-distance-top:0pt;mso-wrap-distance-bottom:0pt;margin-top:8.8pt;mso-position-vertical-relative:text;margin-left:298.25pt;mso-position-horizontal-relative:page">
              <v:fill opacity="0f"/>
              <v:textbox inset="0in,0.0138888888888889in,0in,0in">
                <w:txbxContent>
                  <w:p>
                    <w:pPr>
                      <w:pStyle w:val="Footer"/>
                      <w:tabs>
                        <w:tab w:val="clear" w:pos="4320"/>
                        <w:tab w:val="clear" w:pos="8640"/>
                      </w:tabs>
                      <w:ind w:end="360"/>
                      <w:rPr>
                        <w:rFonts w:ascii="Arial Narrow" w:hAnsi="Arial Narrow" w:cs="Arial Narrow"/>
                        <w:b/>
                        <w:sz w:val="24"/>
                      </w:rPr>
                    </w:pPr>
                    <w:r>
                      <w:rPr>
                        <w:rFonts w:cs="Arial Narrow" w:ascii="Arial Narrow" w:hAnsi="Arial Narrow"/>
                        <w:b/>
                        <w:sz w:val="24"/>
                      </w:rPr>
                      <w:t>Global Clearing Across Markets</w:t>
                    </w:r>
                  </w:p>
                </w:txbxContent>
              </v:textbox>
              <w10:wrap type="square"/>
            </v:rect>
          </w:pict>
        </mc:Fallback>
      </mc:AlternateContent>
    </w:r>
  </w:p>
  <w:p>
    <w:pPr>
      <w:pStyle w:val="Footer"/>
      <w:rPr/>
    </w:pPr>
    <w:r>
      <w:rPr>
        <w:rFonts w:cs="Arial" w:ascii="Arial" w:hAnsi="Arial"/>
        <w:sz w:val="16"/>
        <w:lang w:eastAsia="en-US"/>
      </w:rPr>
      <w:fldChar w:fldCharType="begin"/>
    </w:r>
    <w:r>
      <w:rPr>
        <w:sz w:val="16"/>
        <w:rFonts w:cs="Arial" w:ascii="Arial" w:hAnsi="Arial"/>
        <w:lang w:eastAsia="en-US"/>
      </w:rPr>
      <w:instrText xml:space="preserve"> FILENAME </w:instrText>
    </w:r>
    <w:r>
      <w:rPr>
        <w:sz w:val="16"/>
        <w:rFonts w:cs="Arial" w:ascii="Arial" w:hAnsi="Arial"/>
        <w:lang w:eastAsia="en-US"/>
      </w:rPr>
      <w:fldChar w:fldCharType="separate"/>
    </w:r>
    <w:r>
      <w:rPr>
        <w:sz w:val="16"/>
        <w:rFonts w:cs="Arial" w:ascii="Arial" w:hAnsi="Arial"/>
        <w:lang w:eastAsia="en-US"/>
      </w:rPr>
      <w:t>3prtygu.doc</w:t>
    </w:r>
    <w:r>
      <w:rPr>
        <w:sz w:val="16"/>
        <w:rFonts w:cs="Arial" w:ascii="Arial" w:hAnsi="Arial"/>
        <w:lang w:eastAsia="en-US"/>
      </w:rPr>
      <w:fldChar w:fldCharType="end"/>
    </w:r>
    <w:r>
      <w:rPr>
        <w:rFonts w:eastAsia="Arial" w:cs="Arial" w:ascii="Arial" w:hAnsi="Arial"/>
        <w:sz w:val="16"/>
      </w:rPr>
      <w:t xml:space="preserve">  </w:t>
    </w:r>
    <w:r>
      <w:rPr>
        <w:rFonts w:cs="Arial" w:ascii="Arial" w:hAnsi="Arial"/>
        <w:sz w:val="16"/>
      </w:rPr>
      <w:t>(futures 3pty give-up agreement)</w:t>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16"/>
        </w:rPr>
      </w:pPr>
      <w:r>
        <w:rPr>
          <w:rStyle w:val="FootnoteCharacters"/>
        </w:rPr>
        <w:footnoteRef/>
      </w:r>
      <w:r>
        <w:rPr>
          <w:rFonts w:cs="Arial" w:ascii="Arial" w:hAnsi="Arial"/>
          <w:sz w:val="16"/>
        </w:rPr>
        <w:t>This Uniform Agreement was prepared in consultation with the FIA, MFA and FOA.  Any changes or additions to the wording of this standard document should be clearly indicated.  (CUSTOMER FORM 201 - 10/95) This Agreement has been retyped by CREDIT SUISSE FIRST BOSTON CORPORATION.  Language has been added to paragraphs 8, 10 and 12 - additional changes are in italics.</w:t>
      </w:r>
    </w:p>
    <w:p>
      <w:pPr>
        <w:pStyle w:val="FootnoteText"/>
        <w:rPr>
          <w:sz w:val="16"/>
        </w:rPr>
      </w:pPr>
      <w:r>
        <w:rPr>
          <w:sz w:val="16"/>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2092960" cy="293370"/>
              <wp:effectExtent l="0" t="0" r="0" b="0"/>
              <wp:wrapSquare wrapText="bothSides"/>
              <wp:docPr id="2" name="Frame4"/>
              <a:graphic xmlns:a="http://schemas.openxmlformats.org/drawingml/2006/main">
                <a:graphicData uri="http://schemas.microsoft.com/office/word/2010/wordprocessingShape">
                  <wps:wsp>
                    <wps:cNvSpPr txBox="1"/>
                    <wps:spPr>
                      <a:xfrm>
                        <a:off x="0" y="0"/>
                        <a:ext cx="2092960" cy="293370"/>
                      </a:xfrm>
                      <a:prstGeom prst="rect"/>
                      <a:solidFill>
                        <a:srgbClr val="FFFFFF">
                          <a:alpha val="0"/>
                        </a:srgbClr>
                      </a:solidFill>
                    </wps:spPr>
                    <wps:txbx>
                      <w:txbxContent>
                        <w:p>
                          <w:pPr>
                            <w:pStyle w:val="Normal"/>
                            <w:rPr>
                              <w:rFonts w:ascii="Arial" w:hAnsi="Arial" w:cs="Arial"/>
                            </w:rPr>
                          </w:pPr>
                          <w:r>
                            <w:rPr>
                              <w:rFonts w:cs="Arial" w:ascii="Arial" w:hAnsi="Arial"/>
                              <w:b/>
                              <w:sz w:val="28"/>
                            </w:rPr>
                            <w:t>Listed Derivatives Group</w:t>
                          </w:r>
                        </w:p>
                      </w:txbxContent>
                    </wps:txbx>
                    <wps:bodyPr anchor="t" lIns="0" tIns="12700" rIns="0" bIns="0">
                      <a:noAutofit/>
                    </wps:bodyPr>
                  </wps:wsp>
                </a:graphicData>
              </a:graphic>
            </wp:anchor>
          </w:drawing>
        </mc:Choice>
        <mc:Fallback>
          <w:pict>
            <v:rect fillcolor="#FFFFFF" style="position:absolute;rotation:-0;width:164.8pt;height:23.1pt;mso-wrap-distance-left:0pt;mso-wrap-distance-right:9pt;mso-wrap-distance-top:0pt;mso-wrap-distance-bottom:0pt;margin-top:0.05pt;mso-position-vertical-relative:text;margin-left:0pt;mso-position-horizontal:left;mso-position-horizontal-relative:text">
              <v:fill opacity="0f"/>
              <v:textbox inset="0in,0.0138888888888889in,0in,0in">
                <w:txbxContent>
                  <w:p>
                    <w:pPr>
                      <w:pStyle w:val="Normal"/>
                      <w:rPr>
                        <w:rFonts w:ascii="Arial" w:hAnsi="Arial" w:cs="Arial"/>
                      </w:rPr>
                    </w:pPr>
                    <w:r>
                      <w:rPr>
                        <w:rFonts w:cs="Arial" w:ascii="Arial" w:hAnsi="Arial"/>
                        <w:b/>
                        <w:sz w:val="28"/>
                      </w:rPr>
                      <w:t>Listed Derivatives Group</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rPr>
        <w:rFonts w:ascii="Tms Rmn" w:hAnsi="Tms Rmn" w:cs="Tms Rmn"/>
      </w:rPr>
    </w:lvl>
    <w:lvl w:ilvl="1">
      <w:start w:val="0"/>
      <w:pStyle w:val="Heading2"/>
      <w:numFmt w:val="decimal"/>
      <w:lvlText w:val="%2"/>
      <w:lvlJc w:val="start"/>
      <w:pPr>
        <w:tabs>
          <w:tab w:val="num" w:pos="0"/>
        </w:tabs>
        <w:ind w:start="0" w:hanging="0"/>
      </w:pPr>
      <w:rPr>
        <w:rFonts w:ascii="Tms Rmn" w:hAnsi="Tms Rmn" w:cs="Tms Rmn"/>
      </w:rPr>
    </w:lvl>
    <w:lvl w:ilvl="2">
      <w:start w:val="0"/>
      <w:pStyle w:val="Heading3"/>
      <w:numFmt w:val="decimal"/>
      <w:lvlText w:val="%3"/>
      <w:lvlJc w:val="start"/>
      <w:pPr>
        <w:tabs>
          <w:tab w:val="num" w:pos="0"/>
        </w:tabs>
        <w:ind w:start="0" w:hanging="0"/>
      </w:pPr>
      <w:rPr>
        <w:rFonts w:ascii="Tms Rmn" w:hAnsi="Tms Rmn" w:cs="Tms Rmn"/>
      </w:rPr>
    </w:lvl>
    <w:lvl w:ilvl="3">
      <w:start w:val="0"/>
      <w:pStyle w:val="Heading4"/>
      <w:numFmt w:val="decimal"/>
      <w:lvlText w:val="%4"/>
      <w:lvlJc w:val="start"/>
      <w:pPr>
        <w:tabs>
          <w:tab w:val="num" w:pos="0"/>
        </w:tabs>
        <w:ind w:start="0" w:hanging="0"/>
      </w:pPr>
      <w:rPr>
        <w:rFonts w:ascii="Tms Rmn" w:hAnsi="Tms Rmn" w:cs="Tms Rmn"/>
      </w:rPr>
    </w:lvl>
    <w:lvl w:ilvl="4">
      <w:start w:val="0"/>
      <w:pStyle w:val="Heading5"/>
      <w:numFmt w:val="decimal"/>
      <w:lvlText w:val="%5"/>
      <w:lvlJc w:val="start"/>
      <w:pPr>
        <w:tabs>
          <w:tab w:val="num" w:pos="0"/>
        </w:tabs>
        <w:ind w:start="0" w:hanging="0"/>
      </w:pPr>
      <w:rPr>
        <w:rFonts w:ascii="Tms Rmn" w:hAnsi="Tms Rmn" w:cs="Tms Rmn"/>
      </w:rPr>
    </w:lvl>
    <w:lvl w:ilvl="5">
      <w:start w:val="0"/>
      <w:pStyle w:val="Heading6"/>
      <w:numFmt w:val="decimal"/>
      <w:lvlText w:val="%6"/>
      <w:lvlJc w:val="start"/>
      <w:pPr>
        <w:tabs>
          <w:tab w:val="num" w:pos="0"/>
        </w:tabs>
        <w:ind w:start="0" w:hanging="0"/>
      </w:pPr>
      <w:rPr>
        <w:rFonts w:ascii="Tms Rmn" w:hAnsi="Tms Rmn" w:cs="Tms Rmn"/>
      </w:rPr>
    </w:lvl>
    <w:lvl w:ilvl="6">
      <w:start w:val="0"/>
      <w:pStyle w:val="Heading7"/>
      <w:numFmt w:val="decimal"/>
      <w:lvlText w:val="%7"/>
      <w:lvlJc w:val="start"/>
      <w:pPr>
        <w:tabs>
          <w:tab w:val="num" w:pos="0"/>
        </w:tabs>
        <w:ind w:start="0" w:hanging="0"/>
      </w:pPr>
      <w:rPr>
        <w:rFonts w:ascii="Tms Rmn" w:hAnsi="Tms Rmn" w:cs="Tms Rmn"/>
      </w:rPr>
    </w:lvl>
    <w:lvl w:ilvl="7">
      <w:start w:val="0"/>
      <w:pStyle w:val="Heading8"/>
      <w:numFmt w:val="decimal"/>
      <w:lvlText w:val="%8"/>
      <w:lvlJc w:val="start"/>
      <w:pPr>
        <w:tabs>
          <w:tab w:val="num" w:pos="0"/>
        </w:tabs>
        <w:ind w:start="0" w:hanging="0"/>
      </w:pPr>
      <w:rPr>
        <w:rFonts w:ascii="Tms Rmn" w:hAnsi="Tms Rmn" w:cs="Tms Rmn"/>
      </w:rPr>
    </w:lvl>
    <w:lvl w:ilvl="8">
      <w:start w:val="0"/>
      <w:pStyle w:val="Heading9"/>
      <w:numFmt w:val="decimal"/>
      <w:lvlText w:val="%9"/>
      <w:lvlJc w:val="start"/>
      <w:pPr>
        <w:tabs>
          <w:tab w:val="num" w:pos="0"/>
        </w:tabs>
        <w:ind w:start="0" w:hanging="0"/>
      </w:pPr>
      <w:rPr>
        <w:rFonts w:ascii="Tms Rmn" w:hAnsi="Tms Rmn" w:cs="Tms Rmn"/>
      </w:rPr>
    </w:lvl>
  </w:abstractNum>
  <w:abstractNum w:abstractNumId="2">
    <w:lvl w:ilvl="0">
      <w:start w:val="1"/>
      <w:numFmt w:val="lowerLetter"/>
      <w:lvlText w:val="(%1)"/>
      <w:lvlJc w:val="start"/>
      <w:pPr>
        <w:tabs>
          <w:tab w:val="num" w:pos="360"/>
        </w:tabs>
        <w:ind w:start="720" w:hanging="360"/>
      </w:pPr>
    </w:lvl>
  </w:abstractNum>
  <w:abstractNum w:abstractNumId="3">
    <w:lvl w:ilvl="0">
      <w:start w:val="1"/>
      <w:numFmt w:val="lowerRoman"/>
      <w:lvlText w:val="%1."/>
      <w:lvlJc w:val="start"/>
      <w:pPr>
        <w:tabs>
          <w:tab w:val="num" w:pos="360"/>
        </w:tabs>
        <w:ind w:start="108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8"/>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Tms Rmn" w:hAnsi="Tms Rmn" w:cs="Tms Rmn"/>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2000-07-27T17:20:00Z</dcterms:created>
  <dc:creator>cs user</dc:creator>
  <dc:description/>
  <dc:language>en-CA</dc:language>
  <cp:lastModifiedBy>Steven J. Reis</cp:lastModifiedBy>
  <cp:lastPrinted>2000-06-14T18:02:00Z</cp:lastPrinted>
  <dcterms:modified xsi:type="dcterms:W3CDTF">2000-07-27T17:20:00Z</dcterms:modified>
  <cp:revision>2</cp:revision>
  <dc:subject/>
  <dc:title>Listed Derivatives Group</dc:title>
</cp:coreProperties>
</file>