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lushLeft"/>
        <w:jc w:val="center"/>
        <w:rPr>
          <w:b/>
        </w:rPr>
      </w:pPr>
      <w:r>
        <w:rPr>
          <w:b/>
          <w:u w:val="single"/>
        </w:rPr>
        <w:t>M</w:t>
      </w:r>
      <w:r>
        <w:rPr>
          <w:b/>
        </w:rPr>
        <w:t xml:space="preserve"> </w:t>
      </w:r>
      <w:r>
        <w:rPr>
          <w:b/>
          <w:u w:val="single"/>
        </w:rPr>
        <w:t>E</w:t>
      </w:r>
      <w:r>
        <w:rPr>
          <w:b/>
        </w:rPr>
        <w:t xml:space="preserve"> </w:t>
      </w:r>
      <w:r>
        <w:rPr>
          <w:b/>
          <w:u w:val="single"/>
        </w:rPr>
        <w:t>M</w:t>
      </w:r>
      <w:r>
        <w:rPr>
          <w:b/>
        </w:rPr>
        <w:t xml:space="preserve"> </w:t>
      </w:r>
      <w:r>
        <w:rPr>
          <w:b/>
          <w:u w:val="single"/>
        </w:rPr>
        <w:t>O</w:t>
      </w:r>
      <w:r>
        <w:rPr>
          <w:b/>
        </w:rPr>
        <w:t xml:space="preserve"> </w:t>
      </w:r>
      <w:r>
        <w:rPr>
          <w:b/>
          <w:u w:val="single"/>
        </w:rPr>
        <w:t>R</w:t>
      </w:r>
      <w:r>
        <w:rPr>
          <w:b/>
        </w:rPr>
        <w:t xml:space="preserve"> </w:t>
      </w:r>
      <w:r>
        <w:rPr>
          <w:b/>
          <w:u w:val="single"/>
        </w:rPr>
        <w:t>A</w:t>
      </w:r>
      <w:r>
        <w:rPr>
          <w:b/>
        </w:rPr>
        <w:t xml:space="preserve"> </w:t>
      </w:r>
      <w:r>
        <w:rPr>
          <w:b/>
          <w:u w:val="single"/>
        </w:rPr>
        <w:t>N</w:t>
      </w:r>
      <w:r>
        <w:rPr>
          <w:b/>
        </w:rPr>
        <w:t xml:space="preserve"> </w:t>
      </w:r>
      <w:r>
        <w:rPr>
          <w:b/>
          <w:u w:val="single"/>
        </w:rPr>
        <w:t>D</w:t>
      </w:r>
      <w:r>
        <w:rPr>
          <w:b/>
        </w:rPr>
        <w:t xml:space="preserve"> </w:t>
      </w:r>
      <w:r>
        <w:rPr>
          <w:b/>
          <w:u w:val="single"/>
        </w:rPr>
        <w:t>U</w:t>
      </w:r>
      <w:r>
        <w:rPr>
          <w:b/>
        </w:rPr>
        <w:t xml:space="preserve"> </w:t>
      </w:r>
      <w:r>
        <w:rPr>
          <w:b/>
          <w:u w:val="single"/>
        </w:rPr>
        <w:t>M</w:t>
      </w:r>
    </w:p>
    <w:p>
      <w:pPr>
        <w:pStyle w:val="FlushLeft"/>
        <w:rPr>
          <w:b/>
        </w:rPr>
      </w:pPr>
      <w:r>
        <w:rPr>
          <w:b/>
        </w:rPr>
      </w:r>
    </w:p>
    <w:p>
      <w:pPr>
        <w:pStyle w:val="FlushLeft"/>
        <w:rPr/>
      </w:pPr>
      <w:r>
        <w:rPr/>
      </w:r>
    </w:p>
    <w:p>
      <w:pPr>
        <w:pStyle w:val="FlushLeft"/>
        <w:rPr/>
      </w:pPr>
      <w:r>
        <w:rPr/>
      </w:r>
    </w:p>
    <w:p>
      <w:pPr>
        <w:pStyle w:val="FlushLeft"/>
        <w:rPr/>
      </w:pPr>
      <w:r>
        <w:rPr/>
        <w:t>TO:</w:t>
        <w:tab/>
        <w:tab/>
        <w:t>Richard Smith, Esq., Linklaters</w:t>
      </w:r>
    </w:p>
    <w:p>
      <w:pPr>
        <w:pStyle w:val="FlushLeft"/>
        <w:rPr/>
      </w:pPr>
      <w:r>
        <w:rPr/>
      </w:r>
    </w:p>
    <w:p>
      <w:pPr>
        <w:pStyle w:val="FlushLeft"/>
        <w:rPr/>
      </w:pPr>
      <w:r>
        <w:rPr/>
        <w:t>FROM:</w:t>
        <w:tab/>
        <w:t>C. Stephen Howard, Esq., Milbank, Tweed, Hadley &amp; McCloy LLP</w:t>
      </w:r>
    </w:p>
    <w:p>
      <w:pPr>
        <w:pStyle w:val="FlushLeft"/>
        <w:rPr/>
      </w:pPr>
      <w:r>
        <w:rPr/>
      </w:r>
    </w:p>
    <w:p>
      <w:pPr>
        <w:pStyle w:val="FlushLeft"/>
        <w:rPr/>
      </w:pPr>
      <w:r>
        <w:rPr/>
        <w:t>RE:</w:t>
        <w:tab/>
        <w:tab/>
        <w:t>Claim of ECT Securities Limited Partnership in NSM Bankruptcy</w:t>
      </w:r>
    </w:p>
    <w:p>
      <w:pPr>
        <w:pStyle w:val="FlushLeft"/>
        <w:rPr/>
      </w:pPr>
      <w:r>
        <w:rPr/>
      </w:r>
    </w:p>
    <w:p>
      <w:pPr>
        <w:pStyle w:val="FlushLeft"/>
        <w:rPr/>
      </w:pPr>
      <w:r>
        <w:rPr/>
        <w:t>DATE:</w:t>
        <w:tab/>
        <w:tab/>
        <w:t>1 November 2000</w:t>
      </w:r>
    </w:p>
    <w:p>
      <w:pPr>
        <w:pStyle w:val="FlushLeft"/>
        <w:rPr/>
      </w:pPr>
      <w:r>
        <w:rPr/>
      </w:r>
    </w:p>
    <w:p>
      <w:pPr>
        <w:pStyle w:val="FlushLeft"/>
        <w:rPr/>
      </w:pPr>
      <w:r>
        <w:rPr/>
      </w:r>
    </w:p>
    <w:p>
      <w:pPr>
        <w:pStyle w:val="FlushLeft"/>
        <w:numPr>
          <w:ilvl w:val="0"/>
          <w:numId w:val="2"/>
        </w:numPr>
        <w:spacing w:lineRule="auto" w:line="480"/>
        <w:jc w:val="center"/>
        <w:rPr>
          <w:b/>
          <w:u w:val="single"/>
        </w:rPr>
      </w:pPr>
      <w:r>
        <w:rPr>
          <w:b/>
          <w:u w:val="single"/>
        </w:rPr>
        <w:t>Background</w:t>
      </w:r>
    </w:p>
    <w:p>
      <w:pPr>
        <w:pStyle w:val="FlushLeft"/>
        <w:spacing w:lineRule="auto" w:line="480"/>
        <w:ind w:firstLine="1440" w:end="0"/>
        <w:rPr/>
      </w:pPr>
      <w:r>
        <w:rPr/>
        <w:t>On August 7, 2000, ECT Securities Limited Partnership ("ECTSLP"), successor-in-interest to ECT Securities Corporation ("ECTSC" and, together with ECTSLP, "ECT"), filed a claim for indemnification against NSM ("ECT's Claim").</w:t>
      </w:r>
    </w:p>
    <w:p>
      <w:pPr>
        <w:pStyle w:val="FlushLeft"/>
        <w:spacing w:lineRule="auto" w:line="480"/>
        <w:ind w:firstLine="1440" w:end="0"/>
        <w:rPr/>
      </w:pPr>
      <w:r>
        <w:rPr/>
        <w:t xml:space="preserve">In ECT's Claim, ECT sought indemnification against any judgments or settlements (as well as attorneys' fees) that ECT might incur in two lawsuits pending in </w:t>
      </w:r>
      <w:r>
        <w:rPr>
          <w:u w:val="single"/>
        </w:rPr>
        <w:t>state court</w:t>
      </w:r>
      <w:r>
        <w:rPr/>
        <w:t xml:space="preserve"> in the State of California: </w:t>
      </w:r>
      <w:r>
        <w:rPr>
          <w:u w:val="single"/>
        </w:rPr>
        <w:t>Farallon Capital Partners, L.P., Farallon Capital Institutional Partners, L.P., Farallon Capital Institutional Partners II, L.P., Farallon Capital Offshore Investors, Inc., Consolidated Press International Limited, OCM Opportunities Fund II, L.P. and Oaktree Capital Management, LLC as investment manager of the Columbia/HCA Master Retirement Trust (separate account) v. Gleacher &amp; Co. Inc., Natwest Group Holdings Corporation, McDonald Investments, Inc., PaineWebber Incorporated, ECT Securities Limited Partnership, Steel Dynamics Inc</w:t>
      </w:r>
      <w:r>
        <w:rPr/>
        <w:t xml:space="preserve">., Los Angeles Superior Court Case No. BC 215260; and </w:t>
      </w:r>
      <w:r>
        <w:rPr>
          <w:u w:val="single"/>
        </w:rPr>
        <w:t>Legg Mason Income Trust, Inc. – Legg Mason High Yield Portfolio v. Gleacher &amp; Co. Inc., Natwest Group Holdings Corporation, McDonald Investments, Inc., PaineWebber Incorporated, ECT Securities Limited Partnership, Steel Dynamics Inc</w:t>
      </w:r>
      <w:r>
        <w:rPr/>
        <w:t xml:space="preserve">., Los Angeles Superior Court Case No. BC 218294 (the "California Suits.").  The Plaintiffs in the California Suits seek damages from ECT and others based upon alleged untrue statements and omissions in the offering documents issued by NSM in connection with NSM's $452.5 million bond offering in March 1998 (the "Offering Documents"). </w:t>
      </w:r>
    </w:p>
    <w:p>
      <w:pPr>
        <w:pStyle w:val="FlushLeft"/>
        <w:spacing w:lineRule="auto" w:line="480"/>
        <w:ind w:firstLine="1440" w:end="0"/>
        <w:rPr/>
      </w:pPr>
      <w:r>
        <w:rPr/>
        <w:t xml:space="preserve">Paragraph 7 of the Purchase Agreement among NSM, ECT, and others provides that NSM will indemnify ECT against any claim (including attorneys' fees) based on alleged untrue statements and/or omissions in the Offering Documents, whether such claims arise under the Securities Act or the Exchange Act (two </w:t>
      </w:r>
      <w:r>
        <w:rPr>
          <w:u w:val="single"/>
        </w:rPr>
        <w:t>federal</w:t>
      </w:r>
      <w:r>
        <w:rPr/>
        <w:t xml:space="preserve"> statutes) "or otherwise."  ECT's Claim seeks indemnification against any judgments, settlements, and/or attorneys fees in any additional law suits that might be filed against ECT in the future based upon alleged untrue statements or omissions in the Offering Documents.</w:t>
      </w:r>
    </w:p>
    <w:p>
      <w:pPr>
        <w:pStyle w:val="FlushLeft"/>
        <w:spacing w:lineRule="auto" w:line="480"/>
        <w:ind w:firstLine="1440" w:end="0"/>
        <w:rPr/>
      </w:pPr>
      <w:r>
        <w:rPr/>
        <w:t xml:space="preserve">We now understand that a question has been raised about ECT's Claim based on the fact that, under </w:t>
      </w:r>
      <w:r>
        <w:rPr>
          <w:u w:val="single"/>
        </w:rPr>
        <w:t>federal law</w:t>
      </w:r>
      <w:r>
        <w:rPr/>
        <w:t>, a contract providing for indemnification against claims arising under two particular federal statutes, the Securities Act of 1933 and the Securities Exchange Act of  1934 (collectively the "Federal Securities Statutes") are not enforceable.</w:t>
      </w:r>
      <w:r>
        <w:rPr>
          <w:rStyle w:val="FootnoteCharacters"/>
          <w:rStyle w:val="FootnoteReference"/>
        </w:rPr>
        <w:footnoteReference w:id="2"/>
      </w:r>
      <w:r>
        <w:rPr/>
        <w:t xml:space="preserve">  As discussed below, the fact that contracts for indemnification against claims under the Federal Securities Statutes are not enforceable is completely irrelevant to ECT's Claim against NSM.  The claims against which ECT seeks indemnification are </w:t>
      </w:r>
      <w:r>
        <w:rPr>
          <w:u w:val="single"/>
        </w:rPr>
        <w:t>not</w:t>
      </w:r>
      <w:r>
        <w:rPr/>
        <w:t xml:space="preserve"> claims under the Federal Securities Statutes.</w:t>
      </w:r>
    </w:p>
    <w:p>
      <w:pPr>
        <w:pStyle w:val="FlushLeft"/>
        <w:numPr>
          <w:ilvl w:val="0"/>
          <w:numId w:val="2"/>
        </w:numPr>
        <w:spacing w:lineRule="auto" w:line="480"/>
        <w:jc w:val="center"/>
        <w:rPr>
          <w:b/>
        </w:rPr>
      </w:pPr>
      <w:r>
        <w:rPr>
          <w:b/>
          <w:u w:val="single"/>
        </w:rPr>
        <w:t>Preliminary Observations About United States Law</w:t>
      </w:r>
    </w:p>
    <w:p>
      <w:pPr>
        <w:pStyle w:val="FlushLeft"/>
        <w:spacing w:lineRule="auto" w:line="480"/>
        <w:ind w:firstLine="1440" w:end="0"/>
        <w:rPr/>
      </w:pPr>
      <w:r>
        <w:rPr/>
        <w:t>It is important at the outset to discus certain fundamental aspects of the United States legal system.</w:t>
      </w:r>
    </w:p>
    <w:p>
      <w:pPr>
        <w:pStyle w:val="FlushLeft"/>
        <w:spacing w:lineRule="auto" w:line="480"/>
        <w:jc w:val="center"/>
        <w:rPr>
          <w:b/>
        </w:rPr>
      </w:pPr>
      <w:r>
        <w:rPr>
          <w:b/>
        </w:rPr>
        <w:t>A.</w:t>
        <w:tab/>
        <w:t>Sources of Law In the United States</w:t>
      </w:r>
    </w:p>
    <w:p>
      <w:pPr>
        <w:pStyle w:val="FlushLeft"/>
        <w:spacing w:lineRule="auto" w:line="480"/>
        <w:ind w:firstLine="1440" w:end="0"/>
        <w:rPr/>
      </w:pPr>
      <w:r>
        <w:rPr/>
        <w:t xml:space="preserve">The United States is made up of fifty separate states.  Each state has its own laws.  Within the United States we have both </w:t>
      </w:r>
      <w:r>
        <w:rPr>
          <w:u w:val="single"/>
        </w:rPr>
        <w:t>federal</w:t>
      </w:r>
      <w:r>
        <w:rPr/>
        <w:t xml:space="preserve"> </w:t>
      </w:r>
      <w:r>
        <w:rPr>
          <w:u w:val="single"/>
        </w:rPr>
        <w:t>law</w:t>
      </w:r>
      <w:r>
        <w:rPr/>
        <w:t xml:space="preserve"> (generally applicable to conduct occurring or having an effect anywhere in the United States) and </w:t>
      </w:r>
      <w:r>
        <w:rPr>
          <w:u w:val="single"/>
        </w:rPr>
        <w:t>state</w:t>
      </w:r>
      <w:r>
        <w:rPr/>
        <w:t xml:space="preserve"> </w:t>
      </w:r>
      <w:r>
        <w:rPr>
          <w:u w:val="single"/>
        </w:rPr>
        <w:t>law</w:t>
      </w:r>
      <w:r>
        <w:rPr/>
        <w:t xml:space="preserve"> (generally applicable only to conduct occurring or having effect in a particular state).  We also have separate federal and state courts.</w:t>
      </w:r>
    </w:p>
    <w:p>
      <w:pPr>
        <w:pStyle w:val="FlushLeft"/>
        <w:tabs>
          <w:tab w:val="clear" w:pos="720"/>
          <w:tab w:val="left" w:pos="1440" w:leader="none"/>
        </w:tabs>
        <w:spacing w:lineRule="auto" w:line="480"/>
        <w:ind w:firstLine="720" w:end="0"/>
        <w:rPr/>
      </w:pPr>
      <w:r>
        <w:rPr/>
        <w:tab/>
        <w:t xml:space="preserve">In addition, in the United States, law (either federal or state) may be found in </w:t>
      </w:r>
      <w:r>
        <w:rPr>
          <w:u w:val="single"/>
        </w:rPr>
        <w:t>statutes</w:t>
      </w:r>
      <w:r>
        <w:rPr/>
        <w:t xml:space="preserve"> enacted by the legislative branch of government or in </w:t>
      </w:r>
      <w:r>
        <w:rPr>
          <w:u w:val="single"/>
        </w:rPr>
        <w:t>common law</w:t>
      </w:r>
      <w:r>
        <w:rPr/>
        <w:t>, the collected decisions of the judicial branch of government.</w:t>
      </w:r>
    </w:p>
    <w:p>
      <w:pPr>
        <w:pStyle w:val="FlushLeft"/>
        <w:numPr>
          <w:ilvl w:val="0"/>
          <w:numId w:val="4"/>
        </w:numPr>
        <w:spacing w:lineRule="auto" w:line="480"/>
        <w:jc w:val="center"/>
        <w:rPr>
          <w:b/>
        </w:rPr>
      </w:pPr>
      <w:r>
        <w:rPr>
          <w:b/>
        </w:rPr>
        <w:t>Indemnification and Contribution</w:t>
      </w:r>
    </w:p>
    <w:p>
      <w:pPr>
        <w:pStyle w:val="FlushLeft"/>
        <w:tabs>
          <w:tab w:val="clear" w:pos="720"/>
          <w:tab w:val="left" w:pos="1440" w:leader="none"/>
        </w:tabs>
        <w:spacing w:lineRule="auto" w:line="480"/>
        <w:ind w:firstLine="720" w:end="0"/>
        <w:rPr/>
      </w:pPr>
      <w:r>
        <w:rPr/>
        <w:tab/>
        <w:t xml:space="preserve">In the United States we have separate concepts of "indemnification" and "contribution."  "Indemnification" refers to a </w:t>
      </w:r>
      <w:r>
        <w:rPr>
          <w:u w:val="single"/>
        </w:rPr>
        <w:t>complete shifting (i.e., 100%) of the liability</w:t>
      </w:r>
      <w:r>
        <w:rPr/>
        <w:t xml:space="preserve"> of one party to another party.  A party may be entitled to indemnification based on a contract between the parties or, in rare occasions, based on state or federal law.  Our federal and state courts have in some instances held that certain contracts for indemnification are not enforceable.  </w:t>
      </w:r>
    </w:p>
    <w:p>
      <w:pPr>
        <w:pStyle w:val="FlushLeft"/>
        <w:tabs>
          <w:tab w:val="clear" w:pos="720"/>
          <w:tab w:val="left" w:pos="1440" w:leader="none"/>
        </w:tabs>
        <w:spacing w:lineRule="auto" w:line="480"/>
        <w:ind w:firstLine="720" w:end="0"/>
        <w:rPr/>
      </w:pPr>
      <w:r>
        <w:rPr/>
        <w:tab/>
        <w:t>"Contribution" (sometimes called "partial indemnification" or "equitable indemnification" or "equitable contribution") refers to a shifting of a portion (</w:t>
      </w:r>
      <w:r>
        <w:rPr>
          <w:u w:val="single"/>
        </w:rPr>
        <w:t>i.e.</w:t>
      </w:r>
      <w:r>
        <w:rPr/>
        <w:t>, less than 100%) of one party's liability to another party.  In general, the portion of liability shifted from one party to another by contribution is based upon the relative fault of the two parties.</w:t>
      </w:r>
    </w:p>
    <w:p>
      <w:pPr>
        <w:pStyle w:val="FlushLeft"/>
        <w:tabs>
          <w:tab w:val="clear" w:pos="720"/>
          <w:tab w:val="left" w:pos="1440" w:leader="none"/>
        </w:tabs>
        <w:spacing w:lineRule="auto" w:line="480"/>
        <w:ind w:firstLine="720" w:end="0"/>
        <w:rPr/>
      </w:pPr>
      <w:r>
        <w:rPr/>
        <w:tab/>
        <w:t>Contribution is generally based on law (statutory or common law).  While it is theoretically possible for a contract to provide for contribution, that is generally unnecessary, because federal and most state law already provide for contribution in most cases whether or not there is a contract between the two parties.</w:t>
      </w:r>
    </w:p>
    <w:p>
      <w:pPr>
        <w:pStyle w:val="FlushLeft"/>
        <w:numPr>
          <w:ilvl w:val="0"/>
          <w:numId w:val="4"/>
        </w:numPr>
        <w:spacing w:lineRule="auto" w:line="480"/>
        <w:jc w:val="center"/>
        <w:rPr>
          <w:b/>
        </w:rPr>
      </w:pPr>
      <w:r>
        <w:rPr>
          <w:b/>
        </w:rPr>
        <w:t xml:space="preserve">Intentional v. Negligent Conduct </w:t>
      </w:r>
    </w:p>
    <w:p>
      <w:pPr>
        <w:pStyle w:val="FlushLeft"/>
        <w:tabs>
          <w:tab w:val="clear" w:pos="720"/>
          <w:tab w:val="left" w:pos="1440" w:leader="none"/>
        </w:tabs>
        <w:spacing w:lineRule="auto" w:line="480"/>
        <w:ind w:firstLine="720" w:end="0"/>
        <w:rPr/>
      </w:pPr>
      <w:r>
        <w:rPr/>
        <w:tab/>
        <w:t xml:space="preserve">In the United States, both federal and state law often distinguish between "intentional" conduct (the wrongdoer actually </w:t>
      </w:r>
      <w:r>
        <w:rPr>
          <w:u w:val="single"/>
        </w:rPr>
        <w:t>intended</w:t>
      </w:r>
      <w:r>
        <w:rPr/>
        <w:t xml:space="preserve"> to commit the wrong) and mere "negligent" conduct (the wrongdoer </w:t>
      </w:r>
      <w:r>
        <w:rPr>
          <w:u w:val="single"/>
        </w:rPr>
        <w:t>did not intend</w:t>
      </w:r>
      <w:r>
        <w:rPr/>
        <w:t xml:space="preserve"> to commit the wrong but acted unreasonably and thereby committed the wrong).</w:t>
      </w:r>
    </w:p>
    <w:p>
      <w:pPr>
        <w:pStyle w:val="FlushLeft"/>
        <w:numPr>
          <w:ilvl w:val="0"/>
          <w:numId w:val="2"/>
        </w:numPr>
        <w:spacing w:lineRule="auto" w:line="480"/>
        <w:jc w:val="center"/>
        <w:rPr>
          <w:b/>
        </w:rPr>
      </w:pPr>
      <w:r>
        <w:rPr>
          <w:b/>
          <w:u w:val="single"/>
        </w:rPr>
        <w:t>Plaintiffs' Claims Against ECT in the California Suits</w:t>
      </w:r>
    </w:p>
    <w:p>
      <w:pPr>
        <w:pStyle w:val="FlushLeft"/>
        <w:tabs>
          <w:tab w:val="clear" w:pos="720"/>
          <w:tab w:val="left" w:pos="1440" w:leader="none"/>
        </w:tabs>
        <w:spacing w:lineRule="auto" w:line="480"/>
        <w:ind w:firstLine="720" w:end="0"/>
        <w:rPr/>
      </w:pPr>
      <w:r>
        <w:rPr/>
        <w:tab/>
        <w:t>The two California Suits each assert four claims, all based on California state law.   Copies of the two California Suits are attached to ECT's Claim.  Neither of the California Suits includes any claim based on the Federal Securities Statutes or any other federal law.  The claims that Plaintiffs in the California Suits assert against ECT are for: (1) violation of a California statute, Section 25400 of the California Corporate Securities Law; (2) violation of another California statute, Section 25401 of the California Corporate Securities Law; (3) fraud under California common law and statute, and (4) negligent misrepresentation under California common law and statute.</w:t>
      </w:r>
      <w:r>
        <w:rPr>
          <w:rStyle w:val="FootnoteCharacters"/>
          <w:rStyle w:val="FootnoteReference"/>
        </w:rPr>
        <w:footnoteReference w:id="3"/>
      </w:r>
      <w:r>
        <w:rPr/>
        <w:t xml:space="preserve">  In each of the four claims, plaintiffs seek to recover all of their damages resulting from their investments in NSM bonds.</w:t>
      </w:r>
    </w:p>
    <w:p>
      <w:pPr>
        <w:pStyle w:val="FlushLeft"/>
        <w:tabs>
          <w:tab w:val="clear" w:pos="720"/>
          <w:tab w:val="left" w:pos="1440" w:leader="none"/>
        </w:tabs>
        <w:spacing w:lineRule="auto" w:line="480"/>
        <w:ind w:firstLine="720" w:end="0"/>
        <w:rPr/>
      </w:pPr>
      <w:r>
        <w:rPr/>
        <w:tab/>
        <w:t>Of these four claims, two of the claims -- violation of Section 25400 of the California Corporate Securities Law</w:t>
      </w:r>
      <w:r>
        <w:rPr>
          <w:rStyle w:val="FootnoteCharacters"/>
          <w:rStyle w:val="FootnoteReference"/>
        </w:rPr>
        <w:footnoteReference w:id="4"/>
      </w:r>
      <w:r>
        <w:rPr/>
        <w:t xml:space="preserve"> and fraud</w:t>
      </w:r>
      <w:r>
        <w:rPr>
          <w:rStyle w:val="FootnoteCharacters"/>
          <w:rStyle w:val="FootnoteReference"/>
        </w:rPr>
        <w:footnoteReference w:id="5"/>
      </w:r>
      <w:r>
        <w:rPr/>
        <w:t>-- can be established by the plaintiff only on the basis of intentional conduct.  The other two claims -- violation of Section 25401</w:t>
      </w:r>
      <w:r>
        <w:rPr>
          <w:rStyle w:val="FootnoteCharacters"/>
          <w:rStyle w:val="FootnoteReference"/>
        </w:rPr>
        <w:footnoteReference w:id="6"/>
      </w:r>
      <w:r>
        <w:rPr/>
        <w:t xml:space="preserve"> of the California Corporate Securities Law and negligent misrepresentation</w:t>
      </w:r>
      <w:r>
        <w:rPr>
          <w:rStyle w:val="FootnoteCharacters"/>
          <w:rStyle w:val="FootnoteReference"/>
        </w:rPr>
        <w:footnoteReference w:id="7"/>
      </w:r>
      <w:r>
        <w:rPr/>
        <w:t>-- can be established by the plaintiff on the basis of mere negligent conduct by the defendant.</w:t>
      </w:r>
    </w:p>
    <w:p>
      <w:pPr>
        <w:pStyle w:val="FlushLeft"/>
        <w:tabs>
          <w:tab w:val="clear" w:pos="720"/>
          <w:tab w:val="left" w:pos="1440" w:leader="none"/>
        </w:tabs>
        <w:spacing w:lineRule="auto" w:line="480"/>
        <w:ind w:firstLine="720" w:end="0"/>
        <w:rPr/>
      </w:pPr>
      <w:r>
        <w:rPr/>
      </w:r>
    </w:p>
    <w:p>
      <w:pPr>
        <w:pStyle w:val="FlushLeft"/>
        <w:tabs>
          <w:tab w:val="clear" w:pos="720"/>
          <w:tab w:val="left" w:pos="1440" w:leader="none"/>
        </w:tabs>
        <w:spacing w:lineRule="auto" w:line="480"/>
        <w:ind w:firstLine="720" w:end="0"/>
        <w:rPr/>
      </w:pPr>
      <w:r>
        <w:rPr/>
      </w:r>
    </w:p>
    <w:p>
      <w:pPr>
        <w:pStyle w:val="FlushLeft"/>
        <w:numPr>
          <w:ilvl w:val="0"/>
          <w:numId w:val="2"/>
        </w:numPr>
        <w:spacing w:lineRule="auto" w:line="480"/>
        <w:jc w:val="center"/>
        <w:rPr>
          <w:b/>
          <w:u w:val="single"/>
        </w:rPr>
      </w:pPr>
      <w:r>
        <w:rPr>
          <w:b/>
          <w:u w:val="single"/>
        </w:rPr>
        <w:t xml:space="preserve">Enforceability of ECT's Claim Against NSM for Indemnification </w:t>
      </w:r>
    </w:p>
    <w:p>
      <w:pPr>
        <w:pStyle w:val="FlushLeft"/>
        <w:spacing w:lineRule="auto" w:line="480"/>
        <w:jc w:val="center"/>
        <w:rPr>
          <w:b/>
          <w:u w:val="single"/>
        </w:rPr>
      </w:pPr>
      <w:r>
        <w:rPr>
          <w:b/>
          <w:u w:val="single"/>
        </w:rPr>
        <w:t>Based on the Purchase Agreement</w:t>
      </w:r>
    </w:p>
    <w:p>
      <w:pPr>
        <w:pStyle w:val="FlushLeft"/>
        <w:numPr>
          <w:ilvl w:val="0"/>
          <w:numId w:val="3"/>
        </w:numPr>
        <w:spacing w:lineRule="auto" w:line="480"/>
        <w:jc w:val="center"/>
        <w:rPr>
          <w:b/>
        </w:rPr>
      </w:pPr>
      <w:r>
        <w:rPr>
          <w:b/>
        </w:rPr>
        <w:t>Federal Law</w:t>
      </w:r>
    </w:p>
    <w:p>
      <w:pPr>
        <w:pStyle w:val="FlushLeft"/>
        <w:tabs>
          <w:tab w:val="clear" w:pos="720"/>
          <w:tab w:val="left" w:pos="1440" w:leader="none"/>
        </w:tabs>
        <w:spacing w:lineRule="auto" w:line="480"/>
        <w:ind w:firstLine="720" w:end="0"/>
        <w:rPr/>
      </w:pPr>
      <w:r>
        <w:rPr/>
        <w:tab/>
        <w:t xml:space="preserve">Because all of the Plaintiffs' claims against ECT in the two California Suits are based on state law, not federal law, any issue of the enforceability of the indemnification agreement is governed by state law, not federal law.  The Purchase Agreement provides, in Section 14, that </w:t>
      </w:r>
      <w:r>
        <w:rPr>
          <w:u w:val="single"/>
        </w:rPr>
        <w:t>the Purchase Agreement is governed by the laws of the State of New York</w:t>
      </w:r>
      <w:r>
        <w:rPr/>
        <w:t>.  Under New York law, contracts providing for indemnification against claims based on intentional conduct are not enforceable,</w:t>
      </w:r>
      <w:r>
        <w:rPr>
          <w:rStyle w:val="FootnoteCharacters"/>
          <w:rStyle w:val="FootnoteReference"/>
        </w:rPr>
        <w:footnoteReference w:id="8"/>
      </w:r>
      <w:r>
        <w:rPr/>
        <w:t xml:space="preserve"> but contracts providing for indemnification against claims based on mere negligent conduct </w:t>
      </w:r>
      <w:r>
        <w:rPr>
          <w:u w:val="single"/>
        </w:rPr>
        <w:t>are</w:t>
      </w:r>
      <w:r>
        <w:rPr/>
        <w:t xml:space="preserve"> </w:t>
      </w:r>
      <w:r>
        <w:rPr>
          <w:u w:val="single"/>
        </w:rPr>
        <w:t>enforceable</w:t>
      </w:r>
      <w:r>
        <w:rPr/>
        <w:t>.</w:t>
      </w:r>
      <w:r>
        <w:rPr>
          <w:rStyle w:val="FootnoteCharacters"/>
          <w:rStyle w:val="FootnoteReference"/>
        </w:rPr>
        <w:footnoteReference w:id="9"/>
      </w:r>
      <w:r>
        <w:rPr/>
        <w:t xml:space="preserve">  Hence, in the two California Suits, the indemnification provision in the Purchase Agreement is enforceable against NSM with respect to the two claims in the California Suits that are based upon negligent conduct – the claims for violation of Section 25401 of the California Corporate Securities Law and negligent misrepresentation -- and is not enforceable with respect to the two claims based on intentional conduct -- the claims for violation of Section 25400 of the California Corporate Securities Law and fraud.  Since success by Plaintiffs on either of the two claims that are based on mere alleged negligent conduct by ECT would result in a judgment against ECT for all damages caused by such conduct, ECT's enforceable claim for indemnification against NSM with respect to those two claims should be allowed in NSM's bankruptcy in the full amount of the claims against ECT in the California Suits ($33,500,000 plus attorneys fees).</w:t>
      </w:r>
    </w:p>
    <w:p>
      <w:pPr>
        <w:pStyle w:val="FlushLeft"/>
        <w:spacing w:before="0" w:after="240"/>
        <w:jc w:val="center"/>
        <w:rPr>
          <w:b/>
        </w:rPr>
      </w:pPr>
      <w:r>
        <w:rPr>
          <w:b/>
        </w:rPr>
        <w:t>V.</w:t>
        <w:tab/>
      </w:r>
      <w:r>
        <w:rPr>
          <w:b/>
          <w:u w:val="single"/>
        </w:rPr>
        <w:t>ECT's Claim for Contribution Under California State Law</w:t>
      </w:r>
    </w:p>
    <w:p>
      <w:pPr>
        <w:pStyle w:val="FlushLeft"/>
        <w:tabs>
          <w:tab w:val="clear" w:pos="720"/>
          <w:tab w:val="left" w:pos="1440" w:leader="none"/>
        </w:tabs>
        <w:spacing w:lineRule="auto" w:line="480"/>
        <w:ind w:firstLine="720" w:end="0"/>
        <w:rPr/>
      </w:pPr>
      <w:r>
        <w:rPr/>
        <w:tab/>
        <w:t>Quite apart from the Purchase Agreement and any questions relating to the enforceability of contractual provisions for indemnification, ECT is entitled under California law -- the law applicable to all four claims asserted in the California suits against ECT -- to contribution (partial indemnification) by NSM, based on relative fault, with respect to any judgment entered against ECT in the California suits.  A California statute, Section 25505 of the California Corporate Securities Law, provides for contribution for any claim for violation of the California Corporate Securities Law.</w:t>
      </w:r>
      <w:r>
        <w:rPr>
          <w:rStyle w:val="FootnoteCharacters"/>
          <w:rStyle w:val="FootnoteReference"/>
        </w:rPr>
        <w:footnoteReference w:id="10"/>
      </w:r>
      <w:r>
        <w:rPr/>
        <w:t xml:space="preserve">  California common law provides for contribution for any claim of wrongdoing under California common law.</w:t>
      </w:r>
      <w:r>
        <w:rPr>
          <w:rStyle w:val="FootnoteCharacters"/>
          <w:rStyle w:val="FootnoteReference"/>
        </w:rPr>
        <w:footnoteReference w:id="11"/>
      </w:r>
    </w:p>
    <w:p>
      <w:pPr>
        <w:pStyle w:val="FlushLeft"/>
        <w:tabs>
          <w:tab w:val="clear" w:pos="720"/>
          <w:tab w:val="left" w:pos="1440" w:leader="none"/>
        </w:tabs>
        <w:spacing w:lineRule="auto" w:line="480"/>
        <w:ind w:firstLine="720" w:end="0"/>
        <w:rPr/>
      </w:pPr>
      <w:r>
        <w:rPr/>
        <w:tab/>
        <w:t>In theory, the amount of contribution to which ECT is entitled from NSM is less than 100% of the judgments that may be entered against ECT in the California Suits.  In practice, NSM's fault in connection with untrue statements and positions in the Offering Documents is far greater than ECT's fault in respect, and the contribution owed to ECT by NSM, while not 100% of the judgment, would be a very high percentage of that judgment.</w:t>
      </w:r>
    </w:p>
    <w:p>
      <w:pPr>
        <w:pStyle w:val="FlushLeft"/>
        <w:spacing w:lineRule="auto" w:line="480"/>
        <w:jc w:val="center"/>
        <w:rPr>
          <w:b/>
        </w:rPr>
      </w:pPr>
      <w:r>
        <w:rPr>
          <w:b/>
        </w:rPr>
        <w:t>VI.</w:t>
        <w:tab/>
      </w:r>
      <w:r>
        <w:rPr>
          <w:b/>
          <w:u w:val="single"/>
        </w:rPr>
        <w:t>Future Suits Against ECT Based on NSM Offering Documents</w:t>
      </w:r>
    </w:p>
    <w:p>
      <w:pPr>
        <w:pStyle w:val="FlushLeft"/>
        <w:numPr>
          <w:ilvl w:val="0"/>
          <w:numId w:val="5"/>
        </w:numPr>
        <w:tabs>
          <w:tab w:val="clear" w:pos="720"/>
        </w:tabs>
        <w:spacing w:lineRule="auto" w:line="480"/>
        <w:ind w:hanging="0" w:start="0" w:end="0"/>
        <w:jc w:val="center"/>
        <w:rPr>
          <w:b/>
        </w:rPr>
      </w:pPr>
      <w:r>
        <w:rPr>
          <w:b/>
          <w:u w:val="single"/>
        </w:rPr>
        <w:t>Indemnification</w:t>
      </w:r>
    </w:p>
    <w:p>
      <w:pPr>
        <w:pStyle w:val="FlushLeft"/>
        <w:tabs>
          <w:tab w:val="clear" w:pos="720"/>
          <w:tab w:val="left" w:pos="1440" w:leader="none"/>
        </w:tabs>
        <w:spacing w:lineRule="auto" w:line="480"/>
        <w:ind w:firstLine="720" w:end="0"/>
        <w:rPr>
          <w:u w:val="single"/>
        </w:rPr>
      </w:pPr>
      <w:r>
        <w:rPr/>
        <w:tab/>
        <w:t xml:space="preserve">Future suits against ECT based upon the NSM Offering Documents could be based upon the Federal Securities Statutes or on other law, including laws of the State of California or the laws of some other state in the United States.  If such a suit is based on the Federal Securities Statutes or on any federal or state statute or common law requiring a showing by plaintiff of intentional wrongdoing by ECT, the contractual indemnification provision in the Purchase Agreement will not be enforceable.  However, </w:t>
      </w:r>
      <w:r>
        <w:rPr>
          <w:u w:val="single"/>
        </w:rPr>
        <w:t>to the extent that such future suits are based on federal or state law under which plaintiff need show only negligent conduct by ECT in order to recover, the contractual indemnification provision of the Purchase Agreement will be enforceable by ECT against NSM under governing New York law</w:t>
      </w:r>
      <w:r>
        <w:rPr/>
        <w:t>.</w:t>
      </w:r>
    </w:p>
    <w:p>
      <w:pPr>
        <w:pStyle w:val="FlushLeft"/>
        <w:numPr>
          <w:ilvl w:val="0"/>
          <w:numId w:val="5"/>
        </w:numPr>
        <w:tabs>
          <w:tab w:val="clear" w:pos="720"/>
        </w:tabs>
        <w:spacing w:lineRule="auto" w:line="480"/>
        <w:ind w:hanging="0" w:start="0" w:end="0"/>
        <w:jc w:val="center"/>
        <w:rPr>
          <w:b/>
        </w:rPr>
      </w:pPr>
      <w:r>
        <w:rPr>
          <w:b/>
          <w:u w:val="single"/>
        </w:rPr>
        <w:t>Contribution</w:t>
      </w:r>
    </w:p>
    <w:p>
      <w:pPr>
        <w:pStyle w:val="FlushLeft"/>
        <w:tabs>
          <w:tab w:val="clear" w:pos="720"/>
          <w:tab w:val="left" w:pos="1440" w:leader="none"/>
        </w:tabs>
        <w:spacing w:lineRule="auto" w:line="480"/>
        <w:ind w:firstLine="720" w:end="0"/>
        <w:rPr/>
      </w:pPr>
      <w:r>
        <w:rPr/>
        <w:tab/>
        <w:t>In any future suit, to the extent that the contractual indemnification provision of the Purchase Agreement is not enforceable, ECT will be entitled to contribution in a high percentage from NSM based upon NSM's far greater relative fault than ECT's relative fault.  Contribution based on relative fault is available under the Federal Securities Statutes even though contractual indemnification is not enforceable</w:t>
      </w:r>
      <w:r>
        <w:rPr>
          <w:rStyle w:val="FootnoteCharacters"/>
          <w:rStyle w:val="FootnoteReference"/>
        </w:rPr>
        <w:footnoteReference w:id="12"/>
      </w:r>
      <w:r>
        <w:rPr/>
        <w:t>, and is available under the laws of most of the states in the United States.</w:t>
      </w:r>
      <w:r>
        <w:rPr>
          <w:rStyle w:val="FootnoteCharacters"/>
          <w:rStyle w:val="FootnoteReference"/>
        </w:rPr>
        <w:footnoteReference w:id="13"/>
      </w:r>
      <w:r>
        <w:rPr/>
        <w:t xml:space="preserve"> </w:t>
      </w:r>
    </w:p>
    <w:p>
      <w:pPr>
        <w:pStyle w:val="FlushLeft"/>
        <w:spacing w:lineRule="auto" w:line="480"/>
        <w:rPr/>
      </w:pPr>
      <w:r>
        <w:rPr/>
      </w:r>
    </w:p>
    <w:p>
      <w:pPr>
        <w:pStyle w:val="FlushLeft"/>
        <w:spacing w:lineRule="auto" w:line="480"/>
        <w:rPr/>
      </w:pPr>
      <w:r>
        <w:rPr>
          <w:rStyle w:val="zzmpTrailerItem"/>
        </w:rPr>
        <w:t>LA1:#6190580</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936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9360" w:leader="none"/>
      </w:tabs>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20"/>
          <w:tab w:val="left" w:pos="-720" w:leader="none"/>
        </w:tabs>
        <w:suppressAutoHyphens w:val="true"/>
        <w:rPr/>
      </w:pPr>
      <w:r>
        <w:rPr>
          <w:rStyle w:val="FootnoteCharacters"/>
        </w:rPr>
        <w:footnoteRef/>
      </w:r>
      <w:r>
        <w:rPr>
          <w:sz w:val="22"/>
        </w:rPr>
        <w:t xml:space="preserve"> </w:t>
      </w:r>
      <w:r>
        <w:rPr>
          <w:sz w:val="22"/>
        </w:rPr>
        <w:tab/>
      </w:r>
      <w:r>
        <w:rPr>
          <w:sz w:val="22"/>
          <w:u w:val="single"/>
        </w:rPr>
        <w:t>See</w:t>
      </w:r>
      <w:r>
        <w:rPr>
          <w:sz w:val="22"/>
        </w:rPr>
        <w:t xml:space="preserve"> </w:t>
      </w:r>
      <w:r>
        <w:rPr>
          <w:sz w:val="22"/>
          <w:u w:val="single"/>
        </w:rPr>
        <w:t>Stewart v. American International Oil Co.</w:t>
      </w:r>
      <w:r>
        <w:rPr>
          <w:sz w:val="22"/>
        </w:rPr>
        <w:t xml:space="preserve">, 845 F.2d 196 (9th Cir. 1988) (claims for indemnification in a case involving violations of section 10(b) of the 1934 Act were against public policy); </w:t>
      </w:r>
      <w:r>
        <w:rPr>
          <w:sz w:val="22"/>
          <w:u w:val="single"/>
        </w:rPr>
        <w:t>Stowell v. Ted S. Finkel Inv. Services, Inc.</w:t>
      </w:r>
      <w:r>
        <w:rPr>
          <w:sz w:val="22"/>
        </w:rPr>
        <w:t>, 641 F.2d 323, 325 (5th Cir. 1981)(“The 1933 and 1934 Acts ‘do not provide anywhere for indemnification under any circumstances.’"(</w:t>
      </w:r>
      <w:r>
        <w:rPr>
          <w:sz w:val="22"/>
          <w:u w:val="single"/>
        </w:rPr>
        <w:t>citing</w:t>
      </w:r>
      <w:r>
        <w:rPr>
          <w:sz w:val="22"/>
        </w:rPr>
        <w:t xml:space="preserve"> </w:t>
      </w:r>
      <w:r>
        <w:rPr>
          <w:sz w:val="22"/>
          <w:u w:val="single"/>
        </w:rPr>
        <w:t>Heizer Corp. V. Ross</w:t>
      </w:r>
      <w:r>
        <w:rPr>
          <w:sz w:val="22"/>
        </w:rPr>
        <w:t xml:space="preserve">, 601 F.2d 330, 334 (7th Cir. 1979)) and </w:t>
      </w:r>
      <w:r>
        <w:rPr>
          <w:sz w:val="22"/>
          <w:u w:val="single"/>
        </w:rPr>
        <w:t>Globus v. Law Research Service, Inc.</w:t>
      </w:r>
      <w:r>
        <w:rPr>
          <w:sz w:val="22"/>
        </w:rPr>
        <w:t xml:space="preserve">, 418 F.2d 1276, 1288 (2nd Cir. 1969), </w:t>
      </w:r>
      <w:r>
        <w:rPr>
          <w:sz w:val="22"/>
          <w:u w:val="single"/>
        </w:rPr>
        <w:t>cert. denied</w:t>
      </w:r>
      <w:r>
        <w:rPr>
          <w:sz w:val="22"/>
        </w:rPr>
        <w:t xml:space="preserve">, 397 U.S. 913, 90 C. Ct. 913, 25 L.Ed.2d 93 (1970)(refusing to endorse underwriter’s indemnity agreement with issuing corporation, noting that “Congress intended to impose a ‘high standard of trusteeship’ on underwriters”); </w:t>
      </w:r>
      <w:r>
        <w:rPr>
          <w:sz w:val="22"/>
          <w:u w:val="single"/>
        </w:rPr>
        <w:t>In re Wilshire Technologies Sec. Litig.</w:t>
      </w:r>
      <w:r>
        <w:rPr>
          <w:sz w:val="22"/>
        </w:rPr>
        <w:t>, 887 F. Supp. 236 (S.D. Cal. 1995)(holding that an indemnity agreement between an issuer and an underwriter as void as against public policy underlying the 1933 Act).</w:t>
      </w:r>
    </w:p>
    <w:p>
      <w:pPr>
        <w:pStyle w:val="FootnoteText"/>
        <w:rPr>
          <w:sz w:val="22"/>
        </w:rPr>
      </w:pPr>
      <w:r>
        <w:rPr>
          <w:sz w:val="22"/>
        </w:rPr>
      </w:r>
    </w:p>
    <w:p>
      <w:pPr>
        <w:pStyle w:val="FootnoteText"/>
        <w:rPr/>
      </w:pPr>
      <w:r>
        <w:rPr/>
      </w:r>
    </w:p>
  </w:footnote>
  <w:footnote w:id="3">
    <w:p>
      <w:pPr>
        <w:pStyle w:val="FootnoteText"/>
        <w:rPr/>
      </w:pPr>
      <w:r>
        <w:rPr>
          <w:rStyle w:val="FootnoteCharacters"/>
        </w:rPr>
        <w:footnoteRef/>
      </w:r>
      <w:r>
        <w:rPr/>
        <w:t xml:space="preserve"> </w:t>
      </w:r>
      <w:r>
        <w:rPr/>
        <w:tab/>
        <w:t xml:space="preserve">Plaintiffs' claims for fraud and negligent misrepresentation are based, in part, on an alleged violation of California Civil Code Sections 1709 &amp; 1710.  Section 1709 allows a plaintiff to collect damages for "deceit."  Section 1710, in turn, defines "deceit" as </w:t>
      </w:r>
      <w:r>
        <w:rPr>
          <w:u w:val="single"/>
        </w:rPr>
        <w:t>either</w:t>
      </w:r>
      <w:r>
        <w:rPr/>
        <w:t xml:space="preserve"> (1) making a representation with knowledge that it is untrue, </w:t>
      </w:r>
      <w:r>
        <w:rPr>
          <w:u w:val="single"/>
        </w:rPr>
        <w:t>i.e.</w:t>
      </w:r>
      <w:r>
        <w:rPr/>
        <w:t xml:space="preserve"> fraud; or (2) making a representation </w:t>
      </w:r>
      <w:r>
        <w:rPr>
          <w:u w:val="single"/>
        </w:rPr>
        <w:t>without having a reasonable ground</w:t>
      </w:r>
      <w:r>
        <w:rPr/>
        <w:t xml:space="preserve"> for believing that it is true, </w:t>
      </w:r>
      <w:r>
        <w:rPr>
          <w:u w:val="single"/>
        </w:rPr>
        <w:t>i.e.</w:t>
      </w:r>
      <w:r>
        <w:rPr/>
        <w:t xml:space="preserve"> negligence, regardless of whether the person making that representation believes that it is true.  Thus, under California law, "deceit" can be </w:t>
      </w:r>
      <w:r>
        <w:rPr>
          <w:u w:val="single"/>
        </w:rPr>
        <w:t>either</w:t>
      </w:r>
      <w:r>
        <w:rPr/>
        <w:t xml:space="preserve"> an "intentional" misrepresentation (fraud) or a "negligent" misrepresentation.</w:t>
      </w:r>
    </w:p>
    <w:p>
      <w:pPr>
        <w:pStyle w:val="FootnoteText"/>
        <w:rPr/>
      </w:pPr>
      <w:r>
        <w:rPr/>
      </w:r>
    </w:p>
  </w:footnote>
  <w:footnote w:id="4">
    <w:p>
      <w:pPr>
        <w:pStyle w:val="Normal"/>
        <w:rPr/>
      </w:pPr>
      <w:r>
        <w:rPr>
          <w:rStyle w:val="FootnoteCharacters"/>
        </w:rPr>
        <w:footnoteRef/>
      </w:r>
      <w:r>
        <w:rPr>
          <w:sz w:val="22"/>
        </w:rPr>
        <w:t xml:space="preserve"> </w:t>
      </w:r>
      <w:r>
        <w:rPr>
          <w:sz w:val="22"/>
        </w:rPr>
        <w:tab/>
        <w:t xml:space="preserve">Section 25400(d) of the California Corporate Securities Law Section provides, in part, that it is unlawful for any ". . . person selling or offering for sale or purchasing or offering to purchase the security, to make, for the purpose of inducing the purchase or sale of such security by others, any statement which was, at the time and in the light of the circumstances under which it was made, false or misleading with respect to any material fact . . . (West 1999).  Civil liability for a violation of Section 25400 is provided for in Section 25500 which provides civil liability for "[a]ny person who </w:t>
      </w:r>
      <w:r>
        <w:rPr>
          <w:i/>
          <w:sz w:val="22"/>
        </w:rPr>
        <w:t>willfully participates</w:t>
      </w:r>
      <w:r>
        <w:rPr>
          <w:sz w:val="22"/>
        </w:rPr>
        <w:t xml:space="preserve"> in any act or transaction in violation of Section 25400 shall be liable to any other person who purchases . . . any security at a price which was affected by such act or transaction . . . "  (West 1999) (emphasis added).  Section 25500 thus requires that "the defendant </w:t>
      </w:r>
      <w:r>
        <w:rPr>
          <w:i/>
          <w:sz w:val="22"/>
        </w:rPr>
        <w:t>intentionally</w:t>
      </w:r>
      <w:r>
        <w:rPr>
          <w:sz w:val="22"/>
        </w:rPr>
        <w:t xml:space="preserve"> engage in conduct prohibited by" Section 25400.  1 Marsh &amp; Volk, </w:t>
      </w:r>
      <w:r>
        <w:rPr>
          <w:i/>
          <w:sz w:val="22"/>
        </w:rPr>
        <w:t>Practice Under the California Securities Laws</w:t>
      </w:r>
      <w:r>
        <w:rPr>
          <w:sz w:val="22"/>
        </w:rPr>
        <w:t xml:space="preserve">, § 14.05[3][b], p. 14-51 (1999) (emphasis added). </w:t>
      </w:r>
    </w:p>
    <w:p>
      <w:pPr>
        <w:pStyle w:val="FootnoteText"/>
        <w:rPr/>
      </w:pPr>
      <w:r>
        <w:rPr/>
      </w:r>
    </w:p>
  </w:footnote>
  <w:footnote w:id="5">
    <w:p>
      <w:pPr>
        <w:pStyle w:val="FootnoteText"/>
        <w:rPr/>
      </w:pPr>
      <w:r>
        <w:rPr>
          <w:rStyle w:val="FootnoteCharacters"/>
        </w:rPr>
        <w:footnoteRef/>
      </w:r>
      <w:r>
        <w:rPr/>
        <w:t xml:space="preserve"> </w:t>
      </w:r>
      <w:r>
        <w:rPr/>
        <w:tab/>
        <w:t xml:space="preserve">The elements of a cause of action for fraud are (1) a false representation; (2) </w:t>
      </w:r>
      <w:r>
        <w:rPr>
          <w:u w:val="single"/>
        </w:rPr>
        <w:t>knowledge of the falsity</w:t>
      </w:r>
      <w:r>
        <w:rPr/>
        <w:t xml:space="preserve">; (3) </w:t>
      </w:r>
      <w:r>
        <w:rPr>
          <w:u w:val="single"/>
        </w:rPr>
        <w:t>intent to deceive</w:t>
      </w:r>
      <w:r>
        <w:rPr/>
        <w:t xml:space="preserve">; and (4) reliance and resulting damage.  </w:t>
      </w:r>
      <w:r>
        <w:rPr>
          <w:u w:val="single"/>
        </w:rPr>
        <w:t>Winn v. McCulloch Corp.</w:t>
      </w:r>
      <w:r>
        <w:rPr/>
        <w:t xml:space="preserve">, 60 Cal. App. 3d 663, 670 (1976) (emphasis added).  Fraud is an intentional tort, and the element of fraudulent intent, or intent to deceive, distinguishes it from a negligent misrepresentation.  </w:t>
      </w:r>
      <w:r>
        <w:rPr>
          <w:u w:val="single"/>
        </w:rPr>
        <w:t>Sun 'N Sand v. United Cal. Bank</w:t>
      </w:r>
      <w:r>
        <w:rPr/>
        <w:t xml:space="preserve">, 21 Cal. 3d 671, 703 (1978).    </w:t>
      </w:r>
    </w:p>
    <w:p>
      <w:pPr>
        <w:pStyle w:val="FootnoteText"/>
        <w:rPr/>
      </w:pPr>
      <w:r>
        <w:rPr/>
      </w:r>
    </w:p>
  </w:footnote>
  <w:footnote w:id="6">
    <w:p>
      <w:pPr>
        <w:pStyle w:val="FootnoteText"/>
        <w:rPr/>
      </w:pPr>
      <w:r>
        <w:rPr>
          <w:rStyle w:val="FootnoteCharacters"/>
        </w:rPr>
        <w:footnoteRef/>
      </w:r>
      <w:r>
        <w:rPr/>
        <w:t xml:space="preserve"> </w:t>
      </w:r>
      <w:r>
        <w:rPr/>
        <w:tab/>
        <w:t xml:space="preserve">Section 25401 makes it unlawful for any person "to offer or sell a security in this state . . . by means of any written or oral communication which includes an untrue statement of a material fact or omits to state a material fact necessary in order to make the statements made, in light of the circumstances under which they were made misleading."  (West 1999).  Civil liability for a violation of Section 25401 is provided for in Section 25501 which provides that "any person who violates Section 25401 shall be liable to the person who purchases a security from him or sells a security to him . . . unless the defendant proves that the plaintiff knew the facts concerning the untruth or omission or that the defendant </w:t>
      </w:r>
      <w:r>
        <w:rPr>
          <w:i/>
        </w:rPr>
        <w:t>exercised reasonable care</w:t>
      </w:r>
      <w:r>
        <w:rPr/>
        <w:t xml:space="preserve"> and did not know (or if he had exercised reasonable care would not have known) of the untruth or omission."  (West 1999) (emphasis added). </w:t>
      </w:r>
    </w:p>
    <w:p>
      <w:pPr>
        <w:pStyle w:val="FootnoteText"/>
        <w:rPr/>
      </w:pPr>
      <w:r>
        <w:rPr/>
      </w:r>
    </w:p>
  </w:footnote>
  <w:footnote w:id="7">
    <w:p>
      <w:pPr>
        <w:pStyle w:val="FootnoteText"/>
        <w:rPr/>
      </w:pPr>
      <w:r>
        <w:rPr>
          <w:rStyle w:val="FootnoteCharacters"/>
        </w:rPr>
        <w:footnoteRef/>
      </w:r>
      <w:r>
        <w:rPr/>
        <w:t xml:space="preserve"> </w:t>
      </w:r>
      <w:r>
        <w:rPr/>
        <w:tab/>
      </w:r>
      <w:r>
        <w:rPr>
          <w:u w:val="single"/>
        </w:rPr>
        <w:t>See</w:t>
      </w:r>
      <w:r>
        <w:rPr/>
        <w:t xml:space="preserve"> </w:t>
      </w:r>
      <w:r>
        <w:rPr>
          <w:u w:val="single"/>
          <w:lang w:eastAsia="en-US"/>
        </w:rPr>
        <w:t>Ventura County Nat. Bank. v. Macker</w:t>
      </w:r>
      <w:r>
        <w:rPr>
          <w:lang w:eastAsia="en-US"/>
        </w:rPr>
        <w:t>, 49 Cal. App. 4th 1528, 1531 (1996)</w:t>
      </w:r>
      <w:r>
        <w:rPr/>
        <w:t xml:space="preserve"> (n</w:t>
      </w:r>
      <w:r>
        <w:rPr>
          <w:lang w:eastAsia="en-US"/>
        </w:rPr>
        <w:t xml:space="preserve">egligent misrepresentation is a form of negligence); </w:t>
      </w:r>
      <w:r>
        <w:rPr>
          <w:color w:val="000000"/>
          <w:u w:val="single"/>
        </w:rPr>
        <w:t>B.L.M. v. Sabo &amp; Deitsch</w:t>
      </w:r>
      <w:r>
        <w:rPr/>
        <w:t xml:space="preserve">, 55 Cal. App. 4th 823, 843 (1997) (negligent misrepresentation only requires intent to induce plaintiff into reliance upon a false representation, even if the person making such representation did not know it was false at the time he or she made it). </w:t>
      </w:r>
    </w:p>
    <w:p>
      <w:pPr>
        <w:pStyle w:val="FootnoteText"/>
        <w:rPr/>
      </w:pPr>
      <w:r>
        <w:rPr/>
      </w:r>
    </w:p>
  </w:footnote>
  <w:footnote w:id="8">
    <w:p>
      <w:pPr>
        <w:pStyle w:val="FootnoteText"/>
        <w:rPr/>
      </w:pPr>
      <w:r>
        <w:rPr>
          <w:rStyle w:val="FootnoteCharacters"/>
        </w:rPr>
        <w:footnoteRef/>
      </w:r>
      <w:r>
        <w:rPr/>
        <w:tab/>
      </w:r>
      <w:r>
        <w:rPr>
          <w:u w:val="single"/>
        </w:rPr>
        <w:t>See</w:t>
      </w:r>
      <w:r>
        <w:rPr/>
        <w:t xml:space="preserve">, </w:t>
      </w:r>
      <w:r>
        <w:rPr>
          <w:u w:val="single"/>
        </w:rPr>
        <w:t>Austro v. Niagra Mohawk Pwr. Corp</w:t>
      </w:r>
      <w:r>
        <w:rPr/>
        <w:t xml:space="preserve">., 66 N.Y. 2d 674 (1985) ("Indemnification agreements are unenforceable as violative of public policy only to the extent that they purport to indemnify a party for damages flowing from the intentional causation of injury."); </w:t>
      </w:r>
      <w:r>
        <w:rPr>
          <w:u w:val="single"/>
        </w:rPr>
        <w:t>Public Service Mut. Ins. Co. v. Goldfarb</w:t>
      </w:r>
      <w:r>
        <w:rPr/>
        <w:t xml:space="preserve">, 53 N.Y.2d 392 (1981); ("One who intentionally injures another may not be indemnified for any civil liability thus incurred."); </w:t>
      </w:r>
      <w:r>
        <w:rPr>
          <w:u w:val="single"/>
        </w:rPr>
        <w:t>Great Northern Assoc., Inc. v. Continental Casualty Co.</w:t>
      </w:r>
      <w:r>
        <w:rPr/>
        <w:t xml:space="preserve">, 596 N.Y.S. 2d 938 (1993) (indemnification contracts for losses caused by intentional misconduct are void as violative of public policy).  California law is the same.  Cal. Civ. Code § 1668 (contracts for indemnification of acts of fraud, or other willful injury, are against California public policy and therefore unenforceable); </w:t>
      </w:r>
      <w:r>
        <w:rPr>
          <w:u w:val="single"/>
        </w:rPr>
        <w:t>see</w:t>
      </w:r>
      <w:r>
        <w:rPr/>
        <w:t xml:space="preserve">, </w:t>
      </w:r>
      <w:r>
        <w:rPr>
          <w:u w:val="single"/>
        </w:rPr>
        <w:t>e.g.</w:t>
      </w:r>
      <w:r>
        <w:rPr/>
        <w:t xml:space="preserve">, </w:t>
      </w:r>
      <w:r>
        <w:rPr>
          <w:u w:val="single"/>
        </w:rPr>
        <w:t>J.B. Aguerre, Inc. v. American Guarantee &amp; Liability Ins. Co.</w:t>
      </w:r>
      <w:r>
        <w:rPr/>
        <w:t>, 59 Cal.App. 4th 6, 14 (1997) (applying Cal. Civ. Code § 1668 in holding that public policy bars indemnification against punitive damages awards).</w:t>
      </w:r>
    </w:p>
    <w:p>
      <w:pPr>
        <w:pStyle w:val="FootnoteText"/>
        <w:rPr/>
      </w:pPr>
      <w:r>
        <w:rPr/>
      </w:r>
    </w:p>
  </w:footnote>
  <w:footnote w:id="9">
    <w:p>
      <w:pPr>
        <w:pStyle w:val="FootnoteText"/>
        <w:rPr/>
      </w:pPr>
      <w:r>
        <w:rPr>
          <w:rStyle w:val="FootnoteCharacters"/>
        </w:rPr>
        <w:footnoteRef/>
      </w:r>
      <w:r>
        <w:rPr/>
        <w:t xml:space="preserve"> </w:t>
      </w:r>
      <w:r>
        <w:rPr/>
        <w:tab/>
      </w:r>
      <w:r>
        <w:rPr>
          <w:u w:val="single"/>
        </w:rPr>
        <w:t>See</w:t>
      </w:r>
      <w:r>
        <w:rPr/>
        <w:t xml:space="preserve"> </w:t>
      </w:r>
      <w:r>
        <w:rPr>
          <w:u w:val="single"/>
        </w:rPr>
        <w:t>Roberts v. Consolidated Rail Corp</w:t>
      </w:r>
      <w:r>
        <w:rPr/>
        <w:t>., 893 F.2d 21 (2</w:t>
      </w:r>
      <w:r>
        <w:rPr>
          <w:vertAlign w:val="superscript"/>
        </w:rPr>
        <w:t>nd</w:t>
      </w:r>
      <w:r>
        <w:rPr/>
        <w:t xml:space="preserve"> Cir. 1989)("New York courts previously have not declined to enforce contracts in which one party indemnifies another for its own negligence.") </w:t>
      </w:r>
      <w:r>
        <w:rPr>
          <w:u w:val="single"/>
        </w:rPr>
        <w:t>citing</w:t>
      </w:r>
      <w:r>
        <w:rPr/>
        <w:t xml:space="preserve"> </w:t>
      </w:r>
      <w:r>
        <w:rPr>
          <w:u w:val="single"/>
        </w:rPr>
        <w:t>Jordan v. City of New York</w:t>
      </w:r>
      <w:r>
        <w:rPr/>
        <w:t xml:space="preserve">, 162 N.Y.S.2d 145 (1957); </w:t>
      </w:r>
      <w:r>
        <w:rPr>
          <w:u w:val="single"/>
        </w:rPr>
        <w:t>Austro v. Niagra Mohawk Pwr. Corp</w:t>
      </w:r>
      <w:r>
        <w:rPr/>
        <w:t xml:space="preserve">., 66 N.Y.2d 674 (1985); </w:t>
      </w:r>
      <w:r>
        <w:rPr>
          <w:u w:val="single"/>
        </w:rPr>
        <w:t>Public Svc. Mut. Ins. Co. v. Goldfarb</w:t>
      </w:r>
      <w:r>
        <w:rPr/>
        <w:t xml:space="preserve">, 53 N.Y.2d 392 ('Where no finding of an intent to injure has been made, nothing in the public policy of this State precludes indemnify for compensatory damages flowing from a defendant's volitional act."). California law is the same.  </w:t>
      </w:r>
      <w:r>
        <w:rPr>
          <w:color w:val="000000"/>
          <w:u w:val="single"/>
        </w:rPr>
        <w:t>Heppler v. J.M. Peters Co.</w:t>
      </w:r>
      <w:r>
        <w:rPr>
          <w:color w:val="000000"/>
        </w:rPr>
        <w:t xml:space="preserve">, </w:t>
      </w:r>
      <w:r>
        <w:rPr/>
        <w:t xml:space="preserve">73 Cal. App. 4th 1265, 1277 (1999) </w:t>
      </w:r>
      <w:r>
        <w:rPr>
          <w:color w:val="000000"/>
        </w:rPr>
        <w:t xml:space="preserve">("freedom of contract" principle allows parties to agree that one will indemnify the other for acts of negligence); </w:t>
      </w:r>
      <w:r>
        <w:rPr>
          <w:u w:val="single"/>
        </w:rPr>
        <w:t>E.L. White, Inc. v. City of Huntington Beach</w:t>
      </w:r>
      <w:r>
        <w:rPr/>
        <w:t xml:space="preserve">, </w:t>
      </w:r>
      <w:r>
        <w:rPr>
          <w:color w:val="000000"/>
        </w:rPr>
        <w:t>21 Cal. 3d 497, 579 (1978) (same).</w:t>
      </w:r>
      <w:r>
        <w:rPr/>
        <w:t xml:space="preserve"> </w:t>
      </w:r>
    </w:p>
    <w:p>
      <w:pPr>
        <w:pStyle w:val="FootnoteText"/>
        <w:rPr/>
      </w:pPr>
      <w:r>
        <w:rPr/>
      </w:r>
    </w:p>
  </w:footnote>
  <w:footnote w:id="10">
    <w:p>
      <w:pPr>
        <w:pStyle w:val="FootnoteText"/>
        <w:rPr/>
      </w:pPr>
      <w:r>
        <w:rPr>
          <w:rStyle w:val="FootnoteCharacters"/>
        </w:rPr>
        <w:footnoteRef/>
      </w:r>
      <w:r>
        <w:rPr/>
        <w:t xml:space="preserve"> </w:t>
      </w:r>
      <w:r>
        <w:rPr/>
        <w:tab/>
      </w:r>
      <w:r>
        <w:rPr>
          <w:u w:val="single"/>
        </w:rPr>
        <w:t>See</w:t>
      </w:r>
      <w:r>
        <w:rPr/>
        <w:t xml:space="preserve">, </w:t>
      </w:r>
      <w:r>
        <w:rPr>
          <w:u w:val="single"/>
        </w:rPr>
        <w:t>Nelson v. Quimby Island Reclamation Dist.</w:t>
      </w:r>
      <w:r>
        <w:rPr/>
        <w:t xml:space="preserve">, 491 F.Supp. 1364, 1383 (N. D. Cal. 1980); </w:t>
      </w:r>
      <w:r>
        <w:rPr>
          <w:u w:val="single"/>
        </w:rPr>
        <w:t>Harrison v. Sheats</w:t>
      </w:r>
      <w:r>
        <w:rPr/>
        <w:t>, 608 F.Supp. 502, 505 (E.D. Cal. 1985).</w:t>
      </w:r>
    </w:p>
    <w:p>
      <w:pPr>
        <w:pStyle w:val="FootnoteText"/>
        <w:rPr/>
      </w:pPr>
      <w:r>
        <w:rPr/>
      </w:r>
    </w:p>
  </w:footnote>
  <w:footnote w:id="11">
    <w:p>
      <w:pPr>
        <w:pStyle w:val="FootnoteText"/>
        <w:rPr/>
      </w:pPr>
      <w:r>
        <w:rPr>
          <w:rStyle w:val="FootnoteCharacters"/>
        </w:rPr>
        <w:footnoteRef/>
      </w:r>
      <w:r>
        <w:rPr/>
        <w:t xml:space="preserve"> </w:t>
      </w:r>
      <w:r>
        <w:rPr/>
        <w:tab/>
      </w:r>
      <w:r>
        <w:rPr>
          <w:u w:val="single"/>
        </w:rPr>
        <w:t>American Motorcycle Assn. v. Superior Court</w:t>
      </w:r>
      <w:r>
        <w:rPr/>
        <w:t xml:space="preserve">, 20 Cal.3d 578 (1978)(equitable indemnify applied among multiple negligent tortfeasors); </w:t>
      </w:r>
      <w:r>
        <w:rPr>
          <w:u w:val="single"/>
        </w:rPr>
        <w:t>Safeway Stores, Inc. v. Nest-Kart</w:t>
      </w:r>
      <w:r>
        <w:rPr/>
        <w:t xml:space="preserve">, 21 Cal.3d 322 (1978) equitable indemnity applied among negligent defendants and strictly liable defendants); </w:t>
      </w:r>
      <w:r>
        <w:rPr>
          <w:u w:val="single"/>
        </w:rPr>
        <w:t>Baird v. Jones</w:t>
      </w:r>
      <w:r>
        <w:rPr/>
        <w:t>, 21 Cal. App. 4</w:t>
      </w:r>
      <w:r>
        <w:rPr>
          <w:vertAlign w:val="superscript"/>
        </w:rPr>
        <w:t>th</w:t>
      </w:r>
      <w:r>
        <w:rPr/>
        <w:t xml:space="preserve"> 684 (1993) (equitable indemnification applied among intentional tortfeasors).</w:t>
      </w:r>
    </w:p>
    <w:p>
      <w:pPr>
        <w:pStyle w:val="FootnoteText"/>
        <w:rPr/>
      </w:pPr>
      <w:r>
        <w:rPr/>
      </w:r>
    </w:p>
  </w:footnote>
  <w:footnote w:id="12">
    <w:p>
      <w:pPr>
        <w:pStyle w:val="FootnoteText"/>
        <w:rPr/>
      </w:pPr>
      <w:r>
        <w:rPr>
          <w:rStyle w:val="FootnoteCharacters"/>
        </w:rPr>
        <w:footnoteRef/>
      </w:r>
      <w:r>
        <w:rPr/>
        <w:t xml:space="preserve">  </w:t>
      </w:r>
      <w:r>
        <w:rPr/>
        <w:tab/>
      </w:r>
      <w:r>
        <w:rPr>
          <w:u w:val="single"/>
        </w:rPr>
        <w:t>See</w:t>
      </w:r>
      <w:r>
        <w:rPr/>
        <w:t xml:space="preserve">, </w:t>
      </w:r>
      <w:r>
        <w:rPr>
          <w:u w:val="single"/>
        </w:rPr>
        <w:t>Musick Peeler &amp; Garrett v. Employers Ins. Of Wausau</w:t>
      </w:r>
      <w:r>
        <w:rPr/>
        <w:t xml:space="preserve">, 508 U.S. 286, 113 S. Ct. 2085 ("we hold that defendants in a 10b-5 action have a right to seek contribution as a matter of federal law."); </w:t>
      </w:r>
      <w:r>
        <w:rPr>
          <w:u w:val="single"/>
        </w:rPr>
        <w:t>Nelson v. Quimby Island Reclamation</w:t>
      </w:r>
      <w:r>
        <w:rPr/>
        <w:t xml:space="preserve">, </w:t>
      </w:r>
      <w:r>
        <w:rPr>
          <w:u w:val="single"/>
        </w:rPr>
        <w:t>supra</w:t>
      </w:r>
      <w:r>
        <w:rPr/>
        <w:t>, 491 F.Supp. at 1383 ("a party is permitted to receive contribution, even if found to have violated § 10(b), Rule 10B-5, § 17(a), and § 12(d).").</w:t>
      </w:r>
    </w:p>
    <w:p>
      <w:pPr>
        <w:pStyle w:val="FootnoteText"/>
        <w:rPr/>
      </w:pPr>
      <w:r>
        <w:rPr/>
      </w:r>
    </w:p>
  </w:footnote>
  <w:footnote w:id="13">
    <w:p>
      <w:pPr>
        <w:pStyle w:val="Normal"/>
        <w:rPr>
          <w:rFonts w:ascii="Arial" w:hAnsi="Arial" w:cs="Arial"/>
          <w:sz w:val="22"/>
          <w:lang w:eastAsia="en-US"/>
        </w:rPr>
      </w:pPr>
      <w:r>
        <w:rPr>
          <w:rStyle w:val="FootnoteCharacters"/>
        </w:rPr>
        <w:footnoteRef/>
      </w:r>
      <w:r>
        <w:rPr>
          <w:sz w:val="22"/>
        </w:rPr>
        <w:t xml:space="preserve"> </w:t>
      </w:r>
      <w:r>
        <w:rPr>
          <w:sz w:val="22"/>
        </w:rPr>
        <w:tab/>
      </w:r>
      <w:r>
        <w:rPr>
          <w:sz w:val="22"/>
          <w:u w:val="single"/>
        </w:rPr>
        <w:t>See</w:t>
      </w:r>
      <w:r>
        <w:rPr>
          <w:sz w:val="22"/>
        </w:rPr>
        <w:t xml:space="preserve"> </w:t>
      </w:r>
      <w:r>
        <w:rPr>
          <w:sz w:val="22"/>
          <w:u w:val="single"/>
        </w:rPr>
        <w:t>e.g.</w:t>
      </w:r>
      <w:r>
        <w:rPr>
          <w:sz w:val="22"/>
        </w:rPr>
        <w:t xml:space="preserve">, </w:t>
      </w:r>
      <w:r>
        <w:rPr>
          <w:sz w:val="22"/>
          <w:u w:val="single"/>
          <w:lang w:eastAsia="en-US"/>
        </w:rPr>
        <w:t>Robillard v. Asahi Chemical Industry Co.</w:t>
      </w:r>
      <w:r>
        <w:rPr>
          <w:sz w:val="22"/>
          <w:lang w:eastAsia="en-US"/>
        </w:rPr>
        <w:t xml:space="preserve">, 695 A.2d 1087, 1094-1095 (1995) (Connecticut law - contribution action available, based on comparative fault, pursuant to apportionment statute, Conn. Gen. Stat. § 52-572h); </w:t>
      </w:r>
      <w:r>
        <w:rPr>
          <w:sz w:val="22"/>
          <w:u w:val="single"/>
          <w:lang w:eastAsia="en-US"/>
        </w:rPr>
        <w:t>Horton v. Orbeth, Inc.</w:t>
      </w:r>
      <w:r>
        <w:rPr>
          <w:sz w:val="22"/>
          <w:lang w:eastAsia="en-US"/>
        </w:rPr>
        <w:t xml:space="preserve">, 342 N.W.2d 1102, 113-114 (1984) (Minnesota law - defendant may seek contribution from joint tortfeasor based on his relative fault, under Minn. Stat. § 604.01, as long as joint tortfeasor's percentage of fault is greater than that of the defendant); </w:t>
      </w:r>
      <w:r>
        <w:rPr>
          <w:sz w:val="22"/>
          <w:u w:val="single"/>
          <w:lang w:eastAsia="en-US"/>
        </w:rPr>
        <w:t>Perello v. Woods</w:t>
      </w:r>
      <w:r>
        <w:rPr>
          <w:sz w:val="22"/>
          <w:lang w:eastAsia="en-US"/>
        </w:rPr>
        <w:t>, 485 A.2d 350, 351-352 (1984) (New Jersey law - contribution action available for comparative fault under New Jersey's "Joint Torfeasors Contribution Law").</w:t>
      </w:r>
    </w:p>
    <w:p>
      <w:pPr>
        <w:pStyle w:val="FlushLeft"/>
        <w:tabs>
          <w:tab w:val="left" w:pos="720" w:leader="none"/>
          <w:tab w:val="left" w:pos="1440" w:leader="none"/>
        </w:tabs>
        <w:rPr>
          <w:rFonts w:ascii="Arial" w:hAnsi="Arial" w:cs="Arial"/>
          <w:sz w:val="22"/>
          <w:lang w:eastAsia="en-US"/>
        </w:rPr>
      </w:pPr>
      <w:r>
        <w:rPr>
          <w:rFonts w:cs="Arial" w:ascii="Arial" w:hAnsi="Arial"/>
          <w:sz w:val="22"/>
          <w:lang w:eastAsia="en-US"/>
        </w:rPr>
      </w:r>
    </w:p>
    <w:p>
      <w:pPr>
        <w:pStyle w:val="FootnoteText"/>
        <w:rPr/>
      </w:pPr>
      <w:r>
        <w:rPr/>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upperRoman"/>
      <w:lvlText w:val="%1."/>
      <w:lvlJc w:val="start"/>
      <w:pPr>
        <w:tabs>
          <w:tab w:val="num" w:pos="720"/>
        </w:tabs>
        <w:ind w:start="720" w:hanging="720"/>
      </w:pPr>
      <w:rPr>
        <w:u w:val="none"/>
      </w:rPr>
    </w:lvl>
  </w:abstractNum>
  <w:abstractNum w:abstractNumId="3">
    <w:lvl w:ilvl="0">
      <w:start w:val="1"/>
      <w:numFmt w:val="upperLetter"/>
      <w:lvlText w:val="%1."/>
      <w:lvlJc w:val="start"/>
      <w:pPr>
        <w:tabs>
          <w:tab w:val="num" w:pos="720"/>
        </w:tabs>
        <w:ind w:start="720" w:hanging="720"/>
      </w:pPr>
      <w:rPr/>
    </w:lvl>
  </w:abstractNum>
  <w:abstractNum w:abstractNumId="4">
    <w:lvl w:ilvl="0">
      <w:start w:val="2"/>
      <w:numFmt w:val="upperLetter"/>
      <w:lvlText w:val="%1."/>
      <w:lvlJc w:val="start"/>
      <w:pPr>
        <w:tabs>
          <w:tab w:val="num" w:pos="720"/>
        </w:tabs>
        <w:ind w:start="720" w:hanging="720"/>
      </w:pPr>
      <w:rPr/>
    </w:lvl>
  </w:abstractNum>
  <w:abstractNum w:abstractNumId="5">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zzmpFixedDOC_ID" w:val="LA1:#6190580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240" w:after="240"/>
      <w:ind w:hanging="0" w:start="0" w:end="0"/>
      <w:jc w:val="center"/>
    </w:pPr>
    <w:rPr/>
  </w:style>
  <w:style w:type="paragraph" w:styleId="Heading2Para">
    <w:name w:val="Heading2Para"/>
    <w:basedOn w:val="BodyText"/>
    <w:next w:val="BodyText"/>
    <w:qFormat/>
    <w:pPr>
      <w:widowControl/>
      <w:spacing w:lineRule="auto" w:line="240" w:before="240" w:after="240"/>
      <w:ind w:hanging="0" w:start="0" w:end="0"/>
    </w:pPr>
    <w:rPr/>
  </w:style>
  <w:style w:type="paragraph" w:styleId="Heading3Para">
    <w:name w:val="Heading3Para"/>
    <w:basedOn w:val="BodyText"/>
    <w:next w:val="BodyText"/>
    <w:qFormat/>
    <w:pPr>
      <w:widowControl/>
      <w:spacing w:lineRule="auto" w:line="240" w:before="240" w:after="240"/>
    </w:pPr>
    <w:rPr/>
  </w:style>
  <w:style w:type="paragraph" w:styleId="Heading4Para">
    <w:name w:val="Heading4Para"/>
    <w:basedOn w:val="BodyText"/>
    <w:next w:val="BodyText"/>
    <w:qFormat/>
    <w:pPr>
      <w:widowControl/>
      <w:spacing w:lineRule="auto" w:line="240" w:before="240" w:after="240"/>
      <w:ind w:firstLine="2160" w:start="0" w:end="0"/>
    </w:pPr>
    <w:rPr/>
  </w:style>
  <w:style w:type="paragraph" w:styleId="Heading5Para">
    <w:name w:val="Heading5Para"/>
    <w:basedOn w:val="BodyText"/>
    <w:next w:val="BodyText"/>
    <w:qFormat/>
    <w:pPr>
      <w:widowControl/>
      <w:spacing w:lineRule="auto" w:line="240" w:before="240" w:after="240"/>
      <w:ind w:firstLine="2880" w:start="0" w:end="0"/>
    </w:pPr>
    <w:rPr/>
  </w:style>
  <w:style w:type="paragraph" w:styleId="Heading6Para">
    <w:name w:val="Heading6Para"/>
    <w:basedOn w:val="BodyText"/>
    <w:next w:val="BodyText"/>
    <w:qFormat/>
    <w:pPr>
      <w:widowControl/>
      <w:spacing w:lineRule="auto" w:line="240" w:before="240" w:after="240"/>
      <w:ind w:firstLine="3600" w:start="0" w:end="0"/>
    </w:pPr>
    <w:rPr/>
  </w:style>
  <w:style w:type="paragraph" w:styleId="Heading7Para">
    <w:name w:val="Heading7Para"/>
    <w:basedOn w:val="BodyText"/>
    <w:next w:val="BodyText"/>
    <w:qFormat/>
    <w:pPr>
      <w:widowControl/>
      <w:spacing w:lineRule="auto" w:line="240" w:before="240" w:after="240"/>
      <w:ind w:firstLine="4320" w:start="0" w:end="0"/>
    </w:pPr>
    <w:rPr/>
  </w:style>
  <w:style w:type="paragraph" w:styleId="Heading8Para">
    <w:name w:val="Heading8Para"/>
    <w:basedOn w:val="BodyText"/>
    <w:next w:val="BodyText"/>
    <w:qFormat/>
    <w:pPr>
      <w:widowControl/>
      <w:spacing w:lineRule="auto" w:line="240" w:before="240" w:after="240"/>
      <w:ind w:firstLine="5040" w:start="0" w:end="0"/>
    </w:pPr>
    <w:rPr/>
  </w:style>
  <w:style w:type="paragraph" w:styleId="Heading9Para">
    <w:name w:val="Heading9Para"/>
    <w:basedOn w:val="BodyText"/>
    <w:next w:val="BodyText"/>
    <w:qFormat/>
    <w:pPr>
      <w:widowControl/>
      <w:spacing w:lineRule="auto" w:line="240" w:before="24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lineRule="exact" w:line="240" w:before="240" w:after="0"/>
      <w:ind w:hanging="0" w:start="1440" w:end="1440"/>
    </w:pPr>
    <w:rPr/>
  </w:style>
  <w:style w:type="paragraph" w:styleId="FlushLeft">
    <w:name w:val="Flush Lef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2000-10-30T16:02:00Z</dcterms:created>
  <dc:creator>PGonzale</dc:creator>
  <dc:description/>
  <dc:language>en-CA</dc:language>
  <cp:lastModifiedBy>RTellis</cp:lastModifiedBy>
  <cp:lastPrinted>2000-10-30T19:12:00Z</cp:lastPrinted>
  <dcterms:modified xsi:type="dcterms:W3CDTF">2000-10-31T01:04:00Z</dcterms:modified>
  <cp:revision>31</cp:revision>
  <dc:subject/>
  <dc:title>Word 8.0 Generic Normal Template, rev. 4/1/97, The Legal MacPac</dc:title>
</cp:coreProperties>
</file>