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360"/>
        <w:jc w:val="center"/>
        <w:rPr>
          <w:b/>
          <w:smallCaps/>
        </w:rPr>
      </w:pPr>
      <w:r>
        <w:rPr>
          <w:b/>
          <w:smallCaps/>
        </w:rPr>
      </w:r>
    </w:p>
    <w:p>
      <w:pPr>
        <w:pStyle w:val="Normal"/>
        <w:spacing w:before="0" w:after="360"/>
        <w:jc w:val="center"/>
        <w:rPr>
          <w:b/>
          <w:smallCaps/>
        </w:rPr>
      </w:pPr>
      <w:r>
        <w:rPr>
          <w:b/>
          <w:smallCaps/>
        </w:rPr>
        <w:t>Memorandum</w:t>
      </w:r>
    </w:p>
    <w:p>
      <w:pPr>
        <w:pStyle w:val="DeliveryPhrase"/>
        <w:rPr/>
      </w:pPr>
      <w:r>
        <w:rPr/>
        <w:t>PRIVILEGED &amp; CONFIDENTIAL</w:t>
      </w:r>
    </w:p>
    <w:tbl>
      <w:tblPr>
        <w:tblW w:w="9576" w:type="dxa"/>
        <w:jc w:val="start"/>
        <w:tblInd w:w="0" w:type="dxa"/>
        <w:tblLayout w:type="fixed"/>
        <w:tblCellMar>
          <w:top w:w="0" w:type="dxa"/>
          <w:start w:w="0" w:type="dxa"/>
          <w:bottom w:w="0" w:type="dxa"/>
          <w:end w:w="0" w:type="dxa"/>
        </w:tblCellMar>
      </w:tblPr>
      <w:tblGrid>
        <w:gridCol w:w="1440"/>
        <w:gridCol w:w="3870"/>
        <w:gridCol w:w="1170"/>
        <w:gridCol w:w="3096"/>
      </w:tblGrid>
      <w:tr>
        <w:trPr/>
        <w:tc>
          <w:tcPr>
            <w:tcW w:w="1440" w:type="dxa"/>
            <w:tcBorders/>
          </w:tcPr>
          <w:p>
            <w:pPr>
              <w:pStyle w:val="Normal"/>
              <w:snapToGrid w:val="false"/>
              <w:rPr/>
            </w:pPr>
            <w:r>
              <w:rPr/>
            </w:r>
          </w:p>
        </w:tc>
        <w:tc>
          <w:tcPr>
            <w:tcW w:w="3870" w:type="dxa"/>
            <w:tcBorders/>
          </w:tcPr>
          <w:p>
            <w:pPr>
              <w:pStyle w:val="Normal"/>
              <w:snapToGrid w:val="false"/>
              <w:spacing w:before="0" w:after="120"/>
              <w:ind w:end="432"/>
              <w:rPr/>
            </w:pPr>
            <w:r>
              <w:rPr/>
            </w:r>
          </w:p>
        </w:tc>
        <w:tc>
          <w:tcPr>
            <w:tcW w:w="1170" w:type="dxa"/>
            <w:tcBorders/>
          </w:tcPr>
          <w:p>
            <w:pPr>
              <w:pStyle w:val="Normal"/>
              <w:snapToGrid w:val="false"/>
              <w:rPr/>
            </w:pPr>
            <w:r>
              <w:rPr/>
            </w:r>
          </w:p>
        </w:tc>
        <w:tc>
          <w:tcPr>
            <w:tcW w:w="3096" w:type="dxa"/>
            <w:tcBorders/>
          </w:tcPr>
          <w:p>
            <w:pPr>
              <w:pStyle w:val="Normal"/>
              <w:spacing w:before="0" w:after="120"/>
              <w:ind w:end="216"/>
              <w:jc w:val="end"/>
              <w:rPr>
                <w:sz w:val="20"/>
              </w:rPr>
            </w:pPr>
            <w:r>
              <w:rPr>
                <w:sz w:val="20"/>
              </w:rPr>
              <w:t>FILE NO:  35509-00300</w:t>
            </w:r>
          </w:p>
        </w:tc>
      </w:tr>
      <w:tr>
        <w:trPr/>
        <w:tc>
          <w:tcPr>
            <w:tcW w:w="1440" w:type="dxa"/>
            <w:tcBorders/>
          </w:tcPr>
          <w:p>
            <w:pPr>
              <w:pStyle w:val="Normal"/>
              <w:spacing w:before="0" w:after="120"/>
              <w:rPr/>
            </w:pPr>
            <w:r>
              <w:rPr/>
              <w:t>TO:</w:t>
            </w:r>
          </w:p>
        </w:tc>
        <w:tc>
          <w:tcPr>
            <w:tcW w:w="3870" w:type="dxa"/>
            <w:tcBorders/>
          </w:tcPr>
          <w:p>
            <w:pPr>
              <w:pStyle w:val="Normal"/>
              <w:spacing w:before="0" w:after="120"/>
              <w:ind w:end="432"/>
              <w:rPr/>
            </w:pPr>
            <w:r>
              <w:rPr/>
              <w:t>Roland Tellis</w:t>
              <w:br/>
              <w:t>Sharon Jackson</w:t>
            </w:r>
          </w:p>
        </w:tc>
        <w:tc>
          <w:tcPr>
            <w:tcW w:w="4266" w:type="dxa"/>
            <w:gridSpan w:val="2"/>
            <w:tcBorders/>
          </w:tcPr>
          <w:p>
            <w:pPr>
              <w:pStyle w:val="Normal"/>
              <w:snapToGrid w:val="false"/>
              <w:spacing w:before="0" w:after="120"/>
              <w:ind w:end="216"/>
              <w:rPr/>
            </w:pPr>
            <w:r>
              <w:rPr/>
            </w:r>
          </w:p>
        </w:tc>
      </w:tr>
      <w:tr>
        <w:trPr/>
        <w:tc>
          <w:tcPr>
            <w:tcW w:w="1440" w:type="dxa"/>
            <w:tcBorders/>
          </w:tcPr>
          <w:p>
            <w:pPr>
              <w:pStyle w:val="Normal"/>
              <w:spacing w:before="0" w:after="120"/>
              <w:rPr/>
            </w:pPr>
            <w:r>
              <w:rPr/>
              <w:t>CC:</w:t>
            </w:r>
          </w:p>
        </w:tc>
        <w:tc>
          <w:tcPr>
            <w:tcW w:w="3870" w:type="dxa"/>
            <w:tcBorders/>
          </w:tcPr>
          <w:p>
            <w:pPr>
              <w:pStyle w:val="Normal"/>
              <w:ind w:end="432"/>
              <w:rPr/>
            </w:pPr>
            <w:r>
              <w:rPr/>
              <w:t>Richard Sanders</w:t>
              <w:br/>
              <w:t>Lisa Mellencamp</w:t>
            </w:r>
          </w:p>
          <w:p>
            <w:pPr>
              <w:pStyle w:val="Normal"/>
              <w:spacing w:before="0" w:after="120"/>
              <w:ind w:end="432"/>
              <w:rPr/>
            </w:pPr>
            <w:r>
              <w:rPr/>
              <w:t>Tom Kreller</w:t>
            </w:r>
          </w:p>
        </w:tc>
        <w:tc>
          <w:tcPr>
            <w:tcW w:w="4266" w:type="dxa"/>
            <w:gridSpan w:val="2"/>
            <w:tcBorders/>
          </w:tcPr>
          <w:p>
            <w:pPr>
              <w:pStyle w:val="Normal"/>
              <w:snapToGrid w:val="false"/>
              <w:spacing w:before="0" w:after="120"/>
              <w:ind w:end="216"/>
              <w:rPr/>
            </w:pPr>
            <w:r>
              <w:rPr/>
            </w:r>
          </w:p>
        </w:tc>
      </w:tr>
      <w:tr>
        <w:trPr/>
        <w:tc>
          <w:tcPr>
            <w:tcW w:w="1440" w:type="dxa"/>
            <w:tcBorders/>
          </w:tcPr>
          <w:p>
            <w:pPr>
              <w:pStyle w:val="Normal"/>
              <w:spacing w:before="0" w:after="120"/>
              <w:rPr/>
            </w:pPr>
            <w:r>
              <w:rPr/>
              <w:t>FROM:</w:t>
            </w:r>
          </w:p>
        </w:tc>
        <w:tc>
          <w:tcPr>
            <w:tcW w:w="3870" w:type="dxa"/>
            <w:tcBorders/>
          </w:tcPr>
          <w:p>
            <w:pPr>
              <w:pStyle w:val="Normal"/>
              <w:spacing w:before="0" w:after="120"/>
              <w:ind w:end="432"/>
              <w:rPr/>
            </w:pPr>
            <w:r>
              <w:rPr/>
              <w:t>Steve Howard</w:t>
            </w:r>
          </w:p>
        </w:tc>
        <w:tc>
          <w:tcPr>
            <w:tcW w:w="4266" w:type="dxa"/>
            <w:gridSpan w:val="2"/>
            <w:tcBorders/>
          </w:tcPr>
          <w:p>
            <w:pPr>
              <w:pStyle w:val="Normal"/>
              <w:snapToGrid w:val="false"/>
              <w:spacing w:before="0" w:after="120"/>
              <w:ind w:end="216"/>
              <w:rPr/>
            </w:pPr>
            <w:r>
              <w:rPr/>
            </w:r>
          </w:p>
        </w:tc>
      </w:tr>
      <w:tr>
        <w:trPr/>
        <w:tc>
          <w:tcPr>
            <w:tcW w:w="1440" w:type="dxa"/>
            <w:tcBorders/>
          </w:tcPr>
          <w:p>
            <w:pPr>
              <w:pStyle w:val="Normal"/>
              <w:rPr/>
            </w:pPr>
            <w:r>
              <w:rPr/>
              <w:t>DATE:</w:t>
            </w:r>
          </w:p>
        </w:tc>
        <w:tc>
          <w:tcPr>
            <w:tcW w:w="8136" w:type="dxa"/>
            <w:gridSpan w:val="3"/>
            <w:tcBorders/>
          </w:tcPr>
          <w:p>
            <w:pPr>
              <w:pStyle w:val="Normal"/>
              <w:spacing w:before="0" w:after="120"/>
              <w:ind w:end="216"/>
              <w:rPr>
                <w:lang w:val="en-CA"/>
              </w:rPr>
            </w:pPr>
            <w:r>
              <w:rPr>
                <w:lang w:val="en-CA"/>
              </w:rPr>
              <w:t>October 26, 2000</w:t>
            </w:r>
          </w:p>
        </w:tc>
      </w:tr>
      <w:tr>
        <w:trPr/>
        <w:tc>
          <w:tcPr>
            <w:tcW w:w="1440" w:type="dxa"/>
            <w:tcBorders/>
          </w:tcPr>
          <w:p>
            <w:pPr>
              <w:pStyle w:val="Normal"/>
              <w:spacing w:before="0" w:after="120"/>
              <w:rPr/>
            </w:pPr>
            <w:r>
              <w:rPr/>
              <w:t>RE:</w:t>
            </w:r>
          </w:p>
        </w:tc>
        <w:tc>
          <w:tcPr>
            <w:tcW w:w="8136" w:type="dxa"/>
            <w:gridSpan w:val="3"/>
            <w:tcBorders/>
          </w:tcPr>
          <w:p>
            <w:pPr>
              <w:pStyle w:val="Normal"/>
              <w:spacing w:before="0" w:after="120"/>
              <w:ind w:end="216"/>
              <w:rPr/>
            </w:pPr>
            <w:r>
              <w:rPr/>
              <w:t>Enforceability of ECT Claims in NSM Bankruptcy</w:t>
            </w:r>
          </w:p>
        </w:tc>
      </w:tr>
      <w:tr>
        <w:trPr/>
        <w:tc>
          <w:tcPr>
            <w:tcW w:w="9576" w:type="dxa"/>
            <w:gridSpan w:val="4"/>
            <w:tcBorders>
              <w:top w:val="double" w:sz="4" w:space="0" w:color="000000"/>
            </w:tcBorders>
            <w:tcMar>
              <w:start w:w="108" w:type="dxa"/>
              <w:end w:w="108" w:type="dxa"/>
            </w:tcMar>
          </w:tcPr>
          <w:p>
            <w:pPr>
              <w:pStyle w:val="Normal"/>
              <w:snapToGrid w:val="false"/>
              <w:rPr/>
            </w:pPr>
            <w:r>
              <w:rPr/>
            </w:r>
          </w:p>
        </w:tc>
      </w:tr>
    </w:tbl>
    <w:p>
      <w:pPr>
        <w:pStyle w:val="Normal"/>
        <w:spacing w:lineRule="auto" w:line="480"/>
        <w:ind w:firstLine="1440" w:end="0"/>
        <w:rPr/>
      </w:pPr>
      <w:r>
        <w:rPr/>
        <w:t xml:space="preserve">The Purchase Agreement among NSM, ECT Securities, and others provides that NSM will indemnify ECT against any claims under the federal securities laws </w:t>
      </w:r>
      <w:r>
        <w:rPr>
          <w:u w:val="single"/>
        </w:rPr>
        <w:t>or otherwise</w:t>
      </w:r>
      <w:r>
        <w:rPr/>
        <w:t xml:space="preserve"> based upon any alleged misrepresentations or omissions in the NSM offering documents, as well as against attorneys fees incurred in defense of such claims.  The Purchase Agreement further provides that it is governed by the laws of the State of New York (without regard for principles of choice of law.)</w:t>
      </w:r>
    </w:p>
    <w:p>
      <w:pPr>
        <w:pStyle w:val="Normal"/>
        <w:spacing w:lineRule="auto" w:line="480"/>
        <w:ind w:firstLine="1440" w:end="0"/>
        <w:rPr/>
      </w:pPr>
      <w:r>
        <w:rPr/>
        <w:t>ECT, along with others, has been sued by investors in NSM bonds in two actions in California state court for alleged violations of  provisions of California statutory securities law, common law negligent misrepresentation, and common law fraud.  Additional suits have been brought outside California under both federal and state law against defendants other than ECT.  ECT could still be sued in the future (a) by additional investors for alleged violations of federal and/or state statutory securities laws and/or for various state common law claims and (b) by other defendants in the California cases, and/or other cases, for contribution to any judgments rendered against such defendants.</w:t>
      </w:r>
    </w:p>
    <w:p>
      <w:pPr>
        <w:pStyle w:val="Normal"/>
        <w:spacing w:lineRule="auto" w:line="480"/>
        <w:ind w:firstLine="1440" w:end="0"/>
        <w:rPr/>
      </w:pPr>
      <w:r>
        <w:rPr/>
        <w:t>ECT has filed a claim in NSM's bankruptcy in Thailand for contractual indemnification under the Purchase Agreement with respect to the existing investor claims pending against ECT in California and any possible future claims by investors or other defendants.  The claim was prepared by Linklaters in Thailand on the basis of written and oral information supplied by Enron and Milbank.  We have never seen the actual claim that was filed.  Apparently some Thai bankruptcy official is now objecting to ECT's claim on the ground that the Purchase Agreement is governed by "U.S." law and that contractual securities indemnification provisions are not enforceable under U.S. law.  We have been asked to prepare a memorandum arguing that the contractual indemnification provision in the Purchase Agreement is enforceable by ECT against NSM.</w:t>
      </w:r>
    </w:p>
    <w:p>
      <w:pPr>
        <w:pStyle w:val="Normal"/>
        <w:spacing w:lineRule="auto" w:line="480"/>
        <w:ind w:firstLine="1440" w:end="0"/>
        <w:rPr/>
      </w:pPr>
      <w:r>
        <w:rPr/>
        <w:t>While we should consider the matter further, it is highly likely that the question of enforceability is governed by New York law, not "U.S." law, except to the extent that a future suit might be brought under federal securities laws, in which case the hostility of federal law to contractual securities indemnification provisions would override New York law, even if New York law were otherwise favorable to enforceability.</w:t>
      </w:r>
    </w:p>
    <w:p>
      <w:pPr>
        <w:pStyle w:val="Normal"/>
        <w:spacing w:lineRule="auto" w:line="480"/>
        <w:ind w:firstLine="1440" w:end="0"/>
        <w:rPr/>
      </w:pPr>
      <w:r>
        <w:rPr/>
        <w:t xml:space="preserve">To the extent that the contractual indemnification provision in the Purchase Agreement is not enforceable by ECT against NSM, a further question should be addressed:  Apart from contractual indemnification, is ECT entitled to contribution from NSM (based on either relative fault or a pro rata allocation) for a portion of any judgment that ECT may incur in existing or future actions against ECT by investors in NSM?  (ETC's actual claim in the Thai bankruptcy may not include contribution under applicable state and federal law, but I think we should address it in our memorandum, because the law is very favorable, even federal law.)  While we should consider the matter further, it is highly likely that this question is governed, </w:t>
      </w:r>
      <w:r>
        <w:rPr>
          <w:u w:val="single"/>
        </w:rPr>
        <w:t>not</w:t>
      </w:r>
      <w:r>
        <w:rPr/>
        <w:t xml:space="preserve"> by New York law, but rather by the law (state or federal) that governs the underlying substantive claims that are asserted against ECT (or possibly the law of the forum).  Currently all claims asserted against ECT are brought under California law and are in California Courts; California law would govern contribution with respect to such claims.  However, future suits could be brought under laws of other states or under the federal securities laws, and the law of such states or federal law would then govern contribution. </w:t>
      </w:r>
    </w:p>
    <w:p>
      <w:pPr>
        <w:pStyle w:val="Normal"/>
        <w:spacing w:lineRule="auto" w:line="480"/>
        <w:ind w:firstLine="1530" w:end="0"/>
        <w:rPr/>
      </w:pPr>
      <w:r>
        <w:rPr/>
        <w:t>We need to conduct the following research:</w:t>
      </w:r>
    </w:p>
    <w:p>
      <w:pPr>
        <w:pStyle w:val="Normal"/>
        <w:numPr>
          <w:ilvl w:val="0"/>
          <w:numId w:val="2"/>
        </w:numPr>
        <w:spacing w:lineRule="auto" w:line="480"/>
        <w:rPr/>
      </w:pPr>
      <w:r>
        <w:rPr/>
        <w:t>What law governs the enforceability of the contractual indemnification provision in the Purchase Agreement with respect to underlying claims based on state law?</w:t>
      </w:r>
    </w:p>
    <w:p>
      <w:pPr>
        <w:pStyle w:val="Normal"/>
        <w:numPr>
          <w:ilvl w:val="0"/>
          <w:numId w:val="2"/>
        </w:numPr>
        <w:spacing w:lineRule="auto" w:line="480"/>
        <w:rPr/>
      </w:pPr>
      <w:r>
        <w:rPr/>
        <w:t xml:space="preserve">If New York law governs, are contractual indemnification provisions against claims under California statutory securities laws and common law negligent misrepresentation and fraud enforceable under New York law (bearing in mind that New York courts might look to </w:t>
      </w:r>
      <w:r>
        <w:rPr>
          <w:u w:val="single"/>
        </w:rPr>
        <w:t>federal law</w:t>
      </w:r>
      <w:r>
        <w:rPr/>
        <w:t xml:space="preserve"> for guidance with respect to enforceability as to some or all of the four claims asserted against ECT)?</w:t>
      </w:r>
    </w:p>
    <w:p>
      <w:pPr>
        <w:pStyle w:val="Normal"/>
        <w:numPr>
          <w:ilvl w:val="0"/>
          <w:numId w:val="2"/>
        </w:numPr>
        <w:spacing w:lineRule="auto" w:line="480"/>
        <w:rPr/>
      </w:pPr>
      <w:r>
        <w:rPr/>
        <w:t>Confirm that contractual indemnification provisions against claims brought under the federal securities are unenforceable as a matter of federal law.</w:t>
      </w:r>
    </w:p>
    <w:p>
      <w:pPr>
        <w:pStyle w:val="Normal"/>
        <w:numPr>
          <w:ilvl w:val="0"/>
          <w:numId w:val="2"/>
        </w:numPr>
        <w:spacing w:lineRule="auto" w:line="480"/>
        <w:rPr/>
      </w:pPr>
      <w:r>
        <w:rPr/>
        <w:t>What law governs the availability of (non-contractual) contribution from other wrong-doers with respect to underlying claims under state statutory and common law and the federal securities laws</w:t>
      </w:r>
      <w:r>
        <w:rPr>
          <w:rStyle w:val="FootnoteCharacters"/>
          <w:rStyle w:val="FootnoteReference"/>
        </w:rPr>
        <w:footnoteReference w:id="2"/>
      </w:r>
    </w:p>
    <w:p>
      <w:pPr>
        <w:pStyle w:val="Normal"/>
        <w:numPr>
          <w:ilvl w:val="0"/>
          <w:numId w:val="2"/>
        </w:numPr>
        <w:spacing w:lineRule="auto" w:line="480"/>
        <w:rPr/>
      </w:pPr>
      <w:r>
        <w:rPr/>
        <w:t xml:space="preserve">What is California law concerning the availability of (non-contractual) contribution from other wrong-doers in claims under California statutory securities laws and common law misrepresentation and fraud?  (See </w:t>
      </w:r>
      <w:r>
        <w:rPr>
          <w:u w:val="single"/>
        </w:rPr>
        <w:t>American Motor Cycle,</w:t>
      </w:r>
      <w:r>
        <w:rPr/>
        <w:t xml:space="preserve"> Chase brief)</w:t>
      </w:r>
    </w:p>
    <w:p>
      <w:pPr>
        <w:pStyle w:val="Normal"/>
        <w:numPr>
          <w:ilvl w:val="0"/>
          <w:numId w:val="2"/>
        </w:numPr>
        <w:spacing w:lineRule="auto" w:line="480"/>
        <w:rPr/>
      </w:pPr>
      <w:r>
        <w:rPr/>
        <w:t xml:space="preserve">Confirm that federal law concerning the availability of (non-contractual) contribution from other wrong-doers in claims under the federal securities is favorable?  (See </w:t>
      </w:r>
      <w:r>
        <w:rPr>
          <w:u w:val="single"/>
        </w:rPr>
        <w:t>Music Peeler</w:t>
      </w:r>
      <w:r>
        <w:rPr/>
        <w:t>)</w:t>
      </w:r>
    </w:p>
    <w:p>
      <w:pPr>
        <w:pStyle w:val="Normal"/>
        <w:rPr/>
      </w:pPr>
      <w:r>
        <w:rPr/>
      </w:r>
    </w:p>
    <w:sectPr>
      <w:footerReference w:type="default" r:id="rId2"/>
      <w:footerReference w:type="first" r:id="rId3"/>
      <w:footnotePr>
        <w:numFmt w:val="decimal"/>
      </w:footnotePr>
      <w:type w:val="nextPage"/>
      <w:pgSz w:w="12240" w:h="15840"/>
      <w:pgMar w:left="1440" w:right="1440" w:gutter="0" w:header="0" w:top="1152"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58" w:type="dxa"/>
      <w:jc w:val="start"/>
      <w:tblInd w:w="0" w:type="dxa"/>
      <w:tblLayout w:type="fixed"/>
      <w:tblCellMar>
        <w:top w:w="0" w:type="dxa"/>
        <w:start w:w="108" w:type="dxa"/>
        <w:bottom w:w="0" w:type="dxa"/>
        <w:end w:w="108" w:type="dxa"/>
      </w:tblCellMar>
    </w:tblPr>
    <w:tblGrid>
      <w:gridCol w:w="3888"/>
      <w:gridCol w:w="1080"/>
      <w:gridCol w:w="4590"/>
    </w:tblGrid>
    <w:tr>
      <w:trPr/>
      <w:tc>
        <w:tcPr>
          <w:tcW w:w="3888" w:type="dxa"/>
          <w:tcBorders/>
        </w:tcPr>
        <w:p>
          <w:pPr>
            <w:pStyle w:val="Footer"/>
            <w:spacing w:lineRule="exact" w:line="200"/>
            <w:rPr/>
          </w:pPr>
          <w:r>
            <w:rPr>
              <w:rStyle w:val="zzmpTrailerItem"/>
            </w:rPr>
            <w:t>LA1:#6190449v1</w:t>
          </w:r>
          <w:r>
            <w:rPr/>
            <w:t xml:space="preserve"> </w:t>
          </w:r>
        </w:p>
        <w:p>
          <w:pPr>
            <w:pStyle w:val="Footer"/>
            <w:spacing w:lineRule="exact" w:line="200"/>
            <w:rPr/>
          </w:pPr>
          <w:r>
            <w:rPr>
              <w:rStyle w:val="zzmpTrailerItem"/>
            </w:rPr>
            <w:t xml:space="preserve">35509-00300 </w:t>
          </w:r>
          <w:r>
            <w:rPr>
              <w:rStyle w:val="zzmpTrailerItem"/>
            </w:rPr>
            <w:fldChar w:fldCharType="begin"/>
          </w:r>
          <w:r>
            <w:rPr>
              <w:rStyle w:val="zzmpTrailerItem"/>
            </w:rPr>
            <w:instrText xml:space="preserve"> DATE \@"MM\/d\/yy\ H:mm\ AM/PM" </w:instrText>
          </w:r>
          <w:r>
            <w:rPr>
              <w:rStyle w:val="zzmpTrailerItem"/>
            </w:rPr>
            <w:fldChar w:fldCharType="separate"/>
          </w:r>
          <w:r>
            <w:rPr>
              <w:rStyle w:val="zzmpTrailerItem"/>
            </w:rPr>
            <w:t>09/28/25 8:06 AM</w:t>
          </w:r>
          <w:r>
            <w:rPr>
              <w:rStyle w:val="zzmpTrailerItem"/>
            </w:rPr>
            <w:fldChar w:fldCharType="end"/>
          </w:r>
          <w:r>
            <w:rPr/>
            <w:t xml:space="preserve"> </w:t>
          </w:r>
        </w:p>
      </w:tc>
      <w:tc>
        <w:tcPr>
          <w:tcW w:w="1080" w:type="dxa"/>
          <w:tcBorders/>
        </w:tcPr>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p>
      </w:tc>
      <w:tc>
        <w:tcPr>
          <w:tcW w:w="4590" w:type="dxa"/>
          <w:tcBorders/>
        </w:tcPr>
        <w:p>
          <w:pPr>
            <w:pStyle w:val="Footer"/>
            <w:snapToGrid w:val="false"/>
            <w:rPr/>
          </w:pPr>
          <w:r>
            <w:rPr/>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LA1:#6190449v1</w:t>
    </w:r>
    <w:r>
      <w:rPr/>
      <w:t xml:space="preserve"> </w:t>
    </w:r>
  </w:p>
  <w:p>
    <w:pPr>
      <w:pStyle w:val="Footer"/>
      <w:spacing w:lineRule="exact" w:line="200"/>
      <w:rPr/>
    </w:pPr>
    <w:r>
      <w:rPr>
        <w:rStyle w:val="zzmpTrailerItem"/>
      </w:rPr>
      <w:t xml:space="preserve">35509-00300 </w:t>
    </w:r>
    <w:r>
      <w:rPr>
        <w:rStyle w:val="zzmpTrailerItem"/>
      </w:rPr>
      <w:fldChar w:fldCharType="begin"/>
    </w:r>
    <w:r>
      <w:rPr>
        <w:rStyle w:val="zzmpTrailerItem"/>
      </w:rPr>
      <w:instrText xml:space="preserve"> DATE \@"MM\/d\/yy\ H:mm\ AM/PM" </w:instrText>
    </w:r>
    <w:r>
      <w:rPr>
        <w:rStyle w:val="zzmpTrailerItem"/>
      </w:rPr>
      <w:fldChar w:fldCharType="separate"/>
    </w:r>
    <w:r>
      <w:rPr>
        <w:rStyle w:val="zzmpTrailerItem"/>
      </w:rPr>
      <w:t>09/28/25 8:06 AM</w:t>
    </w:r>
    <w:r>
      <w:rPr>
        <w:rStyle w:val="zzmpTrailerItem"/>
      </w:rPr>
      <w:fldChar w:fldCharType="end"/>
    </w:r>
    <w:r>
      <w:rPr/>
      <w:t xml:space="preserve"> </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For purposes of our memorandum, I would avoid addressing what forum a claim for contribution would be brought in. Any claim for contribution would theoretically have to be brought in a separate follow-on lawsuit, since NSM is not a party to any of the existing suits and probably could not be added now.  In point of fact a claim for contribution can probably be brought only in NSM's bankruptcy in Thailand.  God knows what law would govern contribution in that context.</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cbxOptBodyTextAlignment" w:val="0"/>
    <w:docVar w:name="cbxOptOffices" w:val="Los Angeles"/>
    <w:docVar w:name="cbxPeople" w:val="1937"/>
    <w:docVar w:name="chkIncludeDPhrase" w:val="False"/>
    <w:docVar w:name="chkOptIncludeFirmName" w:val="False"/>
    <w:docVar w:name="chkOptInsertDateAsField" w:val="False"/>
    <w:docVar w:name="cmbOptFonts" w:val="Times New Roman"/>
    <w:docVar w:name="lstDeliveryPhrases" w:val="Privileged &amp; Confidential"/>
    <w:docVar w:name="Restarted" w:val="True"/>
    <w:docVar w:name="tglUseFirmDefaults" w:val="False"/>
    <w:docVar w:name="txtCC" w:val="Richard Sanders&#10;Lisa Mellencamp"/>
    <w:docVar w:name="txtDeliveryPhrases" w:val="PRIVILEGED &amp; CONFIDENTIAL"/>
    <w:docVar w:name="txtFileNo" w:val="25509-00300"/>
    <w:docVar w:name="txtFrom" w:val="Steve Howard"/>
    <w:docVar w:name="txtOptBottomMargin" w:val="1"/>
    <w:docVar w:name="txtOptFirstLine" w:val="0"/>
    <w:docVar w:name="txtOptFSize" w:val="12"/>
    <w:docVar w:name="txtOptLeftMargin" w:val="1"/>
    <w:docVar w:name="txtOptRightMargin" w:val="1"/>
    <w:docVar w:name="txtOptTopMargin" w:val=".8"/>
    <w:docVar w:name="txtRe" w:val="Enforceability of ECT Claims in NSM Bankruptcy"/>
    <w:docVar w:name="txtTo" w:val="Roland Tellis&#10;Sharon Jackson"/>
    <w:docVar w:name="zzmpFixedDOC_ID" w:val="LA1:#6190449v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b/>
      <w:i w:val="false"/>
      <w:u w:val="none"/>
    </w:rPr>
  </w:style>
  <w:style w:type="character" w:styleId="WW8Num1z2">
    <w:name w:val="WW8Num1z2"/>
    <w:qFormat/>
    <w:rPr>
      <w:b w:val="false"/>
      <w:u w:val="none"/>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sz w:val="16"/>
      <w:effect w:val="blinkBackground"/>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DeliveryPhrase">
    <w:name w:val="Delivery Phrase"/>
    <w:basedOn w:val="Normal"/>
    <w:qFormat/>
    <w:pPr>
      <w:spacing w:before="0" w:after="240"/>
    </w:pPr>
    <w:rPr>
      <w:b/>
      <w:caps/>
    </w:rPr>
  </w:style>
  <w:style w:type="paragraph" w:styleId="BodyTextContinued">
    <w:name w:val="Body Text Continued"/>
    <w:basedOn w:val="BodyText"/>
    <w:next w:val="BodyText"/>
    <w:qFormat/>
    <w:pPr>
      <w:widowControl w:val="false"/>
      <w:spacing w:lineRule="auto" w:line="480" w:before="0" w:after="0"/>
    </w:pPr>
    <w:rPr/>
  </w:style>
  <w:style w:type="paragraph" w:styleId="BodyTextIndent">
    <w:name w:val="Body Text Indent"/>
    <w:basedOn w:val="BodyText"/>
    <w:next w:val="BodyText"/>
    <w:pPr>
      <w:widowControl w:val="false"/>
      <w:spacing w:before="0" w:after="0"/>
      <w:ind w:hanging="0" w:start="720" w:end="0"/>
    </w:pPr>
    <w:rPr/>
  </w:style>
  <w:style w:type="paragraph" w:styleId="Centered">
    <w:name w:val="Centered"/>
    <w:basedOn w:val="Normal"/>
    <w:next w:val="BodyText"/>
    <w:qFormat/>
    <w:pPr>
      <w:spacing w:lineRule="exact" w:line="240" w:before="0" w:after="240"/>
      <w:jc w:val="center"/>
    </w:pPr>
    <w:rPr/>
  </w:style>
  <w:style w:type="paragraph" w:styleId="EnvelopeAddress">
    <w:name w:val="envelope address"/>
    <w:basedOn w:val="Normal"/>
    <w:pPr/>
    <w:rPr/>
  </w:style>
  <w:style w:type="paragraph" w:styleId="FootnoteText">
    <w:name w:val="footnote text"/>
    <w:basedOn w:val="Normal"/>
    <w:pPr/>
    <w:rPr>
      <w:sz w:val="22"/>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LetterDate">
    <w:name w:val="Letter Date"/>
    <w:basedOn w:val="Normal"/>
    <w:next w:val="BodyText"/>
    <w:qFormat/>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Times New Roman" w:hAnsi="Times New Roman;Times New Roman" w:eastAsia="Times New Roman;Times New Roman" w:cs="Times New Roman;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Template>
  <TotalTime>91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2000-10-26T19:33:00Z</dcterms:created>
  <dc:creator>SHoward</dc:creator>
  <dc:description/>
  <dc:language>en-CA</dc:language>
  <cp:lastModifiedBy>SHoward</cp:lastModifiedBy>
  <cp:lastPrinted>2000-10-26T16:42:00Z</cp:lastPrinted>
  <dcterms:modified xsi:type="dcterms:W3CDTF">2000-10-26T21:11:00Z</dcterms:modified>
  <cp:revision>10</cp:revision>
  <dc:subject/>
  <dc:title>Generic MacPac 8.0 Memo Template, rev. 4/3/97, the Legal MacPac</dc:title>
</cp:coreProperties>
</file>