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jc w:val="both"/>
        <w:rPr/>
      </w:pPr>
      <w:r>
        <w:rPr>
          <w:rFonts w:cs="Arial" w:ascii="Arial" w:hAnsi="Arial"/>
        </w:rPr>
        <w:drawing>
          <wp:inline distT="0" distB="0" distL="0" distR="0">
            <wp:extent cx="941705" cy="9353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1705" cy="935355"/>
                    </a:xfrm>
                    <a:prstGeom prst="rect">
                      <a:avLst/>
                    </a:prstGeom>
                    <a:noFill/>
                  </pic:spPr>
                </pic:pic>
              </a:graphicData>
            </a:graphic>
          </wp:inline>
        </w:drawing>
      </w:r>
      <w:r>
        <w:rPr>
          <w:rFonts w:eastAsia="Arial" w:cs="Arial" w:ascii="Arial" w:hAnsi="Arial"/>
          <w:b/>
        </w:rPr>
        <w:t xml:space="preserve"> </w:t>
      </w:r>
      <w:r>
        <w:rPr>
          <w:rFonts w:cs="Arial" w:ascii="Arial" w:hAnsi="Arial"/>
          <w:b/>
        </w:rPr>
        <w:tab/>
      </w:r>
    </w:p>
    <w:p>
      <w:pPr>
        <w:pStyle w:val="Normal"/>
        <w:tabs>
          <w:tab w:val="clear" w:pos="720"/>
          <w:tab w:val="right" w:pos="8640" w:leader="none"/>
        </w:tabs>
        <w:jc w:val="both"/>
        <w:rPr>
          <w:rFonts w:ascii="Arial" w:hAnsi="Arial" w:cs="Arial"/>
          <w:b/>
        </w:rPr>
      </w:pPr>
      <w:r>
        <w:rPr>
          <w:rFonts w:cs="Arial" w:ascii="Arial" w:hAnsi="Arial"/>
          <w:b/>
        </w:rPr>
        <w:t>Natural Gas,</w:t>
      </w:r>
    </w:p>
    <w:p>
      <w:pPr>
        <w:pStyle w:val="Normal"/>
        <w:tabs>
          <w:tab w:val="clear" w:pos="720"/>
          <w:tab w:val="right" w:pos="8640" w:leader="none"/>
        </w:tabs>
        <w:jc w:val="both"/>
        <w:rPr>
          <w:rFonts w:ascii="Arial" w:hAnsi="Arial" w:cs="Arial"/>
          <w:b/>
        </w:rPr>
      </w:pPr>
      <w:r>
        <w:rPr>
          <w:rFonts w:cs="Arial" w:ascii="Arial" w:hAnsi="Arial"/>
          <w:b/>
        </w:rPr>
        <w:t>Electricity and</w:t>
        <w:tab/>
      </w:r>
    </w:p>
    <w:p>
      <w:pPr>
        <w:pStyle w:val="Normal"/>
        <w:tabs>
          <w:tab w:val="clear" w:pos="720"/>
          <w:tab w:val="right" w:pos="8640" w:leader="none"/>
        </w:tabs>
        <w:jc w:val="both"/>
        <w:rPr>
          <w:rFonts w:ascii="Arial" w:hAnsi="Arial" w:cs="Arial"/>
          <w:b/>
        </w:rPr>
      </w:pPr>
      <w:r>
        <w:rPr>
          <w:rFonts w:cs="Arial" w:ascii="Arial" w:hAnsi="Arial"/>
          <w:b/>
        </w:rPr>
        <w:t>Endless Possibilities</w:t>
        <w:tab/>
      </w:r>
    </w:p>
    <w:p>
      <w:pPr>
        <w:pStyle w:val="Normal"/>
        <w:tabs>
          <w:tab w:val="clear" w:pos="720"/>
          <w:tab w:val="right" w:pos="8640" w:leader="none"/>
        </w:tabs>
        <w:jc w:val="both"/>
        <w:rPr>
          <w:rFonts w:ascii="Arial" w:hAnsi="Arial" w:cs="Arial"/>
          <w:b/>
        </w:rPr>
      </w:pPr>
      <w:r>
        <w:rPr>
          <w:rFonts w:cs="Arial" w:ascii="Arial" w:hAnsi="Arial"/>
          <w:b/>
        </w:rPr>
      </w:r>
    </w:p>
    <w:p>
      <w:pPr>
        <w:pStyle w:val="Heading1"/>
        <w:ind w:start="4230" w:end="0"/>
        <w:rPr>
          <w:sz w:val="24"/>
        </w:rPr>
      </w:pPr>
      <w:r>
        <w:rPr>
          <w:sz w:val="24"/>
        </w:rPr>
        <w:t>INTEROFFICE</w:t>
      </w:r>
    </w:p>
    <w:p>
      <w:pPr>
        <w:pStyle w:val="Heading2"/>
        <w:rPr>
          <w:sz w:val="24"/>
        </w:rPr>
      </w:pPr>
      <w:r>
        <w:rPr>
          <w:sz w:val="24"/>
        </w:rPr>
        <w:t>MEMORANDUM</w:t>
      </w:r>
    </w:p>
    <w:p>
      <w:pPr>
        <w:pStyle w:val="Normal"/>
        <w:tabs>
          <w:tab w:val="clear" w:pos="720"/>
          <w:tab w:val="right" w:pos="8640" w:leader="none"/>
        </w:tabs>
        <w:jc w:val="both"/>
        <w:rPr>
          <w:rFonts w:ascii="Arial" w:hAnsi="Arial" w:cs="Arial"/>
          <w:sz w:val="24"/>
        </w:rPr>
      </w:pPr>
      <w:r>
        <w:rPr>
          <w:rFonts w:cs="Arial" w:ascii="Arial" w:hAnsi="Arial"/>
          <w:sz w:val="24"/>
        </w:rPr>
      </w:r>
    </w:p>
    <w:tbl>
      <w:tblPr>
        <w:tblW w:w="9648" w:type="dxa"/>
        <w:jc w:val="start"/>
        <w:tblInd w:w="0" w:type="dxa"/>
        <w:tblLayout w:type="fixed"/>
        <w:tblCellMar>
          <w:top w:w="0" w:type="dxa"/>
          <w:start w:w="108" w:type="dxa"/>
          <w:bottom w:w="0" w:type="dxa"/>
          <w:end w:w="108" w:type="dxa"/>
        </w:tblCellMar>
      </w:tblPr>
      <w:tblGrid>
        <w:gridCol w:w="1569"/>
        <w:gridCol w:w="3762"/>
        <w:gridCol w:w="1673"/>
        <w:gridCol w:w="475"/>
        <w:gridCol w:w="279"/>
        <w:gridCol w:w="1890"/>
      </w:tblGrid>
      <w:tr>
        <w:trPr/>
        <w:tc>
          <w:tcPr>
            <w:tcW w:w="1569" w:type="dxa"/>
            <w:tcBorders/>
          </w:tcPr>
          <w:p>
            <w:pPr>
              <w:pStyle w:val="Normal"/>
              <w:rPr>
                <w:rFonts w:ascii="Arial" w:hAnsi="Arial" w:cs="Arial"/>
              </w:rPr>
            </w:pPr>
            <w:r>
              <w:rPr>
                <w:rFonts w:cs="Arial" w:ascii="Arial" w:hAnsi="Arial"/>
                <w:b/>
              </w:rPr>
              <w:t>TO:</w:t>
            </w:r>
          </w:p>
        </w:tc>
        <w:tc>
          <w:tcPr>
            <w:tcW w:w="3762" w:type="dxa"/>
            <w:tcBorders/>
          </w:tcPr>
          <w:p>
            <w:pPr>
              <w:pStyle w:val="Normal"/>
              <w:rPr>
                <w:rFonts w:ascii="Arial" w:hAnsi="Arial" w:cs="Arial"/>
              </w:rPr>
            </w:pPr>
            <w:r>
              <w:rPr>
                <w:rFonts w:cs="Arial" w:ascii="Arial" w:hAnsi="Arial"/>
              </w:rPr>
              <w:t>Mark Haedicke</w:t>
            </w:r>
          </w:p>
          <w:p>
            <w:pPr>
              <w:pStyle w:val="Normal"/>
              <w:rPr>
                <w:rFonts w:ascii="Arial" w:hAnsi="Arial" w:cs="Arial"/>
              </w:rPr>
            </w:pPr>
            <w:r>
              <w:rPr>
                <w:rFonts w:cs="Arial" w:ascii="Arial" w:hAnsi="Arial"/>
              </w:rPr>
              <w:t>Elizabeth Sager</w:t>
            </w:r>
          </w:p>
        </w:tc>
        <w:tc>
          <w:tcPr>
            <w:tcW w:w="2427" w:type="dxa"/>
            <w:gridSpan w:val="3"/>
            <w:tcBorders/>
          </w:tcPr>
          <w:p>
            <w:pPr>
              <w:pStyle w:val="Normal"/>
              <w:snapToGrid w:val="false"/>
              <w:rPr>
                <w:rFonts w:ascii="Arial" w:hAnsi="Arial" w:cs="Arial"/>
              </w:rPr>
            </w:pPr>
            <w:r>
              <w:rPr>
                <w:rFonts w:cs="Arial" w:ascii="Arial" w:hAnsi="Arial"/>
              </w:rPr>
            </w:r>
          </w:p>
        </w:tc>
        <w:tc>
          <w:tcPr>
            <w:tcW w:w="1890" w:type="dxa"/>
            <w:tcBorders/>
          </w:tcPr>
          <w:p>
            <w:pPr>
              <w:pStyle w:val="Normal"/>
              <w:snapToGrid w:val="false"/>
              <w:rPr>
                <w:rFonts w:ascii="Arial" w:hAnsi="Arial" w:cs="Arial"/>
              </w:rPr>
            </w:pPr>
            <w:r>
              <w:rPr>
                <w:rFonts w:cs="Arial" w:ascii="Arial" w:hAnsi="Arial"/>
              </w:rPr>
            </w:r>
          </w:p>
        </w:tc>
      </w:tr>
      <w:tr>
        <w:trPr/>
        <w:tc>
          <w:tcPr>
            <w:tcW w:w="1569" w:type="dxa"/>
            <w:tcBorders/>
          </w:tcPr>
          <w:p>
            <w:pPr>
              <w:pStyle w:val="Normal"/>
              <w:snapToGrid w:val="false"/>
              <w:rPr>
                <w:rFonts w:ascii="Arial" w:hAnsi="Arial" w:cs="Arial"/>
              </w:rPr>
            </w:pPr>
            <w:r>
              <w:rPr>
                <w:rFonts w:cs="Arial" w:ascii="Arial" w:hAnsi="Arial"/>
              </w:rPr>
            </w:r>
          </w:p>
        </w:tc>
        <w:tc>
          <w:tcPr>
            <w:tcW w:w="3762" w:type="dxa"/>
            <w:tcBorders/>
          </w:tcPr>
          <w:p>
            <w:pPr>
              <w:pStyle w:val="Normal"/>
              <w:snapToGrid w:val="false"/>
              <w:rPr>
                <w:rFonts w:ascii="Arial" w:hAnsi="Arial" w:cs="Arial"/>
              </w:rPr>
            </w:pPr>
            <w:r>
              <w:rPr>
                <w:rFonts w:cs="Arial" w:ascii="Arial" w:hAnsi="Arial"/>
              </w:rPr>
            </w:r>
          </w:p>
        </w:tc>
        <w:tc>
          <w:tcPr>
            <w:tcW w:w="2148" w:type="dxa"/>
            <w:gridSpan w:val="2"/>
            <w:tcBorders/>
          </w:tcPr>
          <w:p>
            <w:pPr>
              <w:pStyle w:val="Normal"/>
              <w:snapToGrid w:val="false"/>
              <w:rPr>
                <w:rFonts w:ascii="Arial" w:hAnsi="Arial" w:cs="Arial"/>
              </w:rPr>
            </w:pPr>
            <w:r>
              <w:rPr>
                <w:rFonts w:cs="Arial" w:ascii="Arial" w:hAnsi="Arial"/>
              </w:rPr>
            </w:r>
          </w:p>
        </w:tc>
        <w:tc>
          <w:tcPr>
            <w:tcW w:w="2169" w:type="dxa"/>
            <w:gridSpan w:val="2"/>
            <w:tcBorders/>
          </w:tcPr>
          <w:p>
            <w:pPr>
              <w:pStyle w:val="Normal"/>
              <w:snapToGrid w:val="false"/>
              <w:rPr>
                <w:rFonts w:ascii="Arial" w:hAnsi="Arial" w:cs="Arial"/>
              </w:rPr>
            </w:pPr>
            <w:r>
              <w:rPr>
                <w:rFonts w:cs="Arial" w:ascii="Arial" w:hAnsi="Arial"/>
              </w:rPr>
            </w:r>
          </w:p>
        </w:tc>
      </w:tr>
      <w:tr>
        <w:trPr/>
        <w:tc>
          <w:tcPr>
            <w:tcW w:w="1569" w:type="dxa"/>
            <w:tcBorders/>
          </w:tcPr>
          <w:p>
            <w:pPr>
              <w:pStyle w:val="Normal"/>
              <w:rPr>
                <w:rFonts w:ascii="Arial" w:hAnsi="Arial" w:cs="Arial"/>
              </w:rPr>
            </w:pPr>
            <w:r>
              <w:rPr>
                <w:rFonts w:cs="Arial" w:ascii="Arial" w:hAnsi="Arial"/>
                <w:b/>
              </w:rPr>
              <w:t>FROM:</w:t>
            </w:r>
          </w:p>
        </w:tc>
        <w:tc>
          <w:tcPr>
            <w:tcW w:w="3762" w:type="dxa"/>
            <w:tcBorders/>
          </w:tcPr>
          <w:p>
            <w:pPr>
              <w:pStyle w:val="Normal"/>
              <w:rPr>
                <w:rFonts w:ascii="Arial" w:hAnsi="Arial" w:cs="Arial"/>
              </w:rPr>
            </w:pPr>
            <w:r>
              <w:rPr>
                <w:rFonts w:cs="Arial" w:ascii="Arial" w:hAnsi="Arial"/>
              </w:rPr>
              <w:t>Christian Yoder</w:t>
            </w:r>
          </w:p>
        </w:tc>
        <w:tc>
          <w:tcPr>
            <w:tcW w:w="2148" w:type="dxa"/>
            <w:gridSpan w:val="2"/>
            <w:tcBorders/>
          </w:tcPr>
          <w:p>
            <w:pPr>
              <w:pStyle w:val="Normal"/>
              <w:rPr>
                <w:rFonts w:ascii="Arial" w:hAnsi="Arial" w:cs="Arial"/>
              </w:rPr>
            </w:pPr>
            <w:r>
              <w:rPr>
                <w:rFonts w:cs="Arial" w:ascii="Arial" w:hAnsi="Arial"/>
                <w:b/>
              </w:rPr>
              <w:t>DEPARTMENT:</w:t>
            </w:r>
          </w:p>
        </w:tc>
        <w:tc>
          <w:tcPr>
            <w:tcW w:w="2169" w:type="dxa"/>
            <w:gridSpan w:val="2"/>
            <w:tcBorders/>
          </w:tcPr>
          <w:p>
            <w:pPr>
              <w:pStyle w:val="Normal"/>
              <w:rPr>
                <w:rFonts w:ascii="Arial" w:hAnsi="Arial" w:cs="Arial"/>
              </w:rPr>
            </w:pPr>
            <w:r>
              <w:rPr>
                <w:rFonts w:cs="Arial" w:ascii="Arial" w:hAnsi="Arial"/>
              </w:rPr>
              <w:t>ENA Legal – Portland</w:t>
            </w:r>
          </w:p>
        </w:tc>
      </w:tr>
      <w:tr>
        <w:trPr/>
        <w:tc>
          <w:tcPr>
            <w:tcW w:w="1569" w:type="dxa"/>
            <w:tcBorders/>
          </w:tcPr>
          <w:p>
            <w:pPr>
              <w:pStyle w:val="Normal"/>
              <w:snapToGrid w:val="false"/>
              <w:rPr>
                <w:rFonts w:ascii="Arial" w:hAnsi="Arial" w:cs="Arial"/>
                <w:b/>
              </w:rPr>
            </w:pPr>
            <w:r>
              <w:rPr>
                <w:rFonts w:cs="Arial" w:ascii="Arial" w:hAnsi="Arial"/>
                <w:b/>
              </w:rPr>
            </w:r>
          </w:p>
        </w:tc>
        <w:tc>
          <w:tcPr>
            <w:tcW w:w="3762" w:type="dxa"/>
            <w:tcBorders/>
          </w:tcPr>
          <w:p>
            <w:pPr>
              <w:pStyle w:val="Normal"/>
              <w:snapToGrid w:val="false"/>
              <w:rPr>
                <w:rFonts w:ascii="Arial" w:hAnsi="Arial" w:cs="Arial"/>
                <w:b/>
              </w:rPr>
            </w:pPr>
            <w:r>
              <w:rPr>
                <w:rFonts w:cs="Arial" w:ascii="Arial" w:hAnsi="Arial"/>
                <w:b/>
              </w:rPr>
            </w:r>
          </w:p>
        </w:tc>
        <w:tc>
          <w:tcPr>
            <w:tcW w:w="2148" w:type="dxa"/>
            <w:gridSpan w:val="2"/>
            <w:tcBorders/>
          </w:tcPr>
          <w:p>
            <w:pPr>
              <w:pStyle w:val="Normal"/>
              <w:snapToGrid w:val="false"/>
              <w:rPr>
                <w:rFonts w:ascii="Arial" w:hAnsi="Arial" w:cs="Arial"/>
                <w:b/>
              </w:rPr>
            </w:pPr>
            <w:r>
              <w:rPr>
                <w:rFonts w:cs="Arial" w:ascii="Arial" w:hAnsi="Arial"/>
                <w:b/>
              </w:rPr>
            </w:r>
          </w:p>
        </w:tc>
        <w:tc>
          <w:tcPr>
            <w:tcW w:w="2169" w:type="dxa"/>
            <w:gridSpan w:val="2"/>
            <w:tcBorders/>
          </w:tcPr>
          <w:p>
            <w:pPr>
              <w:pStyle w:val="Normal"/>
              <w:snapToGrid w:val="false"/>
              <w:rPr>
                <w:rFonts w:ascii="Arial" w:hAnsi="Arial" w:cs="Arial"/>
                <w:b/>
              </w:rPr>
            </w:pPr>
            <w:r>
              <w:rPr>
                <w:rFonts w:cs="Arial" w:ascii="Arial" w:hAnsi="Arial"/>
                <w:b/>
              </w:rPr>
            </w:r>
          </w:p>
        </w:tc>
      </w:tr>
      <w:tr>
        <w:trPr/>
        <w:tc>
          <w:tcPr>
            <w:tcW w:w="1569" w:type="dxa"/>
            <w:tcBorders/>
          </w:tcPr>
          <w:p>
            <w:pPr>
              <w:pStyle w:val="Normal"/>
              <w:rPr>
                <w:rFonts w:ascii="Arial" w:hAnsi="Arial" w:cs="Arial"/>
              </w:rPr>
            </w:pPr>
            <w:r>
              <w:rPr>
                <w:rFonts w:cs="Arial" w:ascii="Arial" w:hAnsi="Arial"/>
                <w:b/>
              </w:rPr>
              <w:t>SUBJECT:</w:t>
            </w:r>
          </w:p>
        </w:tc>
        <w:tc>
          <w:tcPr>
            <w:tcW w:w="3762" w:type="dxa"/>
            <w:tcBorders/>
          </w:tcPr>
          <w:p>
            <w:pPr>
              <w:pStyle w:val="Normal"/>
              <w:rPr>
                <w:rFonts w:ascii="Arial" w:hAnsi="Arial" w:cs="Arial"/>
              </w:rPr>
            </w:pPr>
            <w:r>
              <w:rPr>
                <w:rFonts w:cs="Arial" w:ascii="Arial" w:hAnsi="Arial"/>
              </w:rPr>
              <w:t>Legal Risk Memo:  Three Way Exposure Reducing Trade</w:t>
            </w:r>
          </w:p>
        </w:tc>
        <w:tc>
          <w:tcPr>
            <w:tcW w:w="1673" w:type="dxa"/>
            <w:tcBorders/>
          </w:tcPr>
          <w:p>
            <w:pPr>
              <w:pStyle w:val="Normal"/>
              <w:rPr>
                <w:rFonts w:ascii="Arial" w:hAnsi="Arial" w:cs="Arial"/>
              </w:rPr>
            </w:pPr>
            <w:r>
              <w:rPr>
                <w:rFonts w:cs="Arial" w:ascii="Arial" w:hAnsi="Arial"/>
                <w:b/>
              </w:rPr>
              <w:t>DATE:</w:t>
            </w:r>
          </w:p>
        </w:tc>
        <w:tc>
          <w:tcPr>
            <w:tcW w:w="2644" w:type="dxa"/>
            <w:gridSpan w:val="3"/>
            <w:tcBorders/>
          </w:tcPr>
          <w:p>
            <w:pPr>
              <w:pStyle w:val="Normal"/>
              <w:rPr>
                <w:rFonts w:ascii="Arial" w:hAnsi="Arial" w:cs="Arial"/>
              </w:rPr>
            </w:pPr>
            <w:r>
              <w:rPr>
                <w:rFonts w:cs="Arial" w:ascii="Arial" w:hAnsi="Arial"/>
              </w:rPr>
              <w:t>July 13, 2001</w:t>
            </w:r>
          </w:p>
        </w:tc>
      </w:tr>
      <w:tr>
        <w:trPr/>
        <w:tc>
          <w:tcPr>
            <w:tcW w:w="1569" w:type="dxa"/>
            <w:tcBorders/>
          </w:tcPr>
          <w:p>
            <w:pPr>
              <w:pStyle w:val="Normal"/>
              <w:snapToGrid w:val="false"/>
              <w:rPr>
                <w:rFonts w:ascii="Arial" w:hAnsi="Arial" w:cs="Arial"/>
                <w:b/>
              </w:rPr>
            </w:pPr>
            <w:r>
              <w:rPr>
                <w:rFonts w:cs="Arial" w:ascii="Arial" w:hAnsi="Arial"/>
                <w:b/>
              </w:rPr>
            </w:r>
          </w:p>
        </w:tc>
        <w:tc>
          <w:tcPr>
            <w:tcW w:w="3762" w:type="dxa"/>
            <w:tcBorders/>
          </w:tcPr>
          <w:p>
            <w:pPr>
              <w:pStyle w:val="Normal"/>
              <w:snapToGrid w:val="false"/>
              <w:rPr>
                <w:rFonts w:ascii="Arial" w:hAnsi="Arial" w:cs="Arial"/>
                <w:b/>
              </w:rPr>
            </w:pPr>
            <w:r>
              <w:rPr>
                <w:rFonts w:cs="Arial" w:ascii="Arial" w:hAnsi="Arial"/>
                <w:b/>
              </w:rPr>
            </w:r>
          </w:p>
        </w:tc>
        <w:tc>
          <w:tcPr>
            <w:tcW w:w="1673" w:type="dxa"/>
            <w:tcBorders/>
          </w:tcPr>
          <w:p>
            <w:pPr>
              <w:pStyle w:val="Normal"/>
              <w:snapToGrid w:val="false"/>
              <w:rPr>
                <w:rFonts w:ascii="Arial" w:hAnsi="Arial" w:cs="Arial"/>
                <w:b/>
              </w:rPr>
            </w:pPr>
            <w:r>
              <w:rPr>
                <w:rFonts w:cs="Arial" w:ascii="Arial" w:hAnsi="Arial"/>
                <w:b/>
              </w:rPr>
            </w:r>
          </w:p>
        </w:tc>
        <w:tc>
          <w:tcPr>
            <w:tcW w:w="2644" w:type="dxa"/>
            <w:gridSpan w:val="3"/>
            <w:tcBorders/>
          </w:tcPr>
          <w:p>
            <w:pPr>
              <w:pStyle w:val="Normal"/>
              <w:snapToGrid w:val="false"/>
              <w:rPr>
                <w:rFonts w:ascii="Arial" w:hAnsi="Arial" w:cs="Arial"/>
                <w:b/>
              </w:rPr>
            </w:pPr>
            <w:r>
              <w:rPr>
                <w:rFonts w:cs="Arial" w:ascii="Arial" w:hAnsi="Arial"/>
                <w:b/>
              </w:rPr>
            </w:r>
          </w:p>
        </w:tc>
      </w:tr>
    </w:tbl>
    <w:p>
      <w:pPr>
        <w:pStyle w:val="Normal"/>
        <w:pBdr>
          <w:bottom w:val="single" w:sz="18" w:space="1" w:color="000000"/>
        </w:pBdr>
        <w:tabs>
          <w:tab w:val="clear" w:pos="720"/>
          <w:tab w:val="left" w:pos="1344" w:leader="none"/>
          <w:tab w:val="left" w:pos="5106" w:leader="none"/>
          <w:tab w:val="left" w:pos="7254" w:leader="none"/>
        </w:tabs>
        <w:jc w:val="both"/>
        <w:rPr>
          <w:rFonts w:ascii="Arial" w:hAnsi="Arial" w:cs="Arial"/>
        </w:rPr>
      </w:pPr>
      <w:r>
        <w:rPr>
          <w:rFonts w:cs="Arial" w:ascii="Arial" w:hAnsi="Arial"/>
        </w:rPr>
      </w:r>
    </w:p>
    <w:p>
      <w:pPr>
        <w:pStyle w:val="BodyText"/>
        <w:rPr>
          <w:rFonts w:ascii="Arial" w:hAnsi="Arial" w:cs="Arial"/>
          <w:sz w:val="24"/>
        </w:rPr>
      </w:pPr>
      <w:r>
        <w:rPr>
          <w:rFonts w:cs="Arial"/>
          <w:sz w:val="24"/>
        </w:rPr>
      </w:r>
    </w:p>
    <w:p>
      <w:pPr>
        <w:pStyle w:val="BodyText"/>
        <w:rPr>
          <w:sz w:val="24"/>
        </w:rPr>
      </w:pPr>
      <w:r>
        <w:rPr>
          <w:sz w:val="24"/>
        </w:rPr>
        <w:t>Legal Risk:  2</w:t>
      </w:r>
    </w:p>
    <w:p>
      <w:pPr>
        <w:pStyle w:val="BodyText"/>
        <w:rPr>
          <w:sz w:val="24"/>
        </w:rPr>
      </w:pPr>
      <w:r>
        <w:rPr>
          <w:sz w:val="24"/>
        </w:rPr>
      </w:r>
    </w:p>
    <w:p>
      <w:pPr>
        <w:pStyle w:val="BodyText"/>
        <w:rPr>
          <w:sz w:val="24"/>
        </w:rPr>
      </w:pPr>
      <w:r>
        <w:rPr>
          <w:sz w:val="24"/>
        </w:rPr>
        <w:t xml:space="preserve">EPMI currently has in the money exposure to the Avista corporate family of $105,000,000 and out of the money exposure to the Williams corporate family of $160,000,000.  By entering into a three way out of the market trade with these companies (EPMI-Avista; EPMI-Williams; Avista-Williams), EPMI can reduce these exposure amounts by somewhere between $10,000,000 and $25,000,000.  Reducing exposure with trading counterparties lowers credit costs (posting margin) and bankruptcy risk.  The commercial terms of the trades will be tailored to reduce risk by perfecting a physical hedge of our portfolio position with these companies. </w:t>
      </w:r>
    </w:p>
    <w:p>
      <w:pPr>
        <w:pStyle w:val="BodyText"/>
        <w:rPr>
          <w:sz w:val="24"/>
        </w:rPr>
      </w:pPr>
      <w:r>
        <w:rPr>
          <w:sz w:val="24"/>
        </w:rPr>
      </w:r>
    </w:p>
    <w:p>
      <w:pPr>
        <w:pStyle w:val="BodyText"/>
        <w:rPr>
          <w:sz w:val="24"/>
        </w:rPr>
      </w:pPr>
      <w:r>
        <w:rPr>
          <w:sz w:val="24"/>
        </w:rPr>
        <w:t xml:space="preserve">The three trades will all be documented by standard Confirmation Letters issued pursuant to standard Master Agreements.  Each Confirmation Letter will be subject to a condition precedent making the simultaneous execution of all three Confirmation Letters a condition of each one’s coming into force.  Once established, a default under one confirm (for example, the Avista-Williams confirm) will not trigger a default under either of the other two confirms (either of the EPMI confirms).  The legal risks of the structure are the typical risks of standard trading transactions done under Master Agreements except in one respect.  Because the trades will be done at an out of the money price and immediately booked out, there is, in the opinion of Cadwalader (who drafted key terms of the confirms and has been involved at every step), a very unlikely risk that a bankruptcy judge might declare one leg of the three-legged transaction void, with no payment due, which would expose those parties still involved in the other two unaffected legs of the tripartite trade to payment exposure without a corresponding offset payment from the bankrupt.  This risk has been mitigated by adding a sentence to the confirms that says if this happens, all three of the trades will terminate. </w:t>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/mnt/main-storage/datasets/enron-docs/doc/3_Way_Exposure_Reducing_Trade.doc</w:t>
    </w:r>
    <w:r>
      <w:rPr>
        <w:sz w:val="12"/>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6030" w:end="0"/>
      <w:outlineLvl w:val="0"/>
    </w:pPr>
    <w:rPr>
      <w:rFonts w:ascii="Arial" w:hAnsi="Arial" w:cs="Arial"/>
      <w:b/>
      <w:sz w:val="30"/>
    </w:rPr>
  </w:style>
  <w:style w:type="paragraph" w:styleId="Heading2">
    <w:name w:val="heading 2"/>
    <w:basedOn w:val="Normal"/>
    <w:next w:val="Normal"/>
    <w:qFormat/>
    <w:pPr>
      <w:keepNext w:val="true"/>
      <w:numPr>
        <w:ilvl w:val="1"/>
        <w:numId w:val="1"/>
      </w:numPr>
      <w:ind w:hanging="0" w:start="4230" w:end="0"/>
      <w:outlineLvl w:val="1"/>
    </w:pPr>
    <w:rPr>
      <w:rFonts w:ascii="Arial" w:hAnsi="Arial" w:cs="Arial"/>
      <w:b/>
      <w:sz w:val="3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0"/>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ind w:hanging="0" w:start="1440" w:end="900"/>
    </w:pPr>
    <w:rPr>
      <w:szCs w:val="24"/>
    </w:rPr>
  </w:style>
  <w:style w:type="paragraph" w:styleId="BodyTextIndent">
    <w:name w:val="Body Text Indent"/>
    <w:basedOn w:val="Normal"/>
    <w:pPr>
      <w:ind w:firstLine="720" w:start="0" w:end="0"/>
    </w:pPr>
    <w:rPr>
      <w:rFonts w:ascii="Arial" w:hAnsi="Arial" w:cs="Arial"/>
    </w:rPr>
  </w:style>
  <w:style w:type="paragraph" w:styleId="BodyTextIndent2">
    <w:name w:val="Body Text Indent 2"/>
    <w:basedOn w:val="Normal"/>
    <w:qFormat/>
    <w:pPr>
      <w:ind w:hanging="720" w:start="1440" w:end="0"/>
    </w:pPr>
    <w:rPr>
      <w:rFonts w:ascii="Arial" w:hAnsi="Arial" w:cs="Arial"/>
    </w:rPr>
  </w:style>
  <w:style w:type="paragraph" w:styleId="BodyTextIndent3">
    <w:name w:val="Body Text Indent 3"/>
    <w:basedOn w:val="Normal"/>
    <w:qFormat/>
    <w:pPr>
      <w:tabs>
        <w:tab w:val="left" w:pos="720" w:leader="none"/>
      </w:tabs>
      <w:ind w:hanging="720" w:start="72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2001-07-13T18:09:00Z</dcterms:created>
  <dc:creator>robin jordan</dc:creator>
  <dc:description/>
  <dc:language>en-CA</dc:language>
  <cp:lastModifiedBy>cyoder</cp:lastModifiedBy>
  <cp:lastPrinted>2001-07-13T14:01:00Z</cp:lastPrinted>
  <dcterms:modified xsi:type="dcterms:W3CDTF">2001-07-13T20:33:00Z</dcterms:modified>
  <cp:revision>4</cp:revision>
  <dc:subject/>
  <dc:title>  	</dc:title>
</cp:coreProperties>
</file>