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rPr>
      </w:pPr>
      <w:r>
        <w:rPr>
          <w:b/>
          <w:caps/>
        </w:rPr>
        <w:t>confidentiality Agreement</w:t>
      </w:r>
    </w:p>
    <w:p>
      <w:pPr>
        <w:pStyle w:val="Normal"/>
        <w:rPr>
          <w:b/>
          <w:caps/>
        </w:rPr>
      </w:pPr>
      <w:r>
        <w:rPr>
          <w:b/>
          <w:caps/>
        </w:rPr>
      </w:r>
    </w:p>
    <w:p>
      <w:pPr>
        <w:pStyle w:val="Normal"/>
        <w:rPr/>
      </w:pPr>
      <w:r>
        <w:rPr>
          <w:b/>
          <w:caps/>
        </w:rPr>
        <w:t>this confidentiality agreement</w:t>
      </w:r>
      <w:r>
        <w:rPr/>
        <w:t xml:space="preserve"> is effective as of _____, 2001 by and among ANR Pipeline Company ("ANR"), Enron Transportation Services Company (“Enron”) and TransCanada PipeLines Limited ("TCPL")(each sometimes referred to individually as a “Party” and collectively as the “Parties”).</w:t>
      </w:r>
    </w:p>
    <w:p>
      <w:pPr>
        <w:pStyle w:val="Normal"/>
        <w:rPr/>
      </w:pPr>
      <w:r>
        <w:rPr/>
      </w:r>
    </w:p>
    <w:p>
      <w:pPr>
        <w:pStyle w:val="Normal"/>
        <w:rPr/>
      </w:pPr>
      <w:r>
        <w:rPr>
          <w:b/>
        </w:rPr>
        <w:t xml:space="preserve">WHEREAS </w:t>
      </w:r>
      <w:r>
        <w:rPr/>
        <w:t>the Parties intend to enter into discussions, analyses and evaluations regarding the potential for a green field joint project to facilitate the transportation of at least 1 Bcf per day of natural gas from the Canada/U.S. border to the Midwest United States (the "Potential Venture").  In connection with the Parties’ analyses and evaluation of the Potential Venture, each Party has requested certain oral, written and electronic information (hereinafter collectively referred to as the "Evaluation Material”) from the other Parties concerning such Parties’ business (including upstream, downstream and potentially interconnecting facilities) and the Potential Venture from officers, directors, employees, advisors and/or agents of such Party.  “Evaluation Material” includes, but is not limited to, contracts, financial information, engineering reports, environmental reports, land and lease information, technical and economic data, marketing terms and arrangements, knowledge, know-how, plans, maps, drawings field notes, sketches, photographs, computer records or software, specifications, models or other information which is applicable to the assets or business affairs of a Party or the Potential Venture, together with all analyses, compilations, data studies or other documents or electronic records prepared by or one behalf of a Party containing or based upon, in whole or in part, information acquired from another Party during the course of its evaluation of the Potential Venture.  The Party providing any Evaluation Material to any other Party is sometimes referred to as the "Provider" and the Party receiving any Evaluation Material is sometimes referred to herein as the "Recipient".</w:t>
      </w:r>
    </w:p>
    <w:p>
      <w:pPr>
        <w:pStyle w:val="Normal"/>
        <w:rPr/>
      </w:pPr>
      <w:r>
        <w:rPr/>
      </w:r>
    </w:p>
    <w:p>
      <w:pPr>
        <w:pStyle w:val="Normal"/>
        <w:rPr/>
      </w:pPr>
      <w:r>
        <w:rPr/>
        <w:t>In consideration of the premises and mutual promises contained in this Agreement, a Provider furnishing a Recipient with the Evaluation Material, and intending to be legally bound hereby, ANR, Enron and TCPL hereby agree as follows:</w:t>
      </w:r>
    </w:p>
    <w:p>
      <w:pPr>
        <w:pStyle w:val="Normal"/>
        <w:rPr/>
      </w:pPr>
      <w:r>
        <w:rPr/>
      </w:r>
    </w:p>
    <w:p>
      <w:pPr>
        <w:pStyle w:val="1"/>
        <w:rPr/>
      </w:pPr>
      <w:r>
        <w:rPr/>
        <w:t>1.</w:t>
        <w:tab/>
        <w:t xml:space="preserve">Each Recipient will use the Evaluation Material received from a Provider solely for the purpose of evaluating the Potential Venture and such information will be kept strictly confidential, except that a Recipient may disclose the Evaluation Material or portions thereof, to those of its and its Affiliates (as defined below) respective directors, officers, employees, and advisors (the persons to whom such disclosure is permissible being collectively called "Representatives") who need to know such information for the purpose of evaluating the Potential Venture (it being understood that, before disclosing the Evaluation Material or any portion thereof to such Representatives, each Recipient will inform its Representatives of the confidential nature of the Evaluation Material and their duty to treat such Evaluation Material in accordance with this Agreement).  The Parties shall be responsible for any breach of this Agreement by any of their respective Representatives.  If a Recipient or any of its Representatives become legally compelled (by deposition, interrogatory, request for documents, subpoena, regulatory or civil investigative demand or similar process) or shall be advised by counsel to disclose any of the Evaluation Material, such Recipient shall undertake reasonable efforts to provide the Provider with prompt notice of such requirement or advice prior to disclosure so that the Provider may seek a protective order or other appropriate remedy and/or waive compliance with the terms of this Agreement.  If such protective order or other remedy is not obtained, or the Provider waives compliance with the provisions hereof, the Recipient agrees to furnish only that portion of the Evaluation Material which it is legally required to furnish and, at the request of the Provider, to use reasonable efforts to obtain assurance that confidential treatment will be accorded such Evaluation Material, it being understood that such reasonable efforts shall be at the cost and expense of the Provider.  For the purposes of this Agreement, “Affiliate” shall mean, with respect to any person, any other person that directly or indirectly through one or more intermediaries controls or is controlled by or is under common control with the person.  The terms “controls”, “controlled by” and “under common control with” shall mean the possession, directly or indirectly through one or more intermediaries, of more than fifty percent (50%) of the outstanding voting stock of, or the power to direct or cause the direction of the management policies of any person, whether through ownership of stock, as a general partner or trustee, by contract or otherwise.  </w:t>
      </w:r>
    </w:p>
    <w:p>
      <w:pPr>
        <w:pStyle w:val="1"/>
        <w:rPr/>
      </w:pPr>
      <w:r>
        <w:rPr/>
      </w:r>
    </w:p>
    <w:p>
      <w:pPr>
        <w:pStyle w:val="1"/>
        <w:rPr/>
      </w:pPr>
      <w:r>
        <w:rPr/>
        <w:t>2.</w:t>
        <w:tab/>
        <w:t>The term "Evaluation Material" does not include any information that (a) at the time of disclosure or thereafter is generally available to the public (other than as a result of a wrongful disclosure directly or indirectly by a Recipient or its Representatives), (b) was or becomes available to a Recipient on an unrestricted, non-confidential basis from a source other than a Provider or its advisors, or any Affiliates or representatives thereof, or (c) is independently developed by a Recipient without reference to any Evaluation Material provided by a Provider.</w:t>
      </w:r>
    </w:p>
    <w:p>
      <w:pPr>
        <w:pStyle w:val="1"/>
        <w:rPr/>
      </w:pPr>
      <w:r>
        <w:rPr/>
      </w:r>
    </w:p>
    <w:p>
      <w:pPr>
        <w:pStyle w:val="1"/>
        <w:rPr/>
      </w:pPr>
      <w:r>
        <w:rPr/>
        <w:t>3.</w:t>
        <w:tab/>
        <w:t>If a transaction regarding the Potential Venture is not consummated by the Parties or any of them and a Provider so requests in writing or if a Provider otherwise so requests in writing, each of the Recipients will return to the Provider within thirty (30) business days all copies of Evaluation Material in tangible from received from the Provider in its or its Representatives' possession or certify within such period that it has destroyed such information; provided, however, that a Recipient's sole obligation with respect to the disposition of any internal reports, analyses, memoranda or other materials prepared by it that incorporate any such Evaluation Material shall be to edit or otherwise expunge all such Evaluation Material from such materials.</w:t>
      </w:r>
    </w:p>
    <w:p>
      <w:pPr>
        <w:pStyle w:val="1"/>
        <w:rPr/>
      </w:pPr>
      <w:r>
        <w:rPr/>
      </w:r>
    </w:p>
    <w:p>
      <w:pPr>
        <w:pStyle w:val="1"/>
        <w:rPr/>
      </w:pPr>
      <w:r>
        <w:rPr/>
        <w:t>4.</w:t>
        <w:tab/>
        <w:t>Whether or not the Potential Venture is consummated, no Party shall issue a press release or make any statements to the general or investing public concerning such transaction or the absence thereof without the express prior written consent of the other Parties.</w:t>
      </w:r>
    </w:p>
    <w:p>
      <w:pPr>
        <w:pStyle w:val="1"/>
        <w:rPr/>
      </w:pPr>
      <w:r>
        <w:rPr/>
      </w:r>
    </w:p>
    <w:p>
      <w:pPr>
        <w:pStyle w:val="1"/>
        <w:rPr/>
      </w:pPr>
      <w:r>
        <w:rPr/>
        <w:t>5.</w:t>
        <w:tab/>
        <w:t>Neither this Agreement nor the disclosure by a Provider of the Evaluation Material or other information shall result in any obligation on the part of any Party to enter into any further agreement with the other Parties with respect to the Potential Venture or to require any Party to disclose any particular information to the other Parties.  Nothing in this Agreement shall imply any partnership or joint venture among the Parties or be construed as making any Party the agent of the others.</w:t>
      </w:r>
    </w:p>
    <w:p>
      <w:pPr>
        <w:pStyle w:val="1"/>
        <w:rPr/>
      </w:pPr>
      <w:r>
        <w:rPr/>
      </w:r>
    </w:p>
    <w:p>
      <w:pPr>
        <w:pStyle w:val="1"/>
        <w:rPr/>
      </w:pPr>
      <w:r>
        <w:rPr/>
        <w:t>6.</w:t>
        <w:tab/>
        <w:t>Each of the Parties acknowledge and agree that:</w:t>
      </w:r>
    </w:p>
    <w:p>
      <w:pPr>
        <w:pStyle w:val="1"/>
        <w:rPr/>
      </w:pPr>
      <w:r>
        <w:rPr/>
      </w:r>
    </w:p>
    <w:p>
      <w:pPr>
        <w:pStyle w:val="a"/>
        <w:rPr/>
      </w:pPr>
      <w:r>
        <w:rPr/>
        <w:t>(a)</w:t>
        <w:tab/>
        <w:t>without prejudice to the terms and conditions of any eventual agreement or agreements relating to the Potential Venture, it does not make any representation or warranty as to the accuracy or completeness of the Evaluation Material;</w:t>
      </w:r>
    </w:p>
    <w:p>
      <w:pPr>
        <w:pStyle w:val="a"/>
        <w:rPr/>
      </w:pPr>
      <w:r>
        <w:rPr/>
      </w:r>
    </w:p>
    <w:p>
      <w:pPr>
        <w:pStyle w:val="a"/>
        <w:rPr/>
      </w:pPr>
      <w:r>
        <w:rPr/>
        <w:t>(b)</w:t>
        <w:tab/>
        <w:t>it will rely on its own investigation, due diligence and analysis in evaluating the Evaluation Material and the Potential Venture and in satisfying itself as to all matters relating to the Potential Venture; and</w:t>
      </w:r>
    </w:p>
    <w:p>
      <w:pPr>
        <w:pStyle w:val="a"/>
        <w:rPr/>
      </w:pPr>
      <w:r>
        <w:rPr/>
      </w:r>
    </w:p>
    <w:p>
      <w:pPr>
        <w:pStyle w:val="a"/>
        <w:rPr/>
      </w:pPr>
      <w:r>
        <w:rPr/>
        <w:t>(c)</w:t>
        <w:tab/>
        <w:t>a Provider shall have no liability, including without limitation, liability for any indirect, consequential, special or punitive damages, to a Recipient or any of its Representatives resulting from any use of the Evaluation Material or for any breach of the terms of this Agreement.</w:t>
      </w:r>
    </w:p>
    <w:p>
      <w:pPr>
        <w:pStyle w:val="a"/>
        <w:rPr/>
      </w:pPr>
      <w:r>
        <w:rPr/>
      </w:r>
    </w:p>
    <w:p>
      <w:pPr>
        <w:pStyle w:val="1"/>
        <w:rPr/>
      </w:pPr>
      <w:r>
        <w:rPr/>
        <w:t>7.</w:t>
        <w:tab/>
        <w:t>In the event of any breach of the provisions of this Agreement, the non-breaching Parties shall be entitled to equitable relief, including relief in the form of injunctions and orders for specific performance, in addition to all other remedies available at law or in equity.</w:t>
      </w:r>
    </w:p>
    <w:p>
      <w:pPr>
        <w:pStyle w:val="1"/>
        <w:rPr/>
      </w:pPr>
      <w:r>
        <w:rPr/>
      </w:r>
    </w:p>
    <w:p>
      <w:pPr>
        <w:pStyle w:val="1"/>
        <w:rPr/>
      </w:pPr>
      <w:r>
        <w:rPr/>
        <w:t>8.</w:t>
        <w:tab/>
        <w:t>Any failure or delay by a Party in exercising any right, power or privilege under this Agreement shall not operate as a waiver thereof, nor shall any single or partial exercise thereof preclude any other or future exercise or any right (equitable or otherwise), power or privilege hereunder.</w:t>
      </w:r>
    </w:p>
    <w:p>
      <w:pPr>
        <w:pStyle w:val="1"/>
        <w:rPr>
          <w:rFonts w:eastAsia="Palatino"/>
        </w:rPr>
      </w:pPr>
      <w:r>
        <w:rPr>
          <w:rFonts w:eastAsia="Palatino"/>
        </w:rPr>
        <w:t xml:space="preserve"> </w:t>
      </w:r>
    </w:p>
    <w:p>
      <w:pPr>
        <w:pStyle w:val="1"/>
        <w:numPr>
          <w:ilvl w:val="0"/>
          <w:numId w:val="1"/>
        </w:numPr>
        <w:rPr/>
      </w:pPr>
      <w:r>
        <w:rPr/>
        <w:t>Upon receipt of written notice, any Party may notify the other Parties that it no longer wishes to receive or provide information.  Any information received or provided by any Party after such notice shall not be subject to the protection of this Agreement.</w:t>
      </w:r>
    </w:p>
    <w:p>
      <w:pPr>
        <w:pStyle w:val="1"/>
        <w:ind w:hanging="0" w:start="0" w:end="0"/>
        <w:rPr/>
      </w:pPr>
      <w:r>
        <w:rPr/>
      </w:r>
    </w:p>
    <w:p>
      <w:pPr>
        <w:pStyle w:val="1"/>
        <w:numPr>
          <w:ilvl w:val="0"/>
          <w:numId w:val="1"/>
        </w:numPr>
        <w:rPr/>
      </w:pPr>
      <w:r>
        <w:rPr/>
        <w:t>For the purposes of this Agreement, notices to the Parties shall be sent to the following addresses:</w:t>
      </w:r>
    </w:p>
    <w:p>
      <w:pPr>
        <w:pStyle w:val="1"/>
        <w:ind w:hanging="0" w:start="0" w:end="0"/>
        <w:rPr/>
      </w:pPr>
      <w:r>
        <w:rPr/>
      </w:r>
    </w:p>
    <w:p>
      <w:pPr>
        <w:pStyle w:val="1"/>
        <w:ind w:hanging="0" w:end="0"/>
        <w:rPr/>
      </w:pPr>
      <w:r>
        <w:rPr/>
        <w:t>ANR Pipeline Company</w:t>
      </w:r>
    </w:p>
    <w:p>
      <w:pPr>
        <w:pStyle w:val="1"/>
        <w:ind w:hanging="0" w:end="0"/>
        <w:rPr/>
      </w:pPr>
      <w:r>
        <w:rPr/>
        <w:t>Nine Greenway Plaza</w:t>
      </w:r>
    </w:p>
    <w:p>
      <w:pPr>
        <w:pStyle w:val="1"/>
        <w:ind w:hanging="0" w:end="0"/>
        <w:rPr/>
      </w:pPr>
      <w:r>
        <w:rPr/>
        <w:t>Houston, Texas 77046</w:t>
      </w:r>
    </w:p>
    <w:p>
      <w:pPr>
        <w:pStyle w:val="1"/>
        <w:ind w:hanging="0" w:end="0"/>
        <w:rPr/>
      </w:pPr>
      <w:r>
        <w:rPr/>
        <w:t>Attention:  Jim Bujnoch</w:t>
      </w:r>
    </w:p>
    <w:p>
      <w:pPr>
        <w:pStyle w:val="1"/>
        <w:ind w:hanging="0" w:end="0"/>
        <w:rPr/>
      </w:pPr>
      <w:r>
        <w:rPr/>
        <w:t>Facsimile No.:  ________________</w:t>
      </w:r>
    </w:p>
    <w:p>
      <w:pPr>
        <w:pStyle w:val="1"/>
        <w:ind w:hanging="0" w:end="0"/>
        <w:rPr/>
      </w:pPr>
      <w:r>
        <w:rPr/>
      </w:r>
    </w:p>
    <w:p>
      <w:pPr>
        <w:pStyle w:val="1"/>
        <w:ind w:hanging="0" w:end="0"/>
        <w:rPr/>
      </w:pPr>
      <w:r>
        <w:rPr/>
        <w:t>Enron Transportation Services Company</w:t>
      </w:r>
    </w:p>
    <w:p>
      <w:pPr>
        <w:pStyle w:val="1"/>
        <w:ind w:hanging="0" w:end="0"/>
        <w:rPr/>
      </w:pPr>
      <w:r>
        <w:rPr/>
        <w:t>[Street Address]</w:t>
      </w:r>
    </w:p>
    <w:p>
      <w:pPr>
        <w:pStyle w:val="1"/>
        <w:ind w:hanging="0" w:end="0"/>
        <w:rPr/>
      </w:pPr>
      <w:r>
        <w:rPr/>
        <w:t>Houston, Texas 77251</w:t>
      </w:r>
    </w:p>
    <w:p>
      <w:pPr>
        <w:pStyle w:val="1"/>
        <w:ind w:hanging="0" w:end="0"/>
        <w:rPr/>
      </w:pPr>
      <w:r>
        <w:rPr/>
        <w:t>Attention:  Eric Gold</w:t>
      </w:r>
    </w:p>
    <w:p>
      <w:pPr>
        <w:pStyle w:val="1"/>
        <w:ind w:hanging="0" w:end="0"/>
        <w:rPr/>
      </w:pPr>
      <w:r>
        <w:rPr/>
        <w:t>Facsimile No.: __________________</w:t>
      </w:r>
    </w:p>
    <w:p>
      <w:pPr>
        <w:pStyle w:val="1"/>
        <w:ind w:hanging="0" w:end="0"/>
        <w:rPr/>
      </w:pPr>
      <w:r>
        <w:rPr/>
      </w:r>
    </w:p>
    <w:p>
      <w:pPr>
        <w:pStyle w:val="1"/>
        <w:ind w:hanging="0" w:end="0"/>
        <w:rPr/>
      </w:pPr>
      <w:r>
        <w:rPr/>
        <w:t>TransCanada PipeLines Limited</w:t>
      </w:r>
    </w:p>
    <w:p>
      <w:pPr>
        <w:pStyle w:val="1"/>
        <w:ind w:hanging="0" w:end="0"/>
        <w:rPr/>
      </w:pPr>
      <w:r>
        <w:rPr/>
        <w:t>450 – 1</w:t>
      </w:r>
      <w:r>
        <w:rPr>
          <w:vertAlign w:val="superscript"/>
        </w:rPr>
        <w:t>st</w:t>
      </w:r>
      <w:r>
        <w:rPr/>
        <w:t xml:space="preserve"> Street S.W.</w:t>
      </w:r>
    </w:p>
    <w:p>
      <w:pPr>
        <w:pStyle w:val="1"/>
        <w:ind w:hanging="0" w:end="0"/>
        <w:rPr/>
      </w:pPr>
      <w:r>
        <w:rPr/>
        <w:t>Calgary, Alberta T2P 5H1</w:t>
      </w:r>
    </w:p>
    <w:p>
      <w:pPr>
        <w:pStyle w:val="1"/>
        <w:ind w:hanging="0" w:end="0"/>
        <w:rPr/>
      </w:pPr>
      <w:r>
        <w:rPr/>
        <w:t>Attention:  Paul MacGregor</w:t>
      </w:r>
    </w:p>
    <w:p>
      <w:pPr>
        <w:pStyle w:val="1"/>
        <w:ind w:hanging="0" w:end="0"/>
        <w:rPr/>
      </w:pPr>
      <w:r>
        <w:rPr/>
        <w:t>Facsimile No.:  (403) 920-2350</w:t>
      </w:r>
    </w:p>
    <w:p>
      <w:pPr>
        <w:pStyle w:val="1"/>
        <w:ind w:hanging="0" w:end="0"/>
        <w:rPr/>
      </w:pPr>
      <w:r>
        <w:rPr/>
      </w:r>
    </w:p>
    <w:p>
      <w:pPr>
        <w:pStyle w:val="1"/>
        <w:ind w:hanging="0" w:end="0"/>
        <w:rPr/>
      </w:pPr>
      <w:r>
        <w:rPr/>
        <w:t>and shall be deemed to have been received by such Party on the earliest of the date of delivery, in the case of personal delivery, and the day (other than a Saturday, Sunday or statutory holiday in the jurisdiction of the recipient) following the date of transmission by facsimile.</w:t>
      </w:r>
    </w:p>
    <w:p>
      <w:pPr>
        <w:pStyle w:val="1"/>
        <w:rPr/>
      </w:pPr>
      <w:r>
        <w:rPr/>
      </w:r>
    </w:p>
    <w:p>
      <w:pPr>
        <w:pStyle w:val="1"/>
        <w:rPr/>
      </w:pPr>
      <w:r>
        <w:rPr/>
        <w:t>11.</w:t>
        <w:tab/>
        <w:t>This Agreement may not be assigned by any Party without the prior written consent of the other Parties.  In any event, the assignor shall not be relieved of its obligations to the other Parties under this Agreement.</w:t>
      </w:r>
    </w:p>
    <w:p>
      <w:pPr>
        <w:pStyle w:val="1"/>
        <w:rPr/>
      </w:pPr>
      <w:r>
        <w:rPr/>
      </w:r>
    </w:p>
    <w:p>
      <w:pPr>
        <w:pStyle w:val="1"/>
        <w:numPr>
          <w:ilvl w:val="0"/>
          <w:numId w:val="1"/>
        </w:numPr>
        <w:rPr/>
      </w:pPr>
      <w:r>
        <w:rPr/>
        <w:t>This Agreement shall be governed by the laws of the State of Delaware, excluding the conflict of laws provisions thereof.</w:t>
      </w:r>
    </w:p>
    <w:p>
      <w:pPr>
        <w:pStyle w:val="1"/>
        <w:ind w:hanging="0" w:start="0" w:end="0"/>
        <w:rPr/>
      </w:pPr>
      <w:r>
        <w:rPr/>
      </w:r>
    </w:p>
    <w:p>
      <w:pPr>
        <w:pStyle w:val="1"/>
        <w:numPr>
          <w:ilvl w:val="0"/>
          <w:numId w:val="1"/>
        </w:numPr>
        <w:rPr/>
      </w:pPr>
      <w:r>
        <w:rPr/>
        <w:t>This Agreement shall remain in effect for a period of three (3) years from the date hereof.</w:t>
      </w:r>
    </w:p>
    <w:p>
      <w:pPr>
        <w:pStyle w:val="1"/>
        <w:ind w:hanging="0" w:start="0" w:end="0"/>
        <w:rPr/>
      </w:pPr>
      <w:r>
        <w:rPr/>
      </w:r>
    </w:p>
    <w:p>
      <w:pPr>
        <w:pStyle w:val="1"/>
        <w:numPr>
          <w:ilvl w:val="0"/>
          <w:numId w:val="1"/>
        </w:numPr>
        <w:rPr/>
      </w:pPr>
      <w:r>
        <w:rPr/>
        <w:t>This Agreement may be executed in counterpart, each of which shall be construed as an original.</w:t>
      </w:r>
    </w:p>
    <w:p>
      <w:pPr>
        <w:pStyle w:val="1"/>
        <w:ind w:hanging="0" w:start="0" w:end="0"/>
        <w:rPr/>
      </w:pPr>
      <w:r>
        <w:rPr/>
      </w:r>
    </w:p>
    <w:p>
      <w:pPr>
        <w:pStyle w:val="1"/>
        <w:ind w:hanging="0" w:start="0" w:end="0"/>
        <w:rPr/>
      </w:pPr>
      <w:r>
        <w:rPr/>
      </w:r>
    </w:p>
    <w:p>
      <w:pPr>
        <w:pStyle w:val="1"/>
        <w:ind w:hanging="0" w:start="0" w:end="0"/>
        <w:jc w:val="center"/>
        <w:rPr/>
      </w:pPr>
      <w:r>
        <w:rPr/>
        <w:t>[Signatures of the Parties appear on the following page]</w:t>
      </w:r>
      <w:r>
        <w:br w:type="page"/>
      </w:r>
    </w:p>
    <w:p>
      <w:pPr>
        <w:pStyle w:val="1"/>
        <w:rPr/>
      </w:pPr>
      <w:r>
        <w:rPr/>
      </w:r>
    </w:p>
    <w:p>
      <w:pPr>
        <w:pStyle w:val="1"/>
        <w:rPr/>
      </w:pPr>
      <w:r>
        <w:rPr/>
        <w:t>15.</w:t>
        <w:tab/>
        <w:t>This Agreement constitutes the entire understanding among ANR, Enron and TCPL as to Evaluation Material provided pursuant to it and merges all prior and contemporaneous discussions and agreement between them relating thereto.</w:t>
      </w:r>
    </w:p>
    <w:p>
      <w:pPr>
        <w:pStyle w:val="Normal"/>
        <w:rPr/>
      </w:pPr>
      <w:r>
        <w:rPr/>
      </w:r>
    </w:p>
    <w:p>
      <w:pPr>
        <w:pStyle w:val="Normal"/>
        <w:rPr/>
      </w:pPr>
      <w:r>
        <w:rPr/>
      </w:r>
    </w:p>
    <w:p>
      <w:pPr>
        <w:pStyle w:val="Normal"/>
        <w:rPr/>
      </w:pPr>
      <w:r>
        <w:rPr>
          <w:b/>
          <w:caps/>
        </w:rPr>
        <w:t>in witness whereof</w:t>
      </w:r>
      <w:r>
        <w:rPr/>
        <w:t>, each Party has caused this Agreement to be executed on its behalf by duly authorized officers, all as of the date set forth above.</w:t>
      </w:r>
    </w:p>
    <w:p>
      <w:pPr>
        <w:pStyle w:val="Normal"/>
        <w:rPr/>
      </w:pPr>
      <w:r>
        <w:rPr/>
      </w:r>
    </w:p>
    <w:p>
      <w:pPr>
        <w:pStyle w:val="sign"/>
        <w:rPr>
          <w:b/>
          <w:caps/>
        </w:rPr>
      </w:pPr>
      <w:r>
        <w:rPr>
          <w:b/>
          <w:caps/>
        </w:rPr>
        <w:t>ANR pipeline company</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rPr/>
      </w:pPr>
      <w:r>
        <w:rPr/>
      </w:r>
    </w:p>
    <w:p>
      <w:pPr>
        <w:pStyle w:val="sign"/>
        <w:rPr/>
      </w:pPr>
      <w:r>
        <w:rPr/>
      </w:r>
    </w:p>
    <w:p>
      <w:pPr>
        <w:pStyle w:val="sign"/>
        <w:rPr>
          <w:b/>
          <w:caps/>
        </w:rPr>
      </w:pPr>
      <w:r>
        <w:rPr>
          <w:b/>
          <w:caps/>
        </w:rPr>
        <w:t>Enron transportation services company</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ind w:start="0" w:end="0"/>
        <w:rPr/>
      </w:pPr>
      <w:r>
        <w:rPr/>
      </w:r>
    </w:p>
    <w:p>
      <w:pPr>
        <w:pStyle w:val="sign"/>
        <w:rPr/>
      </w:pPr>
      <w:r>
        <w:rPr/>
      </w:r>
    </w:p>
    <w:p>
      <w:pPr>
        <w:pStyle w:val="sign"/>
        <w:rPr>
          <w:b/>
          <w:caps/>
        </w:rPr>
      </w:pPr>
      <w:r>
        <w:rPr>
          <w:b/>
          <w:caps/>
        </w:rPr>
        <w:t>TransCanada PipeLines Limited</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rPr/>
      </w:pPr>
      <w:r>
        <w:rPr/>
      </w:r>
    </w:p>
    <w:p>
      <w:pPr>
        <w:pStyle w:val="sign"/>
        <w:rPr/>
      </w:pPr>
      <w:r>
        <w:rPr/>
        <w:t xml:space="preserve">By: </w:t>
      </w:r>
      <w:r>
        <w:rPr>
          <w:u w:val="single"/>
        </w:rPr>
        <w:tab/>
      </w:r>
    </w:p>
    <w:p>
      <w:pPr>
        <w:pStyle w:val="sign"/>
        <w:rPr/>
      </w:pPr>
      <w:r>
        <w:rPr/>
        <w:t xml:space="preserve">Its: </w:t>
      </w:r>
      <w:r>
        <w:rPr>
          <w:u w:val="single"/>
        </w:rPr>
        <w:tab/>
      </w:r>
    </w:p>
    <w:sectPr>
      <w:headerReference w:type="default" r:id="rId2"/>
      <w:headerReference w:type="first" r:id="rId3"/>
      <w:footerReference w:type="default" r:id="rId4"/>
      <w:footerReference w:type="first" r:id="rId5"/>
      <w:type w:val="nextPage"/>
      <w:pgSz w:w="12240" w:h="15840"/>
      <w:pgMar w:left="1440" w:right="1080" w:gutter="0" w:header="72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3_Party_CA_Nov_20.01-55b257e82c5c3dc89adb02a1d53ef08ba3f014813ba0d882d4f075ee519db140.doc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3_Party_CA_Nov_20.01-55b257e82c5c3dc89adb02a1d53ef08ba3f014813ba0d882d4f075ee519db140.doc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Page </w:t>
    </w:r>
    <w:r>
      <w:rPr/>
      <w:fldChar w:fldCharType="begin"/>
    </w:r>
    <w:r>
      <w:rPr/>
      <w:instrText xml:space="preserve"> PAGE \* ARABIC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November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Palatino" w:hAnsi="Palatino" w:eastAsia="Times New Roman" w:cs="Palatino"/>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1">
    <w:name w:val="1"/>
    <w:basedOn w:val="Normal"/>
    <w:qFormat/>
    <w:pPr>
      <w:ind w:hanging="720" w:start="720" w:end="0"/>
    </w:pPr>
    <w:rPr/>
  </w:style>
  <w:style w:type="paragraph" w:styleId="a">
    <w:name w:val="a"/>
    <w:basedOn w:val="Normal"/>
    <w:qFormat/>
    <w:pPr>
      <w:ind w:hanging="720" w:start="1440" w:end="0"/>
    </w:pPr>
    <w:rPr/>
  </w:style>
  <w:style w:type="paragraph" w:styleId="i">
    <w:name w:val="i"/>
    <w:basedOn w:val="Normal"/>
    <w:qFormat/>
    <w:pPr>
      <w:ind w:hanging="720" w:start="2160" w:end="0"/>
    </w:pPr>
    <w:rPr/>
  </w:style>
  <w:style w:type="paragraph" w:styleId="A1">
    <w:name w:val="A1"/>
    <w:basedOn w:val="Normal"/>
    <w:qFormat/>
    <w:pPr>
      <w:ind w:hanging="720" w:start="2880" w:end="0"/>
    </w:pPr>
    <w:rPr/>
  </w:style>
  <w:style w:type="paragraph" w:styleId="sign">
    <w:name w:val="sign"/>
    <w:basedOn w:val="Normal"/>
    <w:qFormat/>
    <w:pPr>
      <w:tabs>
        <w:tab w:val="clear" w:pos="720"/>
        <w:tab w:val="left" w:pos="8360" w:leader="none"/>
      </w:tabs>
      <w:ind w:hanging="0" w:start="4320" w:end="0"/>
    </w:pPr>
    <w:rPr/>
  </w:style>
  <w:style w:type="paragraph" w:styleId="style14">
    <w:name w:val="style"/>
    <w:basedOn w:val="Normal"/>
    <w:qFormat/>
    <w:pPr>
      <w:spacing w:lineRule="exact" w:line="240"/>
      <w:ind w:hanging="0" w:start="1440" w:end="1440"/>
    </w:pPr>
    <w:rPr/>
  </w:style>
  <w:style w:type="paragraph" w:styleId="quote">
    <w:name w:val="quote"/>
    <w:basedOn w:val="Normal"/>
    <w:qFormat/>
    <w:pPr>
      <w:ind w:hanging="0" w:start="360" w:end="360"/>
    </w:pPr>
    <w:rPr>
      <w:sz w:val="20"/>
    </w:rPr>
  </w:style>
  <w:style w:type="paragraph" w:styleId="address">
    <w:name w:val="address"/>
    <w:basedOn w:val="Normal"/>
    <w:qFormat/>
    <w:pPr>
      <w:tabs>
        <w:tab w:val="clear" w:pos="720"/>
        <w:tab w:val="left" w:pos="1440" w:leader="none"/>
      </w:tabs>
      <w:spacing w:lineRule="exact" w:line="240"/>
    </w:pPr>
    <w:rPr/>
  </w:style>
  <w:style w:type="paragraph" w:styleId="bullet">
    <w:name w:val="bullet"/>
    <w:basedOn w:val="Normal"/>
    <w:qFormat/>
    <w:pPr>
      <w:ind w:hanging="36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2001-11-19T22:00:00Z</dcterms:created>
  <dc:creator>david_kohlenberg</dc:creator>
  <dc:description/>
  <dc:language>en-CA</dc:language>
  <cp:lastModifiedBy>david_kohlenberg</cp:lastModifiedBy>
  <cp:lastPrinted>2001-11-16T10:47:00Z</cp:lastPrinted>
  <dcterms:modified xsi:type="dcterms:W3CDTF">2001-11-20T15:50:00Z</dcterms:modified>
  <cp:revision>6</cp:revision>
  <dc:subject/>
  <dc:title>CONFIDENTIALITY AGREEMENT</dc:title>
</cp:coreProperties>
</file>