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CONFIDENTIAL</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Roland K. Tellis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August 30,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Summary of Deposition Testimony of Ahab Garas/August 24, 2000</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rPr/>
      </w:pPr>
      <w:r>
        <w:rPr/>
      </w:r>
    </w:p>
    <w:p>
      <w:pPr>
        <w:pStyle w:val="BodyText"/>
        <w:rPr/>
      </w:pPr>
      <w:r>
        <w:rPr/>
      </w:r>
    </w:p>
    <w:p>
      <w:pPr>
        <w:pStyle w:val="Normal"/>
        <w:spacing w:lineRule="auto" w:line="480"/>
        <w:rPr>
          <w:b/>
        </w:rPr>
      </w:pPr>
      <w:r>
        <w:rPr>
          <w:b/>
        </w:rPr>
        <w:t>TESTIMONY ELICITED BY MIKE SWARTZ:</w:t>
      </w:r>
    </w:p>
    <w:p>
      <w:pPr>
        <w:pStyle w:val="Normal"/>
        <w:spacing w:lineRule="auto" w:line="480"/>
        <w:ind w:firstLine="1440" w:end="0"/>
        <w:rPr/>
      </w:pPr>
      <w:r>
        <w:rPr/>
        <w:t xml:space="preserve">Ahab Garas worked at McDonald Inv. during his third year of grad school.  He was primarily involved in the due diligence work on the NSM offering.  Specifically, Garas was involved in preparing the financial model for NSM.  As explained by Garas, the financial model would indicate, based on the input of certain data, what kind of financial results NSM could expect (19).  Garas received information for the model from Gleacher and SDI (20, 25).   </w:t>
      </w:r>
    </w:p>
    <w:p>
      <w:pPr>
        <w:pStyle w:val="Normal"/>
        <w:spacing w:lineRule="auto" w:line="480"/>
        <w:ind w:firstLine="1440" w:end="0"/>
        <w:rPr/>
      </w:pPr>
      <w:r>
        <w:rPr/>
        <w:t xml:space="preserve">Garas was aware of  inter-company transactions.  Sawasdi had eight or nine companies involved with NSM.  (51)  Garas and Heasley found it unusual that the companies borrowed so much money from each other (54).  </w:t>
      </w:r>
    </w:p>
    <w:p>
      <w:pPr>
        <w:pStyle w:val="Normal"/>
        <w:spacing w:lineRule="auto" w:line="480"/>
        <w:ind w:firstLine="1440" w:end="0"/>
        <w:rPr/>
      </w:pPr>
      <w:r>
        <w:rPr/>
        <w:t xml:space="preserve">Garas and Heasley had discussions about changing the management style to make sure NSM would not continue to engage in these related party transactions (58).  Garas recalls a discussion with IFCT, the lead Thai bank, regarding the prepayment of debt by NSM to the Thai banks (71).  The range of numbers was anywhere from $20 to $150 million.  (72).  </w:t>
      </w:r>
    </w:p>
    <w:p>
      <w:pPr>
        <w:pStyle w:val="Normal"/>
        <w:spacing w:lineRule="auto" w:line="480"/>
        <w:ind w:firstLine="1440" w:end="0"/>
        <w:rPr/>
      </w:pPr>
      <w:r>
        <w:rPr/>
        <w:t>When Garas returned to the US he began an information exchange with Serge Delisle.  One of the key issues was NSM's cash balance (96).  Heasley worked on nailing down the numbers.  The figures kept changing because NSM had to pay its expenses on a day to day basis (98).  Garas recalls discussions surrounding the need to implement western type controls and procedures at NSM to get information.  (109).  Heasley had these discussions with the "rest of the team."  (Unclear who the "the team" was.)</w:t>
      </w:r>
    </w:p>
    <w:p>
      <w:pPr>
        <w:pStyle w:val="Normal"/>
        <w:spacing w:lineRule="auto" w:line="480"/>
        <w:ind w:firstLine="720" w:end="0"/>
        <w:rPr/>
      </w:pPr>
      <w:r>
        <w:rPr/>
        <w:tab/>
        <w:t>Garas was surprised to learn that, after the offering, Busse wrote a memo to Sawasdi concerning the capacity of the mill, indicating that SDI now thought the capacity was lower that what had been represented in the offering memo.  (118).  Garas was surprised because SDI had seen the numbers from the very beginning and thought that SDI had supported the numbers in the offering memo.  (119).</w:t>
      </w:r>
    </w:p>
    <w:p>
      <w:pPr>
        <w:pStyle w:val="Normal"/>
        <w:spacing w:lineRule="auto" w:line="480"/>
        <w:rPr/>
      </w:pPr>
      <w:r>
        <w:rPr/>
        <w:tab/>
        <w:tab/>
        <w:t>Garas recalls learning that Nucor terminated its relationship with NSM for non-payment. (159)  Garas was under the impression that Nucor wasn't paid because NSM was out of cash.</w:t>
      </w:r>
    </w:p>
    <w:p>
      <w:pPr>
        <w:pStyle w:val="Normal"/>
        <w:spacing w:lineRule="auto" w:line="480"/>
        <w:rPr/>
      </w:pPr>
      <w:r>
        <w:rPr/>
        <w:tab/>
        <w:tab/>
        <w:t xml:space="preserve">Garas made two trips to NY in Feb. and March 1998 to work on the red herring and the supplemental offering at McDonald's offices and the printer Merrill Corp.  (170)   Garas mainly worked on the exhibits to the red herring and the footnotes.  He worked 100% with Ari Levy and Heasley.  (171).  Changes and questions concerning the red herring would be directed to White &amp; Case.  (187).  </w:t>
      </w:r>
    </w:p>
    <w:p>
      <w:pPr>
        <w:pStyle w:val="Normal"/>
        <w:spacing w:lineRule="auto" w:line="480"/>
        <w:ind w:firstLine="1440" w:end="0"/>
        <w:rPr/>
      </w:pPr>
      <w:r>
        <w:rPr/>
        <w:t>On his first trip to NY in February 1998, Garas recalls meeting an Enron person although he does not remember who.  (110).  On Garas' second trip to New York he remembers seeing Wheeler, White &amp; Case lawyers, "guys from Paine Webber and Enron," Heasley and Ari Levy. (189).  (Unclear who, if anyone, from Enron was there.)</w:t>
      </w:r>
    </w:p>
    <w:p>
      <w:pPr>
        <w:pStyle w:val="Normal"/>
        <w:spacing w:lineRule="auto" w:line="480"/>
        <w:rPr/>
      </w:pPr>
      <w:r>
        <w:rPr/>
        <w:tab/>
        <w:tab/>
        <w:t>The only road show Garas attended was in Cleveland at McDonald's offices. (156).  The presentation was to McDonald's sales and trading personnel.  The presentation was made by Heasley, Wheeler and Schultes. (188).</w:t>
      </w:r>
    </w:p>
    <w:p>
      <w:pPr>
        <w:pStyle w:val="Normal"/>
        <w:spacing w:lineRule="auto" w:line="480"/>
        <w:rPr/>
      </w:pPr>
      <w:r>
        <w:rPr/>
        <w:tab/>
        <w:tab/>
        <w:t xml:space="preserve">After the offering closed, Garas returned to Thailand in May 1998. (190).  Garas interacted with the "team from the Management Company:" Ari, Heasley, Anan Mafetea from Enron, SDI personnel.  (192).  Garas recalls periodic meetings of NSM management company. (192).  Garas did not attend those meetings.  (192).  Garas spent most of his time helping Heasley on implementing financial and accounting controls and inventory tracking systems. (193).  </w:t>
      </w:r>
    </w:p>
    <w:p>
      <w:pPr>
        <w:pStyle w:val="Normal"/>
        <w:spacing w:lineRule="auto" w:line="480"/>
        <w:rPr/>
      </w:pPr>
      <w:r>
        <w:rPr/>
        <w:tab/>
        <w:tab/>
        <w:t>Post offering, Garas spent more time with Brian Barth and some full time person that Enron had in Thailand (name unclear) (110).  Garas believes he met Kevin McConville and Gene Humphrey in Thailand in July or August of 1997. (111).  While in Thailand, Garas spent most of his time interacting with personnel from White &amp; Case, Gleacher and McDonald. (112).</w:t>
      </w:r>
    </w:p>
    <w:p>
      <w:pPr>
        <w:pStyle w:val="Normal"/>
        <w:spacing w:lineRule="auto" w:line="480"/>
        <w:rPr/>
      </w:pPr>
      <w:r>
        <w:rPr/>
        <w:tab/>
        <w:tab/>
        <w:t>Garas recalls problems with NSM's management and tension concerning who would be replaced. (198).  Garas recalls receiving input from Brian Barth.  (209).</w:t>
      </w:r>
    </w:p>
    <w:p>
      <w:pPr>
        <w:pStyle w:val="Normal"/>
        <w:spacing w:lineRule="auto" w:line="480"/>
        <w:rPr>
          <w:b/>
        </w:rPr>
      </w:pPr>
      <w:r>
        <w:rPr>
          <w:b/>
        </w:rPr>
        <w:t>TESTIMONY ELICITED BY TOM HATCH:</w:t>
      </w:r>
    </w:p>
    <w:p>
      <w:pPr>
        <w:pStyle w:val="BodyText"/>
        <w:spacing w:lineRule="auto" w:line="480" w:before="0" w:after="0"/>
        <w:ind w:firstLine="1440" w:end="0"/>
        <w:rPr/>
      </w:pPr>
      <w:r>
        <w:rPr/>
        <w:t xml:space="preserve">General background information concerning how Garas became employed by McDonald. (227-255).  Garas' understanding of the steel industry and NSM.  (275-286)  Garas' impression that there were problems with NSM's accounting team and Serge Deslile.  295-301).  Garas understood that approximately $50 million had been diverted out of NSM as intercompany receivables and payables.  (322).  </w:t>
      </w:r>
    </w:p>
    <w:p>
      <w:pPr>
        <w:pStyle w:val="BodyText"/>
        <w:spacing w:lineRule="auto" w:line="480"/>
        <w:ind w:firstLine="1440" w:end="0"/>
        <w:rPr/>
      </w:pPr>
      <w:r>
        <w:rPr/>
        <w:t>When Garas returned to Cleveland in August 1997, he continued to work on the NSM model. (342)  Garas received information from SDI, White &amp; Case, NSM.  Garas had seen Peter Marcus evaluation of the mill and that "he had signed off on the mill."  (347).  Garas is almost certain that Heasley sent the model to Marcus and certain that they sent it to Enron. (347)</w:t>
      </w:r>
      <w:r>
        <w:br w:type="page"/>
      </w:r>
    </w:p>
    <w:p>
      <w:pPr>
        <w:pStyle w:val="BodyText"/>
        <w:spacing w:lineRule="auto" w:line="480" w:before="0" w:after="0"/>
        <w:rPr>
          <w:b/>
        </w:rPr>
      </w:pPr>
      <w:r>
        <w:rPr>
          <w:b/>
        </w:rPr>
        <w:t>TESTIMONY ELICITED BY MIKE TOMAINO:</w:t>
      </w:r>
    </w:p>
    <w:p>
      <w:pPr>
        <w:pStyle w:val="Normal"/>
        <w:spacing w:lineRule="auto" w:line="480"/>
        <w:rPr/>
      </w:pPr>
      <w:r>
        <w:rPr/>
        <w:tab/>
        <w:tab/>
        <w:t>The sources for the information in the model came from the Demag report, the Hatch report, SDI personnel, historical financial models for similar mills.  (380).</w:t>
      </w:r>
    </w:p>
    <w:p>
      <w:pPr>
        <w:pStyle w:val="Normal"/>
        <w:spacing w:lineRule="auto" w:line="480"/>
        <w:rPr/>
      </w:pPr>
      <w:r>
        <w:rPr/>
        <w:tab/>
        <w:tab/>
        <w:t>As of the date of the final offering memorandum, Garas believes that everything stated in the offering memo was accurate and reasonable.  (383).  They had checked everything and Garas was 100% comfortable with everything in the offering memo.</w:t>
      </w:r>
    </w:p>
    <w:p>
      <w:pPr>
        <w:pStyle w:val="Normal"/>
        <w:spacing w:lineRule="auto" w:line="480"/>
        <w:ind w:hanging="720" w:start="720" w:end="0"/>
        <w:rPr/>
      </w:pPr>
      <w:r>
        <w:rPr/>
        <w:tab/>
        <w:tab/>
      </w:r>
    </w:p>
    <w:p>
      <w:pPr>
        <w:pStyle w:val="Normal"/>
        <w:spacing w:lineRule="auto" w:line="480"/>
        <w:ind w:hanging="720" w:start="720" w:end="0"/>
        <w:rPr>
          <w:b/>
        </w:rPr>
      </w:pPr>
      <w:r>
        <w:rPr>
          <w:b/>
        </w:rPr>
      </w:r>
    </w:p>
    <w:p>
      <w:pPr>
        <w:pStyle w:val="Normal"/>
        <w:spacing w:lineRule="auto" w:line="480"/>
        <w:ind w:hanging="720" w:start="720" w:end="0"/>
        <w:rPr>
          <w:b/>
        </w:rPr>
      </w:pPr>
      <w:r>
        <w:rPr>
          <w:b/>
        </w:rPr>
        <w:tab/>
        <w:tab/>
      </w:r>
    </w:p>
    <w:p>
      <w:pPr>
        <w:pStyle w:val="Normal"/>
        <w:spacing w:lineRule="exact" w:line="200"/>
        <w:rPr/>
      </w:pPr>
      <w:r>
        <w:rPr>
          <w:rStyle w:val="zzmpTrailerItem"/>
        </w:rPr>
        <w:t>LA1:#6186084</w:t>
      </w:r>
      <w:r>
        <w:rPr/>
        <w:t xml:space="preserve"> </w:t>
      </w:r>
    </w:p>
    <w:sectPr>
      <w:footerReference w:type="default" r:id="rId2"/>
      <w:footerReference w:type="first" r:id="rId3"/>
      <w:type w:val="nextPage"/>
      <w:pgSz w:w="12240" w:h="15840"/>
      <w:pgMar w:left="1440" w:right="1440" w:gutter="0" w:header="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napToGrid w:val="false"/>
            <w:rPr/>
          </w:pPr>
          <w:r>
            <w:rPr/>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AuthorLists" w:val="-100"/>
    <w:docVar w:name="cmbOptFonts" w:val="Times New Roman"/>
    <w:docVar w:name="lstDeliveryPhrases" w:val="Confidential"/>
    <w:docVar w:name="Restarted" w:val="True"/>
    <w:docVar w:name="tglUseFirmDefaults" w:val="False"/>
    <w:docVar w:name="txtDeliveryPhrases" w:val="CONFIDENTIAL"/>
    <w:docVar w:name="txtFileNo" w:val="35509-00300"/>
    <w:docVar w:name="txtFrom" w:val="Roland K. Tellis"/>
    <w:docVar w:name="txtOptBottomMargin" w:val="1"/>
    <w:docVar w:name="txtOptFirstLine" w:val="0"/>
    <w:docVar w:name="txtOptFSize" w:val="12"/>
    <w:docVar w:name="txtOptLeftMargin" w:val="1"/>
    <w:docVar w:name="txtOptRightMargin" w:val="1"/>
    <w:docVar w:name="txtOptTopMargin" w:val=".8"/>
    <w:docVar w:name="txtRe" w:val="Summary of Deposition of Ahab Garas"/>
    <w:docVar w:name="txtTo" w:val="Steve Howard"/>
    <w:docVar w:name="zzmpFixedDOC_ID" w:val="LA1:#6186084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b/>
      <w:smallCaps/>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2000-08-30T15:24:00Z</dcterms:created>
  <dc:creator>RTellis</dc:creator>
  <dc:description/>
  <dc:language>en-CA</dc:language>
  <cp:lastModifiedBy>SHoward</cp:lastModifiedBy>
  <cp:lastPrinted>2000-08-30T11:34:00Z</cp:lastPrinted>
  <dcterms:modified xsi:type="dcterms:W3CDTF">2000-08-30T20:42:00Z</dcterms:modified>
  <cp:revision>7</cp:revision>
  <dc:subject/>
  <dc:title>Generic MacPac 8.0 Memo Template, rev. 4/3/97, the Legal MacPac</dc:title>
</cp:coreProperties>
</file>