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360"/>
        <w:jc w:val="center"/>
        <w:rPr>
          <w:b/>
          <w:smallCaps/>
        </w:rPr>
      </w:pPr>
      <w:r>
        <w:rPr>
          <w:b/>
          <w:smallCaps/>
        </w:rPr>
      </w:r>
    </w:p>
    <w:p>
      <w:pPr>
        <w:pStyle w:val="Normal"/>
        <w:spacing w:before="0" w:after="360"/>
        <w:jc w:val="center"/>
        <w:rPr>
          <w:b/>
          <w:smallCaps/>
        </w:rPr>
      </w:pPr>
      <w:r>
        <w:rPr>
          <w:b/>
          <w:smallCaps/>
        </w:rPr>
        <w:t>Memorandum</w:t>
      </w:r>
    </w:p>
    <w:p>
      <w:pPr>
        <w:pStyle w:val="DeliveryPhrase"/>
        <w:rPr>
          <w:b w:val="false"/>
          <w:smallCaps/>
        </w:rPr>
      </w:pPr>
      <w:r>
        <w:rPr>
          <w:b w:val="false"/>
          <w:smallCaps/>
        </w:rPr>
      </w:r>
    </w:p>
    <w:tbl>
      <w:tblPr>
        <w:tblW w:w="9576" w:type="dxa"/>
        <w:jc w:val="start"/>
        <w:tblInd w:w="0" w:type="dxa"/>
        <w:tblLayout w:type="fixed"/>
        <w:tblCellMar>
          <w:top w:w="0" w:type="dxa"/>
          <w:start w:w="0" w:type="dxa"/>
          <w:bottom w:w="0" w:type="dxa"/>
          <w:end w:w="0" w:type="dxa"/>
        </w:tblCellMar>
      </w:tblPr>
      <w:tblGrid>
        <w:gridCol w:w="1440"/>
        <w:gridCol w:w="3870"/>
        <w:gridCol w:w="1170"/>
        <w:gridCol w:w="3096"/>
      </w:tblGrid>
      <w:tr>
        <w:trPr/>
        <w:tc>
          <w:tcPr>
            <w:tcW w:w="1440" w:type="dxa"/>
            <w:tcBorders/>
          </w:tcPr>
          <w:p>
            <w:pPr>
              <w:pStyle w:val="Normal"/>
              <w:snapToGrid w:val="false"/>
              <w:rPr/>
            </w:pPr>
            <w:r>
              <w:rPr/>
            </w:r>
          </w:p>
        </w:tc>
        <w:tc>
          <w:tcPr>
            <w:tcW w:w="3870" w:type="dxa"/>
            <w:tcBorders/>
          </w:tcPr>
          <w:p>
            <w:pPr>
              <w:pStyle w:val="Normal"/>
              <w:snapToGrid w:val="false"/>
              <w:spacing w:before="0" w:after="120"/>
              <w:ind w:end="432"/>
              <w:rPr/>
            </w:pPr>
            <w:r>
              <w:rPr/>
            </w:r>
          </w:p>
        </w:tc>
        <w:tc>
          <w:tcPr>
            <w:tcW w:w="1170" w:type="dxa"/>
            <w:tcBorders/>
          </w:tcPr>
          <w:p>
            <w:pPr>
              <w:pStyle w:val="Normal"/>
              <w:snapToGrid w:val="false"/>
              <w:rPr/>
            </w:pPr>
            <w:r>
              <w:rPr/>
            </w:r>
          </w:p>
        </w:tc>
        <w:tc>
          <w:tcPr>
            <w:tcW w:w="3096" w:type="dxa"/>
            <w:tcBorders/>
          </w:tcPr>
          <w:p>
            <w:pPr>
              <w:pStyle w:val="Normal"/>
              <w:spacing w:before="0" w:after="120"/>
              <w:ind w:end="216"/>
              <w:jc w:val="end"/>
              <w:rPr>
                <w:sz w:val="20"/>
              </w:rPr>
            </w:pPr>
            <w:r>
              <w:rPr>
                <w:sz w:val="20"/>
              </w:rPr>
              <w:t>FILE NO:  00000-00000</w:t>
            </w:r>
          </w:p>
        </w:tc>
      </w:tr>
      <w:tr>
        <w:trPr/>
        <w:tc>
          <w:tcPr>
            <w:tcW w:w="1440" w:type="dxa"/>
            <w:tcBorders/>
          </w:tcPr>
          <w:p>
            <w:pPr>
              <w:pStyle w:val="Normal"/>
              <w:spacing w:before="0" w:after="120"/>
              <w:rPr/>
            </w:pPr>
            <w:r>
              <w:rPr/>
              <w:t>TO:</w:t>
            </w:r>
          </w:p>
        </w:tc>
        <w:tc>
          <w:tcPr>
            <w:tcW w:w="3870" w:type="dxa"/>
            <w:tcBorders/>
          </w:tcPr>
          <w:p>
            <w:pPr>
              <w:pStyle w:val="Normal"/>
              <w:spacing w:before="0" w:after="120"/>
              <w:ind w:end="432"/>
              <w:rPr/>
            </w:pPr>
            <w:r>
              <w:rPr/>
              <w:t>Ms. Leslie Hansen</w:t>
            </w:r>
          </w:p>
        </w:tc>
        <w:tc>
          <w:tcPr>
            <w:tcW w:w="4266" w:type="dxa"/>
            <w:gridSpan w:val="2"/>
            <w:tcBorders/>
          </w:tcPr>
          <w:p>
            <w:pPr>
              <w:pStyle w:val="Normal"/>
              <w:snapToGrid w:val="false"/>
              <w:spacing w:before="0" w:after="120"/>
              <w:ind w:end="216"/>
              <w:rPr/>
            </w:pPr>
            <w:r>
              <w:rPr/>
            </w:r>
          </w:p>
        </w:tc>
      </w:tr>
      <w:tr>
        <w:trPr/>
        <w:tc>
          <w:tcPr>
            <w:tcW w:w="1440" w:type="dxa"/>
            <w:tcBorders/>
          </w:tcPr>
          <w:p>
            <w:pPr>
              <w:pStyle w:val="Normal"/>
              <w:spacing w:before="0" w:after="120"/>
              <w:rPr/>
            </w:pPr>
            <w:r>
              <w:rPr/>
              <w:t>CC:</w:t>
            </w:r>
          </w:p>
        </w:tc>
        <w:tc>
          <w:tcPr>
            <w:tcW w:w="3870" w:type="dxa"/>
            <w:tcBorders/>
          </w:tcPr>
          <w:p>
            <w:pPr>
              <w:pStyle w:val="Normal"/>
              <w:spacing w:before="0" w:after="120"/>
              <w:ind w:end="432"/>
              <w:rPr/>
            </w:pPr>
            <w:r>
              <w:rPr/>
              <w:t>Edwin Feo</w:t>
            </w:r>
          </w:p>
        </w:tc>
        <w:tc>
          <w:tcPr>
            <w:tcW w:w="4266" w:type="dxa"/>
            <w:gridSpan w:val="2"/>
            <w:tcBorders/>
          </w:tcPr>
          <w:p>
            <w:pPr>
              <w:pStyle w:val="Normal"/>
              <w:snapToGrid w:val="false"/>
              <w:spacing w:before="0" w:after="120"/>
              <w:ind w:end="216"/>
              <w:rPr/>
            </w:pPr>
            <w:r>
              <w:rPr/>
            </w:r>
          </w:p>
        </w:tc>
      </w:tr>
      <w:tr>
        <w:trPr/>
        <w:tc>
          <w:tcPr>
            <w:tcW w:w="1440" w:type="dxa"/>
            <w:tcBorders/>
          </w:tcPr>
          <w:p>
            <w:pPr>
              <w:pStyle w:val="Normal"/>
              <w:spacing w:before="0" w:after="120"/>
              <w:rPr/>
            </w:pPr>
            <w:r>
              <w:rPr/>
              <w:t>FROM:</w:t>
            </w:r>
          </w:p>
        </w:tc>
        <w:tc>
          <w:tcPr>
            <w:tcW w:w="3870" w:type="dxa"/>
            <w:tcBorders/>
          </w:tcPr>
          <w:p>
            <w:pPr>
              <w:pStyle w:val="Normal"/>
              <w:spacing w:before="0" w:after="120"/>
              <w:ind w:end="432"/>
              <w:rPr/>
            </w:pPr>
            <w:r>
              <w:rPr/>
              <w:t>August W. Pelton</w:t>
            </w:r>
          </w:p>
        </w:tc>
        <w:tc>
          <w:tcPr>
            <w:tcW w:w="4266" w:type="dxa"/>
            <w:gridSpan w:val="2"/>
            <w:tcBorders/>
          </w:tcPr>
          <w:p>
            <w:pPr>
              <w:pStyle w:val="Normal"/>
              <w:snapToGrid w:val="false"/>
              <w:spacing w:before="0" w:after="120"/>
              <w:ind w:end="216"/>
              <w:rPr/>
            </w:pPr>
            <w:r>
              <w:rPr/>
            </w:r>
          </w:p>
        </w:tc>
      </w:tr>
      <w:tr>
        <w:trPr/>
        <w:tc>
          <w:tcPr>
            <w:tcW w:w="1440" w:type="dxa"/>
            <w:tcBorders/>
          </w:tcPr>
          <w:p>
            <w:pPr>
              <w:pStyle w:val="Normal"/>
              <w:rPr/>
            </w:pPr>
            <w:r>
              <w:rPr/>
              <w:t>DATE:</w:t>
            </w:r>
          </w:p>
        </w:tc>
        <w:tc>
          <w:tcPr>
            <w:tcW w:w="8136" w:type="dxa"/>
            <w:gridSpan w:val="3"/>
            <w:tcBorders/>
          </w:tcPr>
          <w:p>
            <w:pPr>
              <w:pStyle w:val="Normal"/>
              <w:spacing w:before="0" w:after="120"/>
              <w:ind w:end="216"/>
              <w:rPr>
                <w:lang w:val="en-CA"/>
              </w:rPr>
            </w:pPr>
            <w:r>
              <w:rPr>
                <w:lang w:val="en-CA"/>
              </w:rPr>
              <w:t>August 11, 2000</w:t>
            </w:r>
          </w:p>
        </w:tc>
      </w:tr>
      <w:tr>
        <w:trPr/>
        <w:tc>
          <w:tcPr>
            <w:tcW w:w="1440" w:type="dxa"/>
            <w:tcBorders/>
          </w:tcPr>
          <w:p>
            <w:pPr>
              <w:pStyle w:val="Normal"/>
              <w:spacing w:before="0" w:after="120"/>
              <w:rPr/>
            </w:pPr>
            <w:r>
              <w:rPr/>
              <w:t>RE:</w:t>
            </w:r>
          </w:p>
        </w:tc>
        <w:tc>
          <w:tcPr>
            <w:tcW w:w="8136" w:type="dxa"/>
            <w:gridSpan w:val="3"/>
            <w:tcBorders/>
          </w:tcPr>
          <w:p>
            <w:pPr>
              <w:pStyle w:val="Normal"/>
              <w:spacing w:before="0" w:after="120"/>
              <w:ind w:end="216"/>
              <w:rPr/>
            </w:pPr>
            <w:r>
              <w:rPr/>
              <w:t>EnronOnline LLC - State Regulations of Online Gaming</w:t>
            </w:r>
          </w:p>
        </w:tc>
      </w:tr>
      <w:tr>
        <w:trPr/>
        <w:tc>
          <w:tcPr>
            <w:tcW w:w="9576" w:type="dxa"/>
            <w:gridSpan w:val="4"/>
            <w:tcBorders>
              <w:top w:val="double" w:sz="4" w:space="0" w:color="000000"/>
            </w:tcBorders>
            <w:tcMar>
              <w:start w:w="108" w:type="dxa"/>
              <w:end w:w="108" w:type="dxa"/>
            </w:tcMar>
          </w:tcPr>
          <w:p>
            <w:pPr>
              <w:pStyle w:val="Normal"/>
              <w:snapToGrid w:val="false"/>
              <w:rPr/>
            </w:pPr>
            <w:r>
              <w:rPr/>
            </w:r>
          </w:p>
        </w:tc>
      </w:tr>
    </w:tbl>
    <w:p>
      <w:pPr>
        <w:pStyle w:val="BodyText"/>
        <w:rPr/>
      </w:pPr>
      <w:r>
        <w:rPr/>
        <w:tab/>
        <w:t>We understand that EnronOnline is proposing to have a fantasy sports game available to persons trading over EnronOnline.  There would be no fee for participation in the game, and Enron Online currently does not charge for participation in its system generally. In one iteration of the game, players would select countries or teams from the Olympics and the winner would be based on how many medals were actually won by those teams or countries in the Olympics. Prizes would be awarded to winners of the game, such as trips or televisions.  You have asked us regarding the regulation under state law of such a game offered over the internet.</w:t>
      </w:r>
    </w:p>
    <w:p>
      <w:pPr>
        <w:pStyle w:val="BodyText"/>
        <w:ind w:firstLine="720" w:end="0"/>
        <w:rPr/>
      </w:pPr>
      <w:r>
        <w:rPr/>
        <w:t xml:space="preserve">Gambling is a regulated activity in the United States.  The various states take a variety of approaches to defining and regulating gambling.  One common definition is that gambling is the risking of something of value by a person on an outcome determined by chance or on a contingent event over which that person does not have control in order for to win a prize.  Another common but simpler definition is that gambling is making a bet or wager on a contingent event over which the person has no control.  </w:t>
      </w:r>
    </w:p>
    <w:p>
      <w:pPr>
        <w:pStyle w:val="BodyText"/>
        <w:ind w:firstLine="720" w:end="0"/>
        <w:rPr/>
      </w:pPr>
      <w:r>
        <w:rPr/>
        <w:t xml:space="preserve">Many of the states also regulate lotteries, in addition to general gambling.  The basic elements of a lottery are consideration, determination of a winner based on chance, and a prize granted to the winner.  In either case, as a lottery or as straight forward gambling, the key factors in determining the legality of the game is whether there is consideration to take part in the game, and whether the outcome is determined by chance.  </w:t>
      </w:r>
    </w:p>
    <w:p>
      <w:pPr>
        <w:pStyle w:val="BodyText"/>
        <w:ind w:firstLine="720" w:end="0"/>
        <w:rPr/>
      </w:pPr>
      <w:r>
        <w:rPr/>
        <w:t>In order to maximize the number of jurisdictions in which the game will be legal, EnronOnline should not levy fees of any sort for participation in the game.  There is a possibility that some jurisdictions may deem the payment of Internet access fees to be consideration for participation in the game.  Given the overwhelming prevalence of the Internet today, this appears to be a dated and unreasonable interpretation of the law, but it is still a possibility.  Therefore, you may want to limit any advertising for the game to the online arena, and limit eligibility to those persons who already had Internet access before the start of the game.  Also, the game should not require the use of particular software or a specific browser that a user might have to purchase or download in order to participate.</w:t>
      </w:r>
    </w:p>
    <w:p>
      <w:pPr>
        <w:pStyle w:val="BodyText"/>
        <w:ind w:firstLine="720" w:end="0"/>
        <w:rPr/>
      </w:pPr>
      <w:r>
        <w:rPr/>
        <w:t>Discussed below are the laws of states that are most often considered relevant to games over the Internet. We will forward to you shortly a fifty state review.</w:t>
      </w:r>
    </w:p>
    <w:p>
      <w:pPr>
        <w:pStyle w:val="BodyText"/>
        <w:rPr>
          <w:rFonts w:ascii="Times New Roman Bold" w:hAnsi="Times New Roman Bold" w:cs="Times New Roman Bold"/>
          <w:b/>
          <w:smallCaps/>
        </w:rPr>
      </w:pPr>
      <w:r>
        <w:rPr>
          <w:rFonts w:cs="Times New Roman Bold" w:ascii="Times New Roman Bold" w:hAnsi="Times New Roman Bold"/>
          <w:b/>
          <w:smallCaps/>
        </w:rPr>
        <w:t>Arizona</w:t>
      </w:r>
    </w:p>
    <w:p>
      <w:pPr>
        <w:pStyle w:val="BodyText"/>
        <w:rPr/>
      </w:pPr>
      <w:r>
        <w:rPr/>
        <w:tab/>
        <w:t>Certain types of skill or intellectual games and contests are legal in Arizona, but must be registered in advance with the Attorney General's office as authorized "amusement gambling" contests.  Ariz. Rev. Stat. §33-3311.  Arizona defines gambling as the "act of risking or giving something of value for the opportunity to obtain a benefit from a game or contest of chance or skill or a future contingent event…" Ariz. Rev. Stat. §33-3301.  While it makes no difference in Arizona whether a fantasy sports league is a game of chance or skill, there must be a wager involved for the game to be considered gambling under the terms of the statute.  As the players of EnronOnline's game will be participating for free, the game should fall outside the scope of Arizona law.</w:t>
      </w:r>
    </w:p>
    <w:p>
      <w:pPr>
        <w:pStyle w:val="BodyText"/>
        <w:rPr>
          <w:rFonts w:ascii="Times New Roman Bold" w:hAnsi="Times New Roman Bold" w:cs="Times New Roman Bold"/>
          <w:b/>
          <w:smallCaps/>
        </w:rPr>
      </w:pPr>
      <w:r>
        <w:rPr>
          <w:rFonts w:cs="Times New Roman Bold" w:ascii="Times New Roman Bold" w:hAnsi="Times New Roman Bold"/>
          <w:b/>
          <w:smallCaps/>
        </w:rPr>
        <w:t>Florida</w:t>
      </w:r>
    </w:p>
    <w:p>
      <w:pPr>
        <w:pStyle w:val="BodyText"/>
        <w:rPr/>
      </w:pPr>
      <w:r>
        <w:rPr/>
        <w:tab/>
        <w:t>As in most states, Florida's definition of gambling involves wagering something of value on the outcome of a contingent event.  Fla. Stat. ch. 849.08.  In Florida, it is unlawful to bet any money or other thing of value on the result of any trial or contest of skill.  Fla. Stat. ch. 849.14.  Further, it is illegal to assist, in any manner, such a bet, and both betting and assisting a bet are second degree misdemeanors.</w:t>
      </w:r>
    </w:p>
    <w:p>
      <w:pPr>
        <w:pStyle w:val="BodyText"/>
        <w:rPr/>
      </w:pPr>
      <w:r>
        <w:rPr/>
        <w:tab/>
        <w:t xml:space="preserve">In 1991, the Florida Attorney General's office issued an opinion letter stating explicitly that a fantasy sports league would be a violation of Florida law.  91 Op. Fla. Att'y Gen. 03 (1991).  However, the fantasy sports league at issue in the opinion letter required a $100 entry fee, which the Attorney General deemed to be a wager. Enron Online's game is easily distinguished from that case because no entry fee will be required.  According to the Attorney General and the Florida Supreme Court, if a prize is offered by someone who in no way competes for it to the successful contestant in a fete of mental or physical skill, it is not generally condemned as gambling. 91 Op. Fla. Att'y Gen. 03 citing Creash v. State, 179 So. 149, 152 (Fla. 1938).  </w:t>
      </w:r>
    </w:p>
    <w:p>
      <w:pPr>
        <w:pStyle w:val="BodyText"/>
        <w:rPr/>
      </w:pPr>
      <w:r>
        <w:rPr/>
        <w:tab/>
        <w:t xml:space="preserve"> Chapter 849.09 of the Florida Statute makes it illegal to dispose of any money or other property by means of any lottery.  The legality of Enron Online's game in Florida may turn on an issue as subtle as how a tie-score is resolved.  For example, if a tie-score is to be resolved by having the players guess the total number of homeruns hit by the U.S. baseball team during the Olympics, it will most likely be deemed a game of chance and therefore illegal. </w:t>
      </w:r>
    </w:p>
    <w:p>
      <w:pPr>
        <w:pStyle w:val="BodyText"/>
        <w:rPr/>
      </w:pPr>
      <w:r>
        <w:rPr/>
        <w:tab/>
        <w:t>Florida does allow game promotions in connection with the sale of consumer products or services.  Fla. Stat. ch. 849.094.  All such promotions must be registered with the Secretary of State's office, and the sponsor must post a bond for the value of the prizes.  Game promotions must, by definition, be games of chance.  In a legal opinion, the Florida Secretary of State determined that a particular fantasy football league was a game of skill, rather than chance, and therefore could not be registered as a game promotion.  If the EnronOnline's game involves enough chance, it may be possible to register under this provision. However, making the fantasy sports league into a game of chance, rather than skill, will create as many issues as it solves.</w:t>
      </w:r>
    </w:p>
    <w:p>
      <w:pPr>
        <w:pStyle w:val="BodyText"/>
        <w:ind w:firstLine="720" w:end="0"/>
        <w:rPr/>
      </w:pPr>
      <w:r>
        <w:rPr/>
        <w:t xml:space="preserve">Given the variety of regulatory schemes in Florida and the difficulty in insuring that a game is truly a contest of skill rather than chance, most fantasy sports leagues simply opt out of this state and declare their contests void in Florida.  Carefully crafted rules for the fantasy sports league carving out all elements of chance in the game will be vital to making the game legal in Florida.  </w:t>
      </w:r>
    </w:p>
    <w:p>
      <w:pPr>
        <w:pStyle w:val="BodyText"/>
        <w:keepNext w:val="true"/>
        <w:rPr>
          <w:rFonts w:ascii="Times New Roman Bold" w:hAnsi="Times New Roman Bold" w:cs="Times New Roman Bold"/>
          <w:b/>
          <w:smallCaps/>
        </w:rPr>
      </w:pPr>
      <w:r>
        <w:rPr>
          <w:rFonts w:cs="Times New Roman Bold" w:ascii="Times New Roman Bold" w:hAnsi="Times New Roman Bold"/>
          <w:b/>
          <w:smallCaps/>
        </w:rPr>
        <w:t>Louisiana</w:t>
      </w:r>
    </w:p>
    <w:p>
      <w:pPr>
        <w:pStyle w:val="BodyText"/>
        <w:rPr/>
      </w:pPr>
      <w:r>
        <w:rPr/>
        <w:tab/>
        <w:t>Louisiana has outlawed gambling by computer over the Internet.  La. Rev. Stat. § 14-90.3.  However, gambling by computer is defined as the intentional conducting of any game, contest or lottery whereby a person risks the loss of anything of value in order to realize a profit when accessing the Internet. .  La. Rev. Stat. § 14-90.3(B).  So long as the players of EnronOnline's game are not risking anything of value, the game should not violate Louisiana law.</w:t>
      </w:r>
    </w:p>
    <w:p>
      <w:pPr>
        <w:pStyle w:val="BodyText"/>
        <w:rPr/>
      </w:pPr>
      <w:r>
        <w:rPr/>
        <w:tab/>
        <w:t>Louisiana also requires any sponsor which solicits calls to a 900 or 976 telephone number for a prize, contest, sweepstakes, reward or give-away to provide certain information to the Attorney General's office. The statute also provides that, upon request from the Attorney General, all sponsors for a prize, contest, sweepstakes, reward or give-away shall provide the same information. However, the statute only specifies required information for television, radio, print, telephone and direct-mail solicitations.  In the event that the Attorney General deems Internet solicitations to fall within one of those categories, the information required is simply a copy or transcript of the offer or solicitation, making compliance very straightforward.  La. Rev. Stat. § 51-1732.</w:t>
      </w:r>
    </w:p>
    <w:p>
      <w:pPr>
        <w:pStyle w:val="BodyText"/>
        <w:rPr>
          <w:rFonts w:ascii="Times New Roman Bold" w:hAnsi="Times New Roman Bold" w:cs="Times New Roman Bold"/>
          <w:b/>
          <w:smallCaps/>
        </w:rPr>
      </w:pPr>
      <w:r>
        <w:rPr>
          <w:rFonts w:cs="Times New Roman Bold" w:ascii="Times New Roman Bold" w:hAnsi="Times New Roman Bold"/>
          <w:b/>
          <w:smallCaps/>
        </w:rPr>
        <w:t>Montana</w:t>
      </w:r>
    </w:p>
    <w:p>
      <w:pPr>
        <w:pStyle w:val="BodyText"/>
        <w:rPr/>
      </w:pPr>
      <w:r>
        <w:rPr/>
        <w:tab/>
        <w:t>Montana specifically authorizes fantasy sports leagues by statute.  Mont. Code Ann. § 23-5-801 (1999).  However, a fantasy sports league is defined as a group of persons who pay an entrance fee for membership in the league.  In order to be lawful, the total value of payouts to league members must equal the amount collected as entrance fees less payment for administrative expenses.  As the purpose of the statute appears to be to prevent the sponsor of the fantasy sports league from making a profit from entry fees, it is unlikely that giving away prizes in excess of free entry would violate the statute.</w:t>
      </w:r>
    </w:p>
    <w:p>
      <w:pPr>
        <w:pStyle w:val="BodyText"/>
        <w:rPr>
          <w:rFonts w:ascii="Times New Roman Bold" w:hAnsi="Times New Roman Bold" w:cs="Times New Roman Bold"/>
          <w:b/>
          <w:smallCaps/>
        </w:rPr>
      </w:pPr>
      <w:r>
        <w:rPr>
          <w:rFonts w:cs="Times New Roman Bold" w:ascii="Times New Roman Bold" w:hAnsi="Times New Roman Bold"/>
          <w:b/>
          <w:smallCaps/>
        </w:rPr>
        <w:t>New York</w:t>
      </w:r>
    </w:p>
    <w:p>
      <w:pPr>
        <w:pStyle w:val="BodyText"/>
        <w:rPr/>
      </w:pPr>
      <w:r>
        <w:rPr/>
        <w:tab/>
        <w:t>In New York, gambling means risking something of value on the outcome of a contest of chance or a future contingent event not under the actor's control or influence.  New York Penal Law § 225.00 (McKinney 1999).  EnronOnline's fantasy sports league does not appear to fall within the scope of this definition.</w:t>
      </w:r>
    </w:p>
    <w:p>
      <w:pPr>
        <w:pStyle w:val="BodyText"/>
        <w:rPr/>
      </w:pPr>
      <w:r>
        <w:rPr/>
        <w:tab/>
        <w:t xml:space="preserve">New York also regulates the use of games of chance in selling products or services.  Every person proposing to engage in any game or contest in connection with the promotion or sale of consumer products or services which offers prizes as determined by chance without any consideration, where the total value of the prizes is over $5,000.00, must register with the Secretary of State's office.  They must also establish a trust account with a balance sufficient to pay or purchase the total value of all prizes being offered.  New York General Business Law § 369-e (McKinney 1999).  </w:t>
      </w:r>
    </w:p>
    <w:p>
      <w:pPr>
        <w:pStyle w:val="BodyText"/>
        <w:ind w:firstLine="720" w:end="0"/>
        <w:rPr/>
      </w:pPr>
      <w:r>
        <w:rPr/>
        <w:t>This statute raises the same issues regarding games of chance that arise under Florida's law.  The determination of who gets any particular prize must not be based on chance.  One might be able to argue that EnronOnline is not promoting the sale of a consumer product or service, but it will probably be easier and less risky to simply address the issue of chance in the game.  Please note that the registration under this provision must be made thirty (30) days in advance of the start of the promotion.</w:t>
      </w:r>
    </w:p>
    <w:p>
      <w:pPr>
        <w:pStyle w:val="Normal"/>
        <w:rPr/>
      </w:pPr>
      <w:r>
        <w:rPr/>
      </w:r>
    </w:p>
    <w:sectPr>
      <w:footerReference w:type="default" r:id="rId2"/>
      <w:footerReference w:type="first" r:id="rId3"/>
      <w:type w:val="nextPage"/>
      <w:pgSz w:w="12240" w:h="15840"/>
      <w:pgMar w:left="1440" w:right="1440" w:gutter="0" w:header="0" w:top="1152"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Bold">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58" w:type="dxa"/>
      <w:jc w:val="start"/>
      <w:tblInd w:w="0" w:type="dxa"/>
      <w:tblLayout w:type="fixed"/>
      <w:tblCellMar>
        <w:top w:w="0" w:type="dxa"/>
        <w:start w:w="108" w:type="dxa"/>
        <w:bottom w:w="0" w:type="dxa"/>
        <w:end w:w="108" w:type="dxa"/>
      </w:tblCellMar>
    </w:tblPr>
    <w:tblGrid>
      <w:gridCol w:w="3888"/>
      <w:gridCol w:w="1080"/>
      <w:gridCol w:w="4590"/>
    </w:tblGrid>
    <w:tr>
      <w:trPr/>
      <w:tc>
        <w:tcPr>
          <w:tcW w:w="3888" w:type="dxa"/>
          <w:tcBorders/>
        </w:tcPr>
        <w:p>
          <w:pPr>
            <w:pStyle w:val="Footer"/>
            <w:spacing w:lineRule="exact" w:line="200"/>
            <w:rPr/>
          </w:pPr>
          <w:r>
            <w:rPr>
              <w:rStyle w:val="zzmpTrailerItem"/>
            </w:rPr>
            <w:t>LA1:#6184916v2</w:t>
          </w:r>
          <w:r>
            <w:rPr/>
            <w:t xml:space="preserve"> </w:t>
          </w:r>
        </w:p>
        <w:p>
          <w:pPr>
            <w:pStyle w:val="Footer"/>
            <w:spacing w:lineRule="exact" w:line="200"/>
            <w:rPr/>
          </w:pPr>
          <w:r>
            <w:rPr>
              <w:rStyle w:val="zzmpTrailerItem"/>
            </w:rPr>
            <w:fldChar w:fldCharType="begin"/>
          </w:r>
          <w:r>
            <w:rPr>
              <w:rStyle w:val="zzmpTrailerItem"/>
            </w:rPr>
            <w:instrText xml:space="preserve"> DATE \@"MM\/d\/yy\ H:mm\ AM/PM" </w:instrText>
          </w:r>
          <w:r>
            <w:rPr>
              <w:rStyle w:val="zzmpTrailerItem"/>
            </w:rPr>
            <w:fldChar w:fldCharType="separate"/>
          </w:r>
          <w:r>
            <w:rPr>
              <w:rStyle w:val="zzmpTrailerItem"/>
            </w:rPr>
            <w:t>09/28/25 8:06 AM</w:t>
          </w:r>
          <w:r>
            <w:rPr>
              <w:rStyle w:val="zzmpTrailerItem"/>
            </w:rPr>
            <w:fldChar w:fldCharType="end"/>
          </w:r>
          <w:r>
            <w:rPr/>
            <w:t xml:space="preserve"> </w:t>
          </w:r>
        </w:p>
      </w:tc>
      <w:tc>
        <w:tcPr>
          <w:tcW w:w="1080" w:type="dxa"/>
          <w:tcBorders/>
        </w:tcPr>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p>
      </w:tc>
      <w:tc>
        <w:tcPr>
          <w:tcW w:w="4590" w:type="dxa"/>
          <w:tcBorders/>
        </w:tcPr>
        <w:p>
          <w:pPr>
            <w:pStyle w:val="Footer"/>
            <w:snapToGrid w:val="false"/>
            <w:rPr/>
          </w:pPr>
          <w:r>
            <w:rPr/>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LA1:#6184916v2</w:t>
    </w:r>
    <w:r>
      <w:rPr/>
      <w:t xml:space="preserve"> </w:t>
    </w:r>
  </w:p>
  <w:p>
    <w:pPr>
      <w:pStyle w:val="Footer"/>
      <w:spacing w:lineRule="exact" w:line="200"/>
      <w:rPr/>
    </w:pPr>
    <w:r>
      <w:rPr>
        <w:rStyle w:val="zzmpTrailerItem"/>
      </w:rPr>
      <w:fldChar w:fldCharType="begin"/>
    </w:r>
    <w:r>
      <w:rPr>
        <w:rStyle w:val="zzmpTrailerItem"/>
      </w:rPr>
      <w:instrText xml:space="preserve"> DATE \@"MM\/d\/yy\ H:mm\ AM/PM" </w:instrText>
    </w:r>
    <w:r>
      <w:rPr>
        <w:rStyle w:val="zzmpTrailerItem"/>
      </w:rPr>
      <w:fldChar w:fldCharType="separate"/>
    </w:r>
    <w:r>
      <w:rPr>
        <w:rStyle w:val="zzmpTrailerItem"/>
      </w:rPr>
      <w:t>09/28/25 8:06 AM</w:t>
    </w:r>
    <w:r>
      <w:rPr>
        <w:rStyle w:val="zzmpTrailerItem"/>
      </w:rPr>
      <w:fldChar w:fldCharType="end"/>
    </w:r>
    <w:r>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cbxOptBodyTextAlignment" w:val="0"/>
    <w:docVar w:name="cbxOptOffices" w:val="Los Angeles"/>
    <w:docVar w:name="chkIncludeDPhrase" w:val="False"/>
    <w:docVar w:name="chkOptIncludeFirmName" w:val="False"/>
    <w:docVar w:name="chkOptInsertDateAsField" w:val="False"/>
    <w:docVar w:name="cmbAuthorLists" w:val="-101"/>
    <w:docVar w:name="cmbOptFonts" w:val="Times New Roman"/>
    <w:docVar w:name="lstDeliveryPhrases" w:val="Attorney-Client Privilege"/>
    <w:docVar w:name="Restarted" w:val="True"/>
    <w:docVar w:name="tglUseFirmDefaults" w:val="False"/>
    <w:docVar w:name="txtCC" w:val="Edwin Feo"/>
    <w:docVar w:name="txtDeliveryPhrases" w:val="ATTORNEY-CLIENT PRIVILEGE"/>
    <w:docVar w:name="txtFileNo" w:val="00000-00000"/>
    <w:docVar w:name="txtFrom" w:val="August W. Pelton"/>
    <w:docVar w:name="txtOptBottomMargin" w:val="1"/>
    <w:docVar w:name="txtOptFirstLine" w:val="0"/>
    <w:docVar w:name="txtOptFSize" w:val="12"/>
    <w:docVar w:name="txtOptLeftMargin" w:val="1"/>
    <w:docVar w:name="txtOptRightMargin" w:val="1"/>
    <w:docVar w:name="txtOptTopMargin" w:val=".8"/>
    <w:docVar w:name="txtRe" w:val="EnronOnline LLC - State Regulations of Online Gaming"/>
    <w:docVar w:name="txtTo" w:val="Ms. Leslie Hansen"/>
    <w:docVar w:name="zzmpFixedDOC_ID" w:val="LA1:#6184916v2"/>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b/>
      <w:i w:val="false"/>
      <w:u w:val="none"/>
    </w:rPr>
  </w:style>
  <w:style w:type="character" w:styleId="WW8Num1z2">
    <w:name w:val="WW8Num1z2"/>
    <w:qFormat/>
    <w:rPr>
      <w:b w:val="false"/>
      <w:u w:val="none"/>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sz w:val="16"/>
      <w:effect w:val="blinkBackground"/>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DeliveryPhrase">
    <w:name w:val="Delivery Phrase"/>
    <w:basedOn w:val="Normal"/>
    <w:qFormat/>
    <w:pPr>
      <w:spacing w:before="0" w:after="240"/>
    </w:pPr>
    <w:rPr>
      <w:b/>
      <w:caps/>
    </w:rPr>
  </w:style>
  <w:style w:type="paragraph" w:styleId="BodyTextContinued">
    <w:name w:val="Body Text Continued"/>
    <w:basedOn w:val="BodyText"/>
    <w:next w:val="BodyText"/>
    <w:qFormat/>
    <w:pPr>
      <w:widowControl w:val="false"/>
      <w:spacing w:lineRule="auto" w:line="480" w:before="0" w:after="0"/>
    </w:pPr>
    <w:rPr/>
  </w:style>
  <w:style w:type="paragraph" w:styleId="BodyTextIndent">
    <w:name w:val="Body Text Indent"/>
    <w:basedOn w:val="BodyText"/>
    <w:next w:val="BodyText"/>
    <w:pPr>
      <w:widowControl w:val="false"/>
      <w:spacing w:before="0" w:after="0"/>
      <w:ind w:hanging="0" w:start="720" w:end="0"/>
    </w:pPr>
    <w:rPr/>
  </w:style>
  <w:style w:type="paragraph" w:styleId="Centered">
    <w:name w:val="Centered"/>
    <w:basedOn w:val="Normal"/>
    <w:next w:val="BodyText"/>
    <w:qFormat/>
    <w:pPr>
      <w:spacing w:lineRule="exact" w:line="240" w:before="0" w:after="240"/>
      <w:jc w:val="center"/>
    </w:pPr>
    <w:rPr/>
  </w:style>
  <w:style w:type="paragraph" w:styleId="EnvelopeAddress">
    <w:name w:val="envelope address"/>
    <w:basedOn w:val="Normal"/>
    <w:pPr/>
    <w:rPr/>
  </w:style>
  <w:style w:type="paragraph" w:styleId="FootnoteText">
    <w:name w:val="footnote text"/>
    <w:basedOn w:val="Normal"/>
    <w:pPr/>
    <w:rPr>
      <w:sz w:val="22"/>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LetterDate">
    <w:name w:val="Letter Date"/>
    <w:basedOn w:val="Normal"/>
    <w:next w:val="BodyText"/>
    <w:qFormat/>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2000-08-15T15:34:00Z</dcterms:created>
  <dc:creator>APelton</dc:creator>
  <dc:description/>
  <dc:language>en-CA</dc:language>
  <cp:lastModifiedBy>APelton</cp:lastModifiedBy>
  <cp:lastPrinted>2000-08-15T11:12:00Z</cp:lastPrinted>
  <dcterms:modified xsi:type="dcterms:W3CDTF">2000-08-15T15:51:00Z</dcterms:modified>
  <cp:revision>5</cp:revision>
  <dc:subject/>
  <dc:title>Generic MacPac 8.0 Memo Template, rev. 4/3/97, the Legal MacPac</dc:title>
</cp:coreProperties>
</file>