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480"/>
        <w:rPr/>
      </w:pPr>
      <w:r>
        <w:rPr/>
        <w:t>To:      Richard Smith</w:t>
      </w:r>
    </w:p>
    <w:p>
      <w:pPr>
        <w:pStyle w:val="Normal"/>
        <w:spacing w:lineRule="auto" w:line="480"/>
        <w:rPr/>
      </w:pPr>
      <w:r>
        <w:rPr/>
        <w:t>cc:</w:t>
        <w:tab/>
        <w:t>Lisa Mellencamp</w:t>
      </w:r>
    </w:p>
    <w:p>
      <w:pPr>
        <w:pStyle w:val="Normal"/>
        <w:spacing w:lineRule="auto" w:line="480"/>
        <w:rPr/>
      </w:pPr>
      <w:r>
        <w:rPr/>
        <w:tab/>
        <w:t>Richard Sanders</w:t>
      </w:r>
    </w:p>
    <w:p>
      <w:pPr>
        <w:pStyle w:val="Normal"/>
        <w:spacing w:lineRule="auto" w:line="480"/>
        <w:rPr>
          <w:b/>
        </w:rPr>
      </w:pPr>
      <w:r>
        <w:rPr/>
        <w:t>From:  Steve Howard, Milbank, Tweed, Hadley &amp; McCloy</w:t>
      </w:r>
    </w:p>
    <w:p>
      <w:pPr>
        <w:pStyle w:val="Normal"/>
        <w:spacing w:lineRule="auto" w:line="480"/>
        <w:rPr/>
      </w:pPr>
      <w:r>
        <w:rPr/>
        <w:t>Re:      Enron Indemnification Claim</w:t>
      </w:r>
    </w:p>
    <w:p>
      <w:pPr>
        <w:pStyle w:val="Normal"/>
        <w:spacing w:lineRule="auto" w:line="480"/>
        <w:rPr/>
      </w:pPr>
      <w:r>
        <w:rPr/>
        <w:t>Date:   August 4, 2000</w:t>
      </w:r>
    </w:p>
    <w:p>
      <w:pPr>
        <w:pStyle w:val="Normal"/>
        <w:spacing w:lineRule="auto" w:line="480"/>
        <w:rPr/>
      </w:pPr>
      <w:r>
        <w:rPr/>
        <w:tab/>
        <w:tab/>
        <w:t>Following our conference call, I believe these are the relevant facts:</w:t>
      </w:r>
    </w:p>
    <w:p>
      <w:pPr>
        <w:pStyle w:val="Normal"/>
        <w:spacing w:lineRule="auto" w:line="480"/>
        <w:ind w:firstLine="1440" w:end="0"/>
        <w:rPr/>
      </w:pPr>
      <w:r>
        <w:rPr/>
        <w:t>On March 2, 1998, ECT Securities Corp. ("ECTSC"), a Delaware corporation, along with three other parties (together with ECTSC, the "Purchasers"), entered into a Purchase Agreement (the "Purchase Agreement") with Nakornthai Strip Mill Public Company Limited ("NSM"), a Thai corporation, and two of its direct or indirect subsidiaries (the "Note Issuers" and, together with NSM, the "Issuers"), whereby the Note Issuers agreed to issue and sell to the Purchasers, and the Purchasers agreed to buy from the Note Issuers, $249,000,000 aggregate principal amount at maturity of 12% Senior Mortgage Notes Due 2006 guaranteed by NSM (the "Senior Notes"), and 203,500,000 units consisting in the aggregate of $203,500,000 aggregate principal amount at maturity of 12 ¼% Senior Subordinated Mortgage Notes Due 2008 guaranteed by NSM (the "Senior Subordinated Notes") and warrants to purchase 128,834,356 ordinary shares, par value 10 Baht per share, of NSM (the "Warrants" and, together with the Senior Notes and the Senior Subordinated Notes, the "NSM Securities").  See Section 1 of the Purchase Agreement, a copy of which has been supplied to you.</w:t>
      </w:r>
    </w:p>
    <w:p>
      <w:pPr>
        <w:pStyle w:val="Normal"/>
        <w:spacing w:lineRule="auto" w:line="480"/>
        <w:rPr/>
      </w:pPr>
      <w:r>
        <w:rPr/>
        <w:tab/>
        <w:tab/>
        <w:t>In the Purchase Agreement the Issuers, including NSM, jointly and severally, (i) represented that certain documents prepared by the Issuers for use by the Purchasers in reselling any of the NSM Securities (collectively the "Offering Document") were true and complete (See Purchase Agreement, Section 2(a)) and (ii) indemnified each of the Purchasers, including ECTSC, from any losses, claims, damages, or liabilities (including legal expenses), arising out of any untrue statement in, or material omission from, the Offering Document (except for information supplied by the Purchasers).  See Purchase Agreement, Section 7.</w:t>
      </w:r>
    </w:p>
    <w:p>
      <w:pPr>
        <w:pStyle w:val="Normal"/>
        <w:spacing w:lineRule="auto" w:line="480"/>
        <w:rPr/>
      </w:pPr>
      <w:r>
        <w:rPr/>
        <w:tab/>
        <w:tab/>
        <w:t>Of the NSM Securities purchased by ECTSC, ECTSC retained for its own account 11,750 units, consisting of $11,750,000 principal amount of Senior Subordinated Notes and warrants to purchase 7,438,839</w:t>
      </w:r>
      <w:r>
        <w:rPr>
          <w:b/>
        </w:rPr>
        <w:t xml:space="preserve"> </w:t>
      </w:r>
      <w:r>
        <w:rPr/>
        <w:t xml:space="preserve">shares of NSM . </w:t>
      </w:r>
    </w:p>
    <w:p>
      <w:pPr>
        <w:pStyle w:val="Normal"/>
        <w:spacing w:lineRule="auto" w:line="480"/>
        <w:rPr/>
      </w:pPr>
      <w:r>
        <w:rPr/>
        <w:tab/>
        <w:tab/>
        <w:t>Subsequent to the execution of the Purchase Agreement, ECT Securities Limited Partnership ("ECTSLP"), a Delaware limited partnership, succeeded to all of the rights of ECTSC under the Purchase Agreement.  See Purchase Agreement, Section 11.</w:t>
      </w:r>
    </w:p>
    <w:p>
      <w:pPr>
        <w:pStyle w:val="Normal"/>
        <w:spacing w:lineRule="auto" w:line="480"/>
        <w:ind w:firstLine="1440" w:end="0"/>
        <w:rPr/>
      </w:pPr>
      <w:r>
        <w:rPr/>
        <w:t>In 1999 several lawsuits were filed in the United States against one or more of the Purchasers and others by or on behalf of persons who had purchased NSM Securities from one or more of the Purchasers allegedly on the basis of the Offering Document, which, the plaintiffs alleged, contained untrue statements and omitted material facts, which untrue statements and omissions of material facts allegedly caused the plaintiffs to lose the money they had invested in NSM Securities.  Two of these suits named ECTSLP as a defendant.</w:t>
      </w:r>
    </w:p>
    <w:p>
      <w:pPr>
        <w:pStyle w:val="Normal"/>
        <w:spacing w:lineRule="auto" w:line="480"/>
        <w:ind w:firstLine="1440" w:end="0"/>
        <w:rPr/>
      </w:pPr>
      <w:r>
        <w:rPr/>
        <w:t>One of the suits that named ECTSLP as a defendant (the "Farallon/Oaktree Suit") was brought by two groups of plaintiffs, Farallon Capital Partners, L.P.,  Farallon Capital Institutional Partners, L.P., Farallon Capital Institutional Partners II, L.P., Farallon Capital Offshore Investors, Inc., and Consolidated Press International Limited (the "Farallon Plaintiffs") and  OCM Opportunities Fund II, L.P. and Oaktree Capital Management, LLC as investment manager of the Columbia HCA/Master Retirement Trust (the "Oaktree Plaintiffs").   The Farallon Plaintiffs had purchased $28,500,000 principal amount of the Senior Subordinated Notes, and The Oaktree Plaintiffs had purchased $18,120,000 principal amount of Senior Notes.  Oaktree subsequently dismissed ECTSLP from the Farallon/Oaktree Suit and released ECTSLP from all claims relating to NSM. You have a copy of the First Amended Complaint in the Farallon/Oaktree Suit.</w:t>
      </w:r>
    </w:p>
    <w:p>
      <w:pPr>
        <w:pStyle w:val="Normal"/>
        <w:spacing w:lineRule="auto" w:line="480"/>
        <w:ind w:firstLine="1440" w:end="0"/>
        <w:rPr/>
      </w:pPr>
      <w:r>
        <w:rPr/>
        <w:t>The other suit naming ECTSLP as a defendant (the "Legg Mason Suit") was brought by Legg Mason Income Trust, Inc. - Legg Mason High Yield Portfolio, who had purchased $5 million principal amount of Senior Subordinated Notes. You also have a  copy of the First Amended Complaint in the Legg Mason Suit.</w:t>
      </w:r>
    </w:p>
    <w:p>
      <w:pPr>
        <w:pStyle w:val="Normal"/>
        <w:spacing w:lineRule="auto" w:line="480"/>
        <w:ind w:firstLine="1440" w:end="0"/>
        <w:rPr/>
      </w:pPr>
      <w:r>
        <w:rPr/>
        <w:t xml:space="preserve">Although ECTSLP believes that it has meritorious defenses to the plaintiffs' claims in the two suits that have been brought against it, and to any additional suits or claims that might be brought against ECTSLP relating to the NSM Securities, ECTSLP's contingent exposure with respect to alleged untrue statements in, or materials omissions from, the Offering Document is $440,750,000, </w:t>
      </w:r>
      <w:r>
        <w:rPr>
          <w:i/>
        </w:rPr>
        <w:t>i.e.</w:t>
      </w:r>
      <w:r>
        <w:rPr/>
        <w:t>, $452,500,000 aggregate principal amount of Senior Notes and Senior Subordinated Notes offered in March 1998, less $11,750,000 principal amount of Senior Subordinated Notes purchased and retained by ECTSC for its own account.  The legal expenses to defend suits for $440,750,000 in the United States would be more than $5 million.</w:t>
      </w:r>
    </w:p>
    <w:p>
      <w:pPr>
        <w:pStyle w:val="Normal"/>
        <w:spacing w:lineRule="auto" w:line="480"/>
        <w:ind w:firstLine="1440" w:end="0"/>
        <w:rPr/>
      </w:pPr>
      <w:r>
        <w:rPr/>
        <w:t xml:space="preserve"> </w:t>
      </w:r>
      <w:r>
        <w:rPr/>
        <w:t>(Richard:  Note that, in calculating the total exposure, I have not deducted the $18,120,000 of Senior Notes purchased by the Oaktree Plaintiffs, even though those plaintiffs have released Oaktree.  This is because, if Oaktree prevails against the other defendants, those defendants have the right under American law to turn around and seek to recoup their payments to Oaktree from ECTSLP.)</w:t>
      </w:r>
    </w:p>
    <w:p>
      <w:pPr>
        <w:pStyle w:val="Normal"/>
        <w:spacing w:lineRule="auto" w:line="480"/>
        <w:ind w:firstLine="1440" w:end="0"/>
        <w:rPr/>
      </w:pPr>
      <w:r>
        <w:rPr/>
        <w:t>Under the Purchase Agreement, and under the statutory and common law in the United States, ECTSLP is entitled to complete or partial indemnification and/or contribution from each of the Issuers, including NSM, with respect to any judgment suffered by ECTSLP on any claim based on alleged untrue statements in, or material omissions from, the Offering Document.</w:t>
      </w:r>
    </w:p>
    <w:sectPr>
      <w:footerReference w:type="default" r:id="rId2"/>
      <w:footerReference w:type="first" r:id="rId3"/>
      <w:type w:val="nextPage"/>
      <w:pgSz w:w="12240" w:h="15840"/>
      <w:pgMar w:left="1440" w:right="144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EngravrsRoman BT">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exact" w:line="200"/>
      <w:rPr/>
    </w:pPr>
    <w:r>
      <w:rPr>
        <w:rStyle w:val="zzmpTrailerItem"/>
      </w:rPr>
      <w:t>LA1:#6184354</w:t>
    </w:r>
    <w:r>
      <w:rPr/>
      <w:t xml:space="preserve"> </w:t>
    </w:r>
  </w:p>
  <w:p>
    <w:pPr>
      <w:pStyle w:val="Footer"/>
      <w:spacing w:lineRule="exact" w:line="200"/>
      <w:rPr/>
    </w:pPr>
    <w:r>
      <w:rPr>
        <w:rStyle w:val="zzmpTrailerItem"/>
      </w:rPr>
      <w:fldChar w:fldCharType="begin"/>
    </w:r>
    <w:r>
      <w:rPr>
        <w:rStyle w:val="zzmpTrailerItem"/>
      </w:rPr>
      <w:instrText xml:space="preserve"> DATE \@"MM\/d\/yy\ H:mm\ AM/PM" </w:instrText>
    </w:r>
    <w:r>
      <w:rPr>
        <w:rStyle w:val="zzmpTrailerItem"/>
      </w:rPr>
      <w:fldChar w:fldCharType="separate"/>
    </w:r>
    <w:r>
      <w:rPr>
        <w:rStyle w:val="zzmpTrailerItem"/>
      </w:rPr>
      <w:t>09/28/25 8:06 AM</w:t>
    </w:r>
    <w:r>
      <w:rPr>
        <w:rStyle w:val="zzmpTrailerItem"/>
      </w:rPr>
      <w:fldChar w:fldCharType="end"/>
    </w:r>
    <w:r>
      <w:rPr/>
      <w:t xml:space="preserve"> </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exact" w:line="200"/>
      <w:rPr/>
    </w:pPr>
    <w:r>
      <w:rPr>
        <w:rStyle w:val="zzmpTrailerItem"/>
      </w:rPr>
      <w:t>LA1:#6184354</w:t>
    </w:r>
    <w:r>
      <w:rPr/>
      <w:t xml:space="preserve"> </w:t>
    </w:r>
  </w:p>
  <w:p>
    <w:pPr>
      <w:pStyle w:val="Footer"/>
      <w:spacing w:lineRule="exact" w:line="200"/>
      <w:rPr/>
    </w:pPr>
    <w:r>
      <w:rPr>
        <w:rStyle w:val="zzmpTrailerItem"/>
      </w:rPr>
      <w:fldChar w:fldCharType="begin"/>
    </w:r>
    <w:r>
      <w:rPr>
        <w:rStyle w:val="zzmpTrailerItem"/>
      </w:rPr>
      <w:instrText xml:space="preserve"> DATE \@"MM\/d\/yy\ H:mm\ AM/PM" </w:instrText>
    </w:r>
    <w:r>
      <w:rPr>
        <w:rStyle w:val="zzmpTrailerItem"/>
      </w:rPr>
      <w:fldChar w:fldCharType="separate"/>
    </w:r>
    <w:r>
      <w:rPr>
        <w:rStyle w:val="zzmpTrailerItem"/>
      </w:rPr>
      <w:t>09/28/25 8:06 AM</w:t>
    </w:r>
    <w:r>
      <w:rPr>
        <w:rStyle w:val="zzmpTrailerItem"/>
      </w:rPr>
      <w:fldChar w:fldCharType="end"/>
    </w:r>
    <w:r>
      <w:rPr/>
      <w:t xml:space="preserve"> </w:t>
    </w:r>
    <w:r>
      <w:rPr/>
      <w:tab/>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start"/>
      <w:pPr>
        <w:tabs>
          <w:tab w:val="num" w:pos="720"/>
        </w:tabs>
        <w:ind w:start="720" w:hanging="720"/>
      </w:pPr>
      <w:rPr>
        <w:i w:val="false"/>
        <w:u w:val="none"/>
        <w:b/>
      </w:rPr>
    </w:lvl>
    <w:lvl w:ilvl="1">
      <w:start w:val="1"/>
      <w:pStyle w:val="Heading2"/>
      <w:numFmt w:val="upperLetter"/>
      <w:lvlText w:val="%2."/>
      <w:lvlJc w:val="start"/>
      <w:pPr>
        <w:tabs>
          <w:tab w:val="num" w:pos="720"/>
        </w:tabs>
        <w:ind w:start="1440" w:hanging="720"/>
      </w:pPr>
      <w:rPr>
        <w:i w:val="false"/>
        <w:u w:val="none"/>
        <w:b/>
      </w:rPr>
    </w:lvl>
    <w:lvl w:ilvl="2">
      <w:start w:val="1"/>
      <w:pStyle w:val="Heading3"/>
      <w:numFmt w:val="decimal"/>
      <w:lvlText w:val="%3."/>
      <w:lvlJc w:val="start"/>
      <w:pPr>
        <w:tabs>
          <w:tab w:val="num" w:pos="720"/>
        </w:tabs>
        <w:ind w:start="2160" w:hanging="720"/>
      </w:pPr>
      <w:rPr>
        <w:u w:val="none"/>
        <w:b w:val="false"/>
      </w:rPr>
    </w:lvl>
    <w:lvl w:ilvl="3">
      <w:start w:val="1"/>
      <w:pStyle w:val="Heading4"/>
      <w:numFmt w:val="lowerLetter"/>
      <w:lvlText w:val="%4."/>
      <w:lvlJc w:val="start"/>
      <w:pPr>
        <w:tabs>
          <w:tab w:val="num" w:pos="720"/>
        </w:tabs>
        <w:ind w:start="2880" w:hanging="720"/>
      </w:pPr>
      <w:rPr>
        <w:u w:val="none"/>
        <w:b w:val="false"/>
      </w:rPr>
    </w:lvl>
    <w:lvl w:ilvl="4">
      <w:start w:val="1"/>
      <w:pStyle w:val="Heading5"/>
      <w:numFmt w:val="decimal"/>
      <w:lvlText w:val="(%5)"/>
      <w:lvlJc w:val="start"/>
      <w:pPr>
        <w:tabs>
          <w:tab w:val="num" w:pos="720"/>
        </w:tabs>
        <w:ind w:start="3600" w:hanging="720"/>
      </w:pPr>
      <w:rPr>
        <w:u w:val="none"/>
        <w:b w:val="false"/>
      </w:rPr>
    </w:lvl>
    <w:lvl w:ilvl="5">
      <w:start w:val="1"/>
      <w:pStyle w:val="Heading6"/>
      <w:numFmt w:val="lowerLetter"/>
      <w:lvlText w:val="(%6)"/>
      <w:lvlJc w:val="start"/>
      <w:pPr>
        <w:tabs>
          <w:tab w:val="num" w:pos="720"/>
        </w:tabs>
        <w:ind w:start="4320" w:hanging="720"/>
      </w:pPr>
      <w:rPr>
        <w:u w:val="none"/>
        <w:b w:val="false"/>
      </w:rPr>
    </w:lvl>
    <w:lvl w:ilvl="6">
      <w:start w:val="1"/>
      <w:pStyle w:val="Heading7"/>
      <w:numFmt w:val="lowerRoman"/>
      <w:lvlText w:val="(%7)"/>
      <w:lvlJc w:val="start"/>
      <w:pPr>
        <w:tabs>
          <w:tab w:val="num" w:pos="720"/>
        </w:tabs>
        <w:ind w:start="5040" w:hanging="720"/>
      </w:pPr>
      <w:rPr>
        <w:u w:val="none"/>
        <w:b w:val="false"/>
      </w:rPr>
    </w:lvl>
    <w:lvl w:ilvl="7">
      <w:start w:val="1"/>
      <w:pStyle w:val="Heading8"/>
      <w:numFmt w:val="lowerLetter"/>
      <w:lvlText w:val="%8)"/>
      <w:lvlJc w:val="start"/>
      <w:pPr>
        <w:tabs>
          <w:tab w:val="num" w:pos="720"/>
        </w:tabs>
        <w:ind w:start="5760" w:hanging="720"/>
      </w:pPr>
      <w:rPr>
        <w:u w:val="none"/>
        <w:b w:val="false"/>
      </w:rPr>
    </w:lvl>
    <w:lvl w:ilvl="8">
      <w:start w:val="1"/>
      <w:pStyle w:val="Heading9"/>
      <w:numFmt w:val="lowerRoman"/>
      <w:lvlText w:val="%9)"/>
      <w:lvlJc w:val="start"/>
      <w:pPr>
        <w:tabs>
          <w:tab w:val="num" w:pos="720"/>
        </w:tabs>
        <w:ind w:start="6480" w:hanging="720"/>
      </w:pPr>
      <w:rPr>
        <w:u w:val="none"/>
        <w:b w:val="false"/>
      </w:rPr>
    </w:lvl>
  </w:abstractNum>
  <w:abstractNum w:abstractNumId="2">
    <w:lvl w:ilvl="0">
      <w:start w:val="1"/>
      <w:numFmt w:val="decimal"/>
      <w:suff w:val="nothing"/>
      <w:lvlText w:val="ARTICLE %1"/>
      <w:lvlJc w:val="start"/>
      <w:pPr>
        <w:tabs>
          <w:tab w:val="num" w:pos="0"/>
        </w:tabs>
        <w:ind w:start="0" w:hanging="0"/>
      </w:pPr>
      <w:rPr>
        <w:caps/>
        <w:outline w:val="false"/>
        <w:dstrike w:val="false"/>
        <w:strike w:val="false"/>
        <w:vertAlign w:val="baseline"/>
        <w:position w:val="0"/>
        <w:sz w:val="24"/>
        <w:sz w:val="24"/>
        <w:i w:val="false"/>
        <w:shadow w:val="false"/>
        <w:u w:val="single"/>
        <w:b w:val="false"/>
        <w:vanish w:val="false"/>
        <w:rFonts w:ascii="Times New Roman" w:hAnsi="Times New Roman" w:cs="Times New Roman"/>
        <w:color w:val="auto"/>
      </w:rPr>
    </w:lvl>
    <w:lvl w:ilvl="1">
      <w:start w:val="1"/>
      <w:numFmt w:val="none"/>
      <w:suff w:val="nothing"/>
      <w:lvlText w:val="Section 1.1"/>
      <w:lvlJc w:val="start"/>
      <w:pPr>
        <w:tabs>
          <w:tab w:val="num" w:pos="2520"/>
        </w:tabs>
        <w:ind w:start="0" w:firstLine="144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2">
      <w:start w:val="1"/>
      <w:numFmt w:val="none"/>
      <w:suff w:val="nothing"/>
      <w:lvlText w:val="(a)"/>
      <w:lvlJc w:val="start"/>
      <w:pPr>
        <w:tabs>
          <w:tab w:val="num" w:pos="1800"/>
        </w:tabs>
        <w:ind w:start="720" w:firstLine="72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3">
      <w:start w:val="1"/>
      <w:numFmt w:val="lowerLetter"/>
      <w:lvlText w:val="(%4)"/>
      <w:lvlJc w:val="start"/>
      <w:pPr>
        <w:tabs>
          <w:tab w:val="num" w:pos="1440"/>
        </w:tabs>
        <w:ind w:start="1440" w:hanging="72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3">
    <w:lvl w:ilvl="0">
      <w:start w:val="1"/>
      <w:numFmt w:val="decimal"/>
      <w:lvlText w:val="SECTION %1."/>
      <w:lvlJc w:val="start"/>
      <w:pPr>
        <w:tabs>
          <w:tab w:val="num" w:pos="2880"/>
        </w:tabs>
        <w:ind w:start="0" w:firstLine="1440"/>
      </w:pPr>
      <w:rPr>
        <w:caps/>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1">
      <w:start w:val="1"/>
      <w:isLgl/>
      <w:numFmt w:val="decimalZero"/>
      <w:lvlText w:val="%1.%2"/>
      <w:lvlJc w:val="start"/>
      <w:pPr>
        <w:tabs>
          <w:tab w:val="num" w:pos="1800"/>
        </w:tabs>
        <w:ind w:start="0" w:firstLine="144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2">
      <w:start w:val="1"/>
      <w:numFmt w:val="lowerLetter"/>
      <w:lvlText w:val="(%3)"/>
      <w:lvlJc w:val="start"/>
      <w:pPr>
        <w:tabs>
          <w:tab w:val="num" w:pos="1800"/>
        </w:tabs>
        <w:ind w:start="0" w:firstLine="1440"/>
      </w:pPr>
      <w:rPr>
        <w:smallCaps w:val="false"/>
        <w:caps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3">
      <w:start w:val="1"/>
      <w:numFmt w:val="lowerRoman"/>
      <w:lvlText w:val="(%4)"/>
      <w:lvlJc w:val="start"/>
      <w:pPr>
        <w:tabs>
          <w:tab w:val="num" w:pos="2520"/>
        </w:tabs>
        <w:ind w:start="720" w:firstLine="720"/>
      </w:pPr>
      <w:rPr>
        <w:smallCaps w:val="false"/>
        <w:caps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4">
      <w:start w:val="1"/>
      <w:numFmt w:val="upperLetter"/>
      <w:lvlText w:val="(%5)"/>
      <w:lvlJc w:val="start"/>
      <w:pPr>
        <w:tabs>
          <w:tab w:val="num" w:pos="2880"/>
        </w:tabs>
        <w:ind w:start="2880" w:hanging="72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5">
      <w:start w:val="1"/>
      <w:numFmt w:val="none"/>
      <w:suff w:val="nothing"/>
      <w:lvlText w:val=""/>
      <w:lvlJc w:val="start"/>
      <w:pPr>
        <w:tabs>
          <w:tab w:val="num" w:pos="2736"/>
        </w:tabs>
        <w:ind w:start="2736" w:hanging="936"/>
      </w:pPr>
    </w:lvl>
    <w:lvl w:ilvl="6">
      <w:start w:val="1"/>
      <w:numFmt w:val="none"/>
      <w:suff w:val="nothing"/>
      <w:lvlText w:val=""/>
      <w:lvlJc w:val="start"/>
      <w:pPr>
        <w:tabs>
          <w:tab w:val="num" w:pos="3240"/>
        </w:tabs>
        <w:ind w:start="3240" w:hanging="1080"/>
      </w:pPr>
    </w:lvl>
    <w:lvl w:ilvl="7">
      <w:start w:val="1"/>
      <w:numFmt w:val="none"/>
      <w:suff w:val="nothing"/>
      <w:lvlText w:val=""/>
      <w:lvlJc w:val="start"/>
      <w:pPr>
        <w:tabs>
          <w:tab w:val="num" w:pos="3744"/>
        </w:tabs>
        <w:ind w:start="3744" w:hanging="1224"/>
      </w:pPr>
    </w:lvl>
    <w:lvl w:ilvl="8">
      <w:start w:val="1"/>
      <w:numFmt w:val="none"/>
      <w:suff w:val="nothing"/>
      <w:lvlText w:val=""/>
      <w:lvlJc w:val="start"/>
      <w:pPr>
        <w:tabs>
          <w:tab w:val="num" w:pos="4320"/>
        </w:tabs>
        <w:ind w:start="4320" w:hanging="144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docVars>
    <w:docVar w:name="zzmpFixedDOC_ID" w:val="LA1:#6184354v1"/>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BodyText"/>
    <w:qFormat/>
    <w:pPr>
      <w:keepNext w:val="true"/>
      <w:keepLines/>
      <w:numPr>
        <w:ilvl w:val="0"/>
        <w:numId w:val="1"/>
      </w:numPr>
      <w:spacing w:lineRule="exact" w:line="240" w:before="240" w:after="0"/>
      <w:ind w:hanging="0" w:start="0" w:end="720"/>
      <w:outlineLvl w:val="0"/>
    </w:pPr>
    <w:rPr>
      <w:b/>
      <w:caps/>
    </w:rPr>
  </w:style>
  <w:style w:type="paragraph" w:styleId="Heading2">
    <w:name w:val="heading 2"/>
    <w:basedOn w:val="Normal"/>
    <w:next w:val="BodyText"/>
    <w:qFormat/>
    <w:pPr>
      <w:keepNext w:val="true"/>
      <w:keepLines/>
      <w:numPr>
        <w:ilvl w:val="1"/>
        <w:numId w:val="1"/>
      </w:numPr>
      <w:spacing w:lineRule="exact" w:line="240" w:before="240" w:after="0"/>
      <w:ind w:hanging="0" w:start="0" w:end="720"/>
      <w:outlineLvl w:val="1"/>
    </w:pPr>
    <w:rPr>
      <w:b/>
    </w:rPr>
  </w:style>
  <w:style w:type="paragraph" w:styleId="Heading3">
    <w:name w:val="heading 3"/>
    <w:basedOn w:val="Normal"/>
    <w:next w:val="BodyText"/>
    <w:qFormat/>
    <w:pPr>
      <w:keepNext w:val="true"/>
      <w:keepLines/>
      <w:numPr>
        <w:ilvl w:val="2"/>
        <w:numId w:val="1"/>
      </w:numPr>
      <w:spacing w:lineRule="exact" w:line="240" w:before="240" w:after="0"/>
      <w:ind w:hanging="0" w:start="0" w:end="720"/>
      <w:outlineLvl w:val="2"/>
    </w:pPr>
    <w:rPr/>
  </w:style>
  <w:style w:type="paragraph" w:styleId="Heading4">
    <w:name w:val="heading 4"/>
    <w:basedOn w:val="Normal"/>
    <w:next w:val="BodyText"/>
    <w:qFormat/>
    <w:pPr>
      <w:keepNext w:val="true"/>
      <w:keepLines/>
      <w:numPr>
        <w:ilvl w:val="3"/>
        <w:numId w:val="1"/>
      </w:numPr>
      <w:spacing w:lineRule="exact" w:line="240" w:before="240" w:after="0"/>
      <w:ind w:hanging="0" w:start="0" w:end="720"/>
      <w:outlineLvl w:val="3"/>
    </w:pPr>
    <w:rPr/>
  </w:style>
  <w:style w:type="paragraph" w:styleId="Heading5">
    <w:name w:val="heading 5"/>
    <w:basedOn w:val="Normal"/>
    <w:next w:val="BodyText"/>
    <w:qFormat/>
    <w:pPr>
      <w:keepNext w:val="true"/>
      <w:keepLines/>
      <w:numPr>
        <w:ilvl w:val="4"/>
        <w:numId w:val="1"/>
      </w:numPr>
      <w:spacing w:lineRule="exact" w:line="240" w:before="240" w:after="0"/>
      <w:ind w:hanging="0" w:start="0" w:end="720"/>
      <w:outlineLvl w:val="4"/>
    </w:pPr>
    <w:rPr/>
  </w:style>
  <w:style w:type="paragraph" w:styleId="Heading6">
    <w:name w:val="heading 6"/>
    <w:basedOn w:val="Normal"/>
    <w:next w:val="BodyText"/>
    <w:qFormat/>
    <w:pPr>
      <w:keepNext w:val="true"/>
      <w:keepLines/>
      <w:numPr>
        <w:ilvl w:val="5"/>
        <w:numId w:val="1"/>
      </w:numPr>
      <w:spacing w:lineRule="exact" w:line="240" w:before="240" w:after="0"/>
      <w:ind w:hanging="0" w:start="0" w:end="720"/>
      <w:outlineLvl w:val="5"/>
    </w:pPr>
    <w:rPr/>
  </w:style>
  <w:style w:type="paragraph" w:styleId="Heading7">
    <w:name w:val="heading 7"/>
    <w:basedOn w:val="Normal"/>
    <w:next w:val="BodyText"/>
    <w:qFormat/>
    <w:pPr>
      <w:keepNext w:val="true"/>
      <w:keepLines/>
      <w:numPr>
        <w:ilvl w:val="6"/>
        <w:numId w:val="1"/>
      </w:numPr>
      <w:spacing w:lineRule="exact" w:line="240" w:before="240" w:after="0"/>
      <w:ind w:hanging="0" w:start="0" w:end="720"/>
      <w:outlineLvl w:val="6"/>
    </w:pPr>
    <w:rPr/>
  </w:style>
  <w:style w:type="paragraph" w:styleId="Heading8">
    <w:name w:val="heading 8"/>
    <w:basedOn w:val="Normal"/>
    <w:next w:val="BodyText"/>
    <w:qFormat/>
    <w:pPr>
      <w:keepNext w:val="true"/>
      <w:keepLines/>
      <w:numPr>
        <w:ilvl w:val="7"/>
        <w:numId w:val="1"/>
      </w:numPr>
      <w:spacing w:lineRule="exact" w:line="240" w:before="240" w:after="0"/>
      <w:ind w:hanging="0" w:start="0" w:end="720"/>
      <w:outlineLvl w:val="7"/>
    </w:pPr>
    <w:rPr/>
  </w:style>
  <w:style w:type="paragraph" w:styleId="Heading9">
    <w:name w:val="heading 9"/>
    <w:basedOn w:val="Normal"/>
    <w:next w:val="BodyText"/>
    <w:qFormat/>
    <w:pPr>
      <w:keepNext w:val="true"/>
      <w:keepLines/>
      <w:numPr>
        <w:ilvl w:val="8"/>
        <w:numId w:val="1"/>
      </w:numPr>
      <w:spacing w:lineRule="exact" w:line="240" w:before="240" w:after="0"/>
      <w:ind w:hanging="0" w:start="0" w:end="720"/>
      <w:outlineLvl w:val="8"/>
    </w:pPr>
    <w:rPr/>
  </w:style>
  <w:style w:type="character" w:styleId="WW8Num1z0">
    <w:name w:val="WW8Num1z0"/>
    <w:qFormat/>
    <w:rPr>
      <w:b/>
      <w:i w:val="false"/>
      <w:u w:val="none"/>
    </w:rPr>
  </w:style>
  <w:style w:type="character" w:styleId="WW8Num1z2">
    <w:name w:val="WW8Num1z2"/>
    <w:qFormat/>
    <w:rPr>
      <w:b w:val="false"/>
      <w:u w:val="none"/>
    </w:rPr>
  </w:style>
  <w:style w:type="character" w:styleId="WW8Num2z0">
    <w:name w:val="WW8Num2z0"/>
    <w:qFormat/>
    <w:rPr>
      <w:rFonts w:ascii="Times New Roman" w:hAnsi="Times New Roman" w:cs="Times New Roman"/>
      <w:b w:val="false"/>
      <w:i w:val="false"/>
      <w:caps/>
      <w:strike w:val="false"/>
      <w:dstrike w:val="false"/>
      <w:outline w:val="false"/>
      <w:shadow w:val="false"/>
      <w:vanish w:val="false"/>
      <w:color w:val="auto"/>
      <w:position w:val="0"/>
      <w:sz w:val="24"/>
      <w:sz w:val="24"/>
      <w:u w:val="single"/>
      <w:vertAlign w:val="baseline"/>
    </w:rPr>
  </w:style>
  <w:style w:type="character" w:styleId="WW8Num2z1">
    <w:name w:val="WW8Num2z1"/>
    <w:qFormat/>
    <w:rPr>
      <w:rFonts w:ascii="Times New Roman" w:hAnsi="Times New Roman" w:cs="Times New Roman"/>
      <w:b w:val="false"/>
      <w:i w:val="false"/>
      <w:caps w:val="false"/>
      <w:smallCaps w:val="false"/>
      <w:strike w:val="false"/>
      <w:dstrike w:val="false"/>
      <w:outline w:val="false"/>
      <w:shadow w:val="false"/>
      <w:vanish w:val="false"/>
      <w:color w:val="auto"/>
      <w:position w:val="0"/>
      <w:sz w:val="24"/>
      <w:sz w:val="24"/>
      <w:u w:val="none"/>
      <w:vertAlign w:val="baseline"/>
    </w:rPr>
  </w:style>
  <w:style w:type="character" w:styleId="WW8Num3z0">
    <w:name w:val="WW8Num3z0"/>
    <w:qFormat/>
    <w:rPr>
      <w:rFonts w:ascii="Times New Roman" w:hAnsi="Times New Roman" w:cs="Times New Roman"/>
      <w:b w:val="false"/>
      <w:i w:val="false"/>
      <w:caps/>
      <w:strike w:val="false"/>
      <w:dstrike w:val="false"/>
      <w:outline w:val="false"/>
      <w:shadow w:val="false"/>
      <w:vanish w:val="false"/>
      <w:color w:val="auto"/>
      <w:position w:val="0"/>
      <w:sz w:val="24"/>
      <w:sz w:val="24"/>
      <w:u w:val="none"/>
      <w:vertAlign w:val="baseline"/>
    </w:rPr>
  </w:style>
  <w:style w:type="character" w:styleId="WW8Num3z1">
    <w:name w:val="WW8Num3z1"/>
    <w:qFormat/>
    <w:rPr>
      <w:rFonts w:ascii="Times New Roman" w:hAnsi="Times New Roman" w:cs="Times New Roman"/>
      <w:b w:val="false"/>
      <w:i w:val="false"/>
      <w:caps w:val="false"/>
      <w:smallCaps w:val="false"/>
      <w:strike w:val="false"/>
      <w:dstrike w:val="false"/>
      <w:outline w:val="false"/>
      <w:shadow w:val="false"/>
      <w:vanish w:val="false"/>
      <w:color w:val="auto"/>
      <w:position w:val="0"/>
      <w:sz w:val="24"/>
      <w:sz w:val="24"/>
      <w:u w:val="none"/>
      <w:vertAlign w:val="baseline"/>
    </w:rPr>
  </w:style>
  <w:style w:type="character" w:styleId="WW8Num3z2">
    <w:name w:val="WW8Num3z2"/>
    <w:qFormat/>
    <w:rPr>
      <w:rFonts w:ascii="Times New Roman" w:hAnsi="Times New Roman" w:cs="Times New Roman"/>
      <w:b w:val="false"/>
      <w:i w:val="false"/>
      <w:caps w:val="false"/>
      <w:smallCaps w:val="false"/>
      <w:strike w:val="false"/>
      <w:dstrike w:val="false"/>
      <w:shadow w:val="false"/>
      <w:vanish w:val="false"/>
      <w:color w:val="auto"/>
      <w:position w:val="0"/>
      <w:sz w:val="24"/>
      <w:sz w:val="24"/>
      <w:u w:val="none"/>
      <w:vertAlign w:val="baseline"/>
    </w:rPr>
  </w:style>
  <w:style w:type="character" w:styleId="DefaultParagraphFont">
    <w:name w:val="Default Paragraph Font"/>
    <w:qFormat/>
    <w:rPr/>
  </w:style>
  <w:style w:type="character" w:styleId="PageNumber">
    <w:name w:val="page number"/>
    <w:basedOn w:val="DefaultParagraphFont"/>
    <w:rPr>
      <w:sz w:val="24"/>
    </w:rPr>
  </w:style>
  <w:style w:type="character" w:styleId="FootnoteCharacters">
    <w:name w:val="Footnote Characters"/>
    <w:basedOn w:val="DefaultParagraphFont"/>
    <w:qFormat/>
    <w:rPr>
      <w:vertAlign w:val="superscript"/>
    </w:rPr>
  </w:style>
  <w:style w:type="character" w:styleId="ParagraphNumber">
    <w:name w:val="ParagraphNumber"/>
    <w:basedOn w:val="DefaultParagraphFont"/>
    <w:qFormat/>
    <w:rPr/>
  </w:style>
  <w:style w:type="character" w:styleId="zzmpTrailerItem">
    <w:name w:val="zzmpTrailerItem"/>
    <w:basedOn w:val="DefaultParagraphFont"/>
    <w:qFormat/>
    <w:rPr>
      <w:sz w:val="16"/>
      <w:effect w:val="blinkBackground"/>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spacing w:lineRule="auto" w:line="480"/>
      <w:ind w:firstLine="144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9360" w:leader="none"/>
      </w:tabs>
    </w:pPr>
    <w:rPr/>
  </w:style>
  <w:style w:type="paragraph" w:styleId="Footer">
    <w:name w:val="footer"/>
    <w:basedOn w:val="Normal"/>
    <w:pPr>
      <w:tabs>
        <w:tab w:val="clear" w:pos="720"/>
        <w:tab w:val="center" w:pos="4320" w:leader="none"/>
        <w:tab w:val="right" w:pos="9360" w:leader="none"/>
      </w:tabs>
      <w:spacing w:lineRule="atLeast" w:line="240"/>
    </w:pPr>
    <w:rPr>
      <w:sz w:val="20"/>
    </w:rPr>
  </w:style>
  <w:style w:type="paragraph" w:styleId="BodyTextIndent">
    <w:name w:val="Body Text Indent"/>
    <w:basedOn w:val="BodyText"/>
    <w:next w:val="BodyText"/>
    <w:pPr>
      <w:spacing w:lineRule="auto" w:line="240"/>
      <w:ind w:hanging="0" w:start="720" w:end="0"/>
    </w:pPr>
    <w:rPr/>
  </w:style>
  <w:style w:type="paragraph" w:styleId="LHFirmName">
    <w:name w:val="LH Firm Name"/>
    <w:basedOn w:val="Normal"/>
    <w:qFormat/>
    <w:pPr>
      <w:spacing w:before="0" w:after="120"/>
      <w:ind w:hanging="0" w:start="-720" w:end="0"/>
    </w:pPr>
    <w:rPr>
      <w:rFonts w:ascii="EngravrsRoman BT" w:hAnsi="EngravrsRoman BT" w:cs="EngravrsRoman BT"/>
      <w:b/>
      <w:spacing w:val="10"/>
      <w:sz w:val="15"/>
    </w:rPr>
  </w:style>
  <w:style w:type="paragraph" w:styleId="BodyTextContinued">
    <w:name w:val="Body Text Continued"/>
    <w:basedOn w:val="BodyText"/>
    <w:next w:val="BodyText"/>
    <w:qFormat/>
    <w:pPr>
      <w:ind w:hanging="0" w:start="0" w:end="0"/>
    </w:pPr>
    <w:rPr/>
  </w:style>
  <w:style w:type="paragraph" w:styleId="Centered">
    <w:name w:val="Centered"/>
    <w:basedOn w:val="Normal"/>
    <w:next w:val="BodyText"/>
    <w:qFormat/>
    <w:pPr>
      <w:spacing w:lineRule="exact" w:line="240" w:before="0" w:after="240"/>
      <w:jc w:val="center"/>
    </w:pPr>
    <w:rPr/>
  </w:style>
  <w:style w:type="paragraph" w:styleId="FootnoteText">
    <w:name w:val="footnote text"/>
    <w:basedOn w:val="Normal"/>
    <w:pPr/>
    <w:rPr>
      <w:sz w:val="22"/>
    </w:rPr>
  </w:style>
  <w:style w:type="paragraph" w:styleId="HeaderNumbers">
    <w:name w:val="HeaderNumbers"/>
    <w:basedOn w:val="Normal"/>
    <w:qFormat/>
    <w:pPr>
      <w:spacing w:lineRule="exact" w:line="480" w:before="720" w:after="0"/>
      <w:ind w:hanging="0" w:start="0" w:end="144"/>
      <w:jc w:val="end"/>
    </w:pPr>
    <w:rPr/>
  </w:style>
  <w:style w:type="paragraph" w:styleId="LetterClosing">
    <w:name w:val="LetterClosing"/>
    <w:basedOn w:val="Normal"/>
    <w:next w:val="Normal"/>
    <w:qFormat/>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Times New Roman" w:hAnsi="Times New Roman" w:eastAsia="Times New Roman" w:cs="Times New Roman"/>
      <w:color w:val="auto"/>
      <w:sz w:val="18"/>
      <w:szCs w:val="20"/>
      <w:lang w:val="en-US" w:eastAsia="zh-CN" w:bidi="hi-IN"/>
    </w:rPr>
  </w:style>
  <w:style w:type="paragraph" w:styleId="NormalIndent">
    <w:name w:val="Normal Indent"/>
    <w:basedOn w:val="Normal"/>
    <w:qFormat/>
    <w:pPr>
      <w:widowControl w:val="false"/>
      <w:spacing w:lineRule="exact" w:line="240"/>
      <w:ind w:hanging="0" w:start="720" w:end="720"/>
    </w:pPr>
    <w:rPr/>
  </w:style>
  <w:style w:type="paragraph" w:styleId="PleadingSignature">
    <w:name w:val="Pleading Signature"/>
    <w:basedOn w:val="Normal"/>
    <w:qFormat/>
    <w:pPr>
      <w:keepNext w:val="true"/>
      <w:keepLines/>
      <w:widowControl w:val="false"/>
      <w:tabs>
        <w:tab w:val="clear" w:pos="720"/>
        <w:tab w:val="left" w:pos="5040" w:leader="none"/>
        <w:tab w:val="right" w:pos="9360" w:leader="none"/>
      </w:tabs>
      <w:spacing w:lineRule="exact" w:line="240"/>
      <w:ind w:hanging="0" w:start="4680" w:end="0"/>
    </w:pPr>
    <w:rPr/>
  </w:style>
  <w:style w:type="paragraph" w:styleId="EnvelopeAddress">
    <w:name w:val="envelope address"/>
    <w:basedOn w:val="Normal"/>
    <w:pPr/>
    <w:rPr/>
  </w:style>
  <w:style w:type="paragraph" w:styleId="LetterDate">
    <w:name w:val="Letter Date"/>
    <w:basedOn w:val="Normal"/>
    <w:next w:val="BodyText"/>
    <w:qFormat/>
    <w:pPr/>
    <w:rPr/>
  </w:style>
  <w:style w:type="paragraph" w:styleId="LeftHeading">
    <w:name w:val="Left Heading"/>
    <w:basedOn w:val="Normal"/>
    <w:next w:val="Normal"/>
    <w:qFormat/>
    <w:pPr/>
    <w:rPr>
      <w:b/>
    </w:rPr>
  </w:style>
  <w:style w:type="paragraph" w:styleId="TableofAuthorities">
    <w:name w:val="Table of Authorities"/>
    <w:basedOn w:val="Normal"/>
    <w:next w:val="Normal"/>
    <w:qFormat/>
    <w:pPr>
      <w:widowControl w:val="false"/>
      <w:tabs>
        <w:tab w:val="clear" w:pos="720"/>
        <w:tab w:val="right" w:pos="9216" w:leader="dot"/>
      </w:tabs>
      <w:spacing w:lineRule="exact" w:line="240" w:before="0" w:after="120"/>
      <w:ind w:hanging="360" w:start="360" w:end="1440"/>
    </w:pPr>
    <w:rPr/>
  </w:style>
  <w:style w:type="paragraph" w:styleId="TOAHeading">
    <w:name w:val="TOA Heading"/>
    <w:basedOn w:val="Normal"/>
    <w:next w:val="TableofAuthorities"/>
    <w:qFormat/>
    <w:pPr>
      <w:keepNext w:val="true"/>
      <w:widowControl w:val="false"/>
      <w:spacing w:lineRule="exact" w:line="240" w:before="120" w:after="120"/>
      <w:jc w:val="center"/>
    </w:pPr>
    <w:rPr>
      <w:b/>
      <w:caps/>
    </w:rPr>
  </w:style>
  <w:style w:type="paragraph" w:styleId="TOC1">
    <w:name w:val="toc 1"/>
    <w:basedOn w:val="Normal"/>
    <w:next w:val="TOC2"/>
    <w:pPr>
      <w:keepLines/>
      <w:tabs>
        <w:tab w:val="clear" w:pos="720"/>
        <w:tab w:val="right" w:pos="9288" w:leader="dot"/>
      </w:tabs>
      <w:ind w:hanging="720" w:start="720" w:end="720"/>
    </w:pPr>
    <w:rPr/>
  </w:style>
  <w:style w:type="paragraph" w:styleId="TOC2">
    <w:name w:val="toc 2"/>
    <w:basedOn w:val="Normal"/>
    <w:next w:val="TOC3"/>
    <w:pPr>
      <w:keepLines/>
      <w:tabs>
        <w:tab w:val="clear" w:pos="720"/>
        <w:tab w:val="right" w:pos="9288" w:leader="dot"/>
      </w:tabs>
      <w:ind w:hanging="720" w:start="1440" w:end="720"/>
    </w:pPr>
    <w:rPr/>
  </w:style>
  <w:style w:type="paragraph" w:styleId="TOC3">
    <w:name w:val="toc 3"/>
    <w:basedOn w:val="Normal"/>
    <w:next w:val="TOC4"/>
    <w:pPr>
      <w:keepLines/>
      <w:tabs>
        <w:tab w:val="clear" w:pos="720"/>
        <w:tab w:val="right" w:pos="9288" w:leader="dot"/>
      </w:tabs>
      <w:ind w:hanging="720" w:start="2160" w:end="720"/>
    </w:pPr>
    <w:rPr/>
  </w:style>
  <w:style w:type="paragraph" w:styleId="TOC4">
    <w:name w:val="toc 4"/>
    <w:basedOn w:val="Normal"/>
    <w:next w:val="TOC5"/>
    <w:pPr>
      <w:keepLines/>
      <w:tabs>
        <w:tab w:val="clear" w:pos="720"/>
        <w:tab w:val="right" w:pos="9288" w:leader="dot"/>
      </w:tabs>
      <w:ind w:hanging="720" w:start="2880" w:end="720"/>
    </w:pPr>
    <w:rPr/>
  </w:style>
  <w:style w:type="paragraph" w:styleId="TOC5">
    <w:name w:val="toc 5"/>
    <w:basedOn w:val="Normal"/>
    <w:next w:val="TOC6"/>
    <w:pPr>
      <w:keepLines/>
      <w:tabs>
        <w:tab w:val="clear" w:pos="720"/>
        <w:tab w:val="right" w:pos="9288" w:leader="dot"/>
      </w:tabs>
      <w:ind w:hanging="720" w:start="3600" w:end="720"/>
    </w:pPr>
    <w:rPr/>
  </w:style>
  <w:style w:type="paragraph" w:styleId="TOC6">
    <w:name w:val="toc 6"/>
    <w:basedOn w:val="Normal"/>
    <w:next w:val="TOC7"/>
    <w:pPr>
      <w:keepLines/>
      <w:tabs>
        <w:tab w:val="clear" w:pos="720"/>
        <w:tab w:val="right" w:pos="9288" w:leader="dot"/>
      </w:tabs>
      <w:ind w:hanging="720" w:start="4320" w:end="720"/>
    </w:pPr>
    <w:rPr/>
  </w:style>
  <w:style w:type="paragraph" w:styleId="TOC7">
    <w:name w:val="toc 7"/>
    <w:basedOn w:val="Normal"/>
    <w:next w:val="TOC8"/>
    <w:pPr>
      <w:keepLines/>
      <w:tabs>
        <w:tab w:val="clear" w:pos="720"/>
        <w:tab w:val="right" w:pos="9288" w:leader="dot"/>
      </w:tabs>
      <w:ind w:hanging="720" w:start="5040" w:end="720"/>
    </w:pPr>
    <w:rPr/>
  </w:style>
  <w:style w:type="paragraph" w:styleId="TOC8">
    <w:name w:val="toc 8"/>
    <w:basedOn w:val="Normal"/>
    <w:next w:val="TOC9"/>
    <w:pPr>
      <w:keepLines/>
      <w:tabs>
        <w:tab w:val="clear" w:pos="720"/>
        <w:tab w:val="right" w:pos="9288" w:leader="dot"/>
      </w:tabs>
      <w:ind w:hanging="720" w:start="5760" w:end="720"/>
    </w:pPr>
    <w:rPr/>
  </w:style>
  <w:style w:type="paragraph" w:styleId="TOC9">
    <w:name w:val="toc 9"/>
    <w:basedOn w:val="Normal"/>
    <w:pPr>
      <w:keepLines/>
      <w:tabs>
        <w:tab w:val="clear" w:pos="720"/>
        <w:tab w:val="right" w:pos="9288" w:leader="dot"/>
      </w:tabs>
      <w:ind w:hanging="720" w:start="6480" w:end="720"/>
    </w:pPr>
    <w:rPr/>
  </w:style>
  <w:style w:type="paragraph" w:styleId="DeliveryPhrase">
    <w:name w:val="Delivery Phrase"/>
    <w:basedOn w:val="Normal"/>
    <w:next w:val="Normal"/>
    <w:qFormat/>
    <w:pPr>
      <w:spacing w:before="240" w:after="0"/>
    </w:pPr>
    <w:rPr>
      <w:b/>
      <w:caps/>
    </w:rPr>
  </w:style>
  <w:style w:type="paragraph" w:styleId="Heading1Para">
    <w:name w:val="Heading1Para"/>
    <w:basedOn w:val="BodyText"/>
    <w:next w:val="BodyText"/>
    <w:qFormat/>
    <w:pPr>
      <w:widowControl/>
      <w:spacing w:lineRule="auto" w:line="240" w:before="0" w:after="240"/>
      <w:ind w:hanging="0" w:start="0" w:end="0"/>
      <w:jc w:val="center"/>
    </w:pPr>
    <w:rPr/>
  </w:style>
  <w:style w:type="paragraph" w:styleId="Heading2Para">
    <w:name w:val="Heading2Para"/>
    <w:basedOn w:val="BodyText"/>
    <w:next w:val="BodyText"/>
    <w:qFormat/>
    <w:pPr>
      <w:widowControl/>
      <w:spacing w:lineRule="auto" w:line="240" w:before="0" w:after="240"/>
      <w:ind w:hanging="0" w:start="0" w:end="0"/>
    </w:pPr>
    <w:rPr/>
  </w:style>
  <w:style w:type="paragraph" w:styleId="Heading3Para">
    <w:name w:val="Heading3Para"/>
    <w:basedOn w:val="BodyText"/>
    <w:next w:val="BodyText"/>
    <w:qFormat/>
    <w:pPr>
      <w:widowControl/>
      <w:spacing w:lineRule="auto" w:line="240" w:before="0" w:after="240"/>
    </w:pPr>
    <w:rPr/>
  </w:style>
  <w:style w:type="paragraph" w:styleId="Heading4Para">
    <w:name w:val="Heading4Para"/>
    <w:basedOn w:val="BodyText"/>
    <w:next w:val="BodyText"/>
    <w:qFormat/>
    <w:pPr>
      <w:widowControl/>
      <w:spacing w:lineRule="auto" w:line="240" w:before="0" w:after="240"/>
      <w:ind w:firstLine="2160" w:start="0" w:end="0"/>
    </w:pPr>
    <w:rPr/>
  </w:style>
  <w:style w:type="paragraph" w:styleId="Heading5Para">
    <w:name w:val="Heading5Para"/>
    <w:basedOn w:val="BodyText"/>
    <w:next w:val="BodyText"/>
    <w:qFormat/>
    <w:pPr>
      <w:widowControl/>
      <w:spacing w:lineRule="auto" w:line="240" w:before="0" w:after="240"/>
      <w:ind w:firstLine="2880" w:start="0" w:end="0"/>
    </w:pPr>
    <w:rPr/>
  </w:style>
  <w:style w:type="paragraph" w:styleId="Heading6Para">
    <w:name w:val="Heading6Para"/>
    <w:basedOn w:val="BodyText"/>
    <w:next w:val="BodyText"/>
    <w:qFormat/>
    <w:pPr>
      <w:widowControl/>
      <w:spacing w:lineRule="auto" w:line="240" w:before="0" w:after="240"/>
      <w:ind w:firstLine="3600" w:start="0" w:end="0"/>
    </w:pPr>
    <w:rPr/>
  </w:style>
  <w:style w:type="paragraph" w:styleId="Heading7Para">
    <w:name w:val="Heading7Para"/>
    <w:basedOn w:val="BodyText"/>
    <w:next w:val="BodyText"/>
    <w:qFormat/>
    <w:pPr>
      <w:widowControl/>
      <w:spacing w:lineRule="auto" w:line="240" w:before="0" w:after="240"/>
      <w:ind w:firstLine="4320" w:start="0" w:end="0"/>
    </w:pPr>
    <w:rPr/>
  </w:style>
  <w:style w:type="paragraph" w:styleId="Heading8Para">
    <w:name w:val="Heading8Para"/>
    <w:basedOn w:val="BodyText"/>
    <w:next w:val="BodyText"/>
    <w:qFormat/>
    <w:pPr>
      <w:widowControl/>
      <w:spacing w:lineRule="auto" w:line="240" w:before="0" w:after="240"/>
      <w:ind w:firstLine="5040" w:start="0" w:end="0"/>
    </w:pPr>
    <w:rPr/>
  </w:style>
  <w:style w:type="paragraph" w:styleId="Heading9Para">
    <w:name w:val="Heading9Para"/>
    <w:basedOn w:val="BodyText"/>
    <w:next w:val="BodyText"/>
    <w:qFormat/>
    <w:pPr>
      <w:widowControl/>
      <w:spacing w:lineRule="auto" w:line="240" w:before="0" w:after="240"/>
      <w:ind w:firstLine="5760" w:start="0" w:end="0"/>
    </w:pPr>
    <w:rPr/>
  </w:style>
  <w:style w:type="paragraph" w:styleId="SDP">
    <w:name w:val="SDP"/>
    <w:basedOn w:val="Normal"/>
    <w:next w:val="Normal"/>
    <w:qFormat/>
    <w:pPr>
      <w:spacing w:before="240" w:after="0"/>
    </w:pPr>
    <w:rPr>
      <w:b/>
      <w:caps/>
    </w:rPr>
  </w:style>
  <w:style w:type="paragraph" w:styleId="Quote">
    <w:name w:val="Quote"/>
    <w:basedOn w:val="Normal"/>
    <w:next w:val="BodyTextContinued"/>
    <w:qFormat/>
    <w:pPr>
      <w:widowControl w:val="false"/>
      <w:spacing w:lineRule="exact" w:line="240" w:before="240" w:after="0"/>
      <w:ind w:hanging="0" w:start="1440" w:end="1440"/>
    </w:pPr>
    <w:rPr/>
  </w:style>
  <w:style w:type="paragraph" w:styleId="1stline">
    <w:name w:val="1stline"/>
    <w:basedOn w:val="Normal"/>
    <w:qFormat/>
    <w:pPr>
      <w:suppressAutoHyphens w:val="true"/>
      <w:ind w:firstLine="1440" w:start="0" w:end="0"/>
    </w:pPr>
    <w:rPr>
      <w:lang w:eastAsia="en-US"/>
    </w:rPr>
  </w:style>
  <w:style w:type="paragraph" w:styleId="IPL1">
    <w:name w:val="IP_L1"/>
    <w:basedOn w:val="Normal"/>
    <w:next w:val="Normal"/>
    <w:qFormat/>
    <w:pPr>
      <w:keepNext w:val="true"/>
      <w:numPr>
        <w:ilvl w:val="0"/>
        <w:numId w:val="2"/>
      </w:numPr>
      <w:spacing w:before="240" w:after="240"/>
      <w:outlineLvl w:val="0"/>
    </w:pPr>
    <w:rPr>
      <w:caps/>
    </w:rPr>
  </w:style>
  <w:style w:type="paragraph" w:styleId="IPL2">
    <w:name w:val="IP_L2"/>
    <w:basedOn w:val="Normal"/>
    <w:next w:val="Normal"/>
    <w:qFormat/>
    <w:pPr>
      <w:numPr>
        <w:ilvl w:val="0"/>
        <w:numId w:val="2"/>
      </w:numPr>
      <w:spacing w:before="0" w:after="240"/>
      <w:outlineLvl w:val="1"/>
    </w:pPr>
    <w:rPr/>
  </w:style>
  <w:style w:type="paragraph" w:styleId="MAMergerL1">
    <w:name w:val="MAMerger_L1"/>
    <w:basedOn w:val="Normal"/>
    <w:next w:val="Normal"/>
    <w:qFormat/>
    <w:pPr>
      <w:keepNext w:val="true"/>
      <w:numPr>
        <w:ilvl w:val="0"/>
        <w:numId w:val="3"/>
      </w:numPr>
      <w:spacing w:before="240" w:after="240"/>
      <w:outlineLvl w:val="0"/>
    </w:pPr>
    <w:rPr>
      <w:cap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2000-08-04T21:07:00Z</dcterms:created>
  <dc:creator>SHoward</dc:creator>
  <dc:description/>
  <dc:language>en-CA</dc:language>
  <cp:lastModifiedBy>SBhalla</cp:lastModifiedBy>
  <cp:lastPrinted>2000-08-04T17:09:00Z</cp:lastPrinted>
  <dcterms:modified xsi:type="dcterms:W3CDTF">2000-08-04T21:49:00Z</dcterms:modified>
  <cp:revision>4</cp:revision>
  <dc:subject/>
  <dc:title>Word 8.0 Generic Normal Template, rev. 4/1/97, The Legal MacPac</dc:title>
</cp:coreProperties>
</file>