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880" w:type="dxa"/>
        <w:jc w:val="start"/>
        <w:tblInd w:w="-1350" w:type="dxa"/>
        <w:tblLayout w:type="fixed"/>
        <w:tblCellMar>
          <w:top w:w="0" w:type="dxa"/>
          <w:start w:w="0" w:type="dxa"/>
          <w:bottom w:w="0" w:type="dxa"/>
          <w:end w:w="0" w:type="dxa"/>
        </w:tblCellMar>
      </w:tblPr>
      <w:tblGrid>
        <w:gridCol w:w="2700"/>
        <w:gridCol w:w="23"/>
        <w:gridCol w:w="6817"/>
        <w:gridCol w:w="2340"/>
      </w:tblGrid>
      <w:tr>
        <w:trPr/>
        <w:tc>
          <w:tcPr>
            <w:tcW w:w="2700" w:type="dxa"/>
            <w:tcBorders/>
          </w:tcPr>
          <w:p>
            <w:pPr>
              <w:pStyle w:val="TableHeading"/>
              <w:rPr/>
            </w:pPr>
            <w:r>
              <w:rPr/>
            </w:r>
          </w:p>
        </w:tc>
        <w:tc>
          <w:tcPr>
            <w:tcW w:w="23" w:type="dxa"/>
            <w:tcBorders/>
          </w:tcPr>
          <w:p>
            <w:pPr>
              <w:pStyle w:val="LetterDate"/>
              <w:tabs>
                <w:tab w:val="clear" w:pos="720"/>
                <w:tab w:val="left" w:pos="2340" w:leader="none"/>
              </w:tabs>
              <w:ind w:start="113" w:end="113"/>
              <w:rPr>
                <w:lang w:val="en-CA"/>
              </w:rPr>
            </w:pPr>
            <w:r>
              <mc:AlternateContent>
                <mc:Choice Requires="wps">
                  <w:drawing>
                    <wp:anchor behindDoc="0" distT="0" distB="0" distL="114935" distR="114935" simplePos="0" locked="0" layoutInCell="0" allowOverlap="1" relativeHeight="2">
                      <wp:simplePos x="0" y="0"/>
                      <wp:positionH relativeFrom="margin">
                        <wp:posOffset>-822960</wp:posOffset>
                      </wp:positionH>
                      <wp:positionV relativeFrom="paragraph">
                        <wp:posOffset>-2249805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177.15pt;width:7.15pt;height:7.15pt;mso-wrap-style:none;v-text-anchor:middle;mso-position-horizontal-relative:margin">
                      <v:fill o:detectmouseclick="t" type="solid" color2="black"/>
                      <v:stroke color="white" weight="9360" joinstyle="miter" endcap="flat"/>
                      <w10:wrap type="none"/>
                    </v:rect>
                  </w:pict>
                </mc:Fallback>
              </mc:AlternateContent>
            </w:r>
            <w:r>
              <w:rPr>
                <w:lang w:val="en-CA"/>
              </w:rPr>
              <w:tab/>
              <w:t>November 2, 1999</w:t>
            </w:r>
          </w:p>
        </w:tc>
        <w:tc>
          <w:tcPr>
            <w:tcW w:w="6817" w:type="dxa"/>
            <w:tcBorders/>
          </w:tcPr>
          <w:p>
            <w:pPr>
              <w:pStyle w:val="LetterDate"/>
              <w:tabs>
                <w:tab w:val="clear" w:pos="720"/>
                <w:tab w:val="left" w:pos="3310" w:leader="none"/>
              </w:tabs>
              <w:ind w:start="113" w:end="113"/>
              <w:jc w:val="center"/>
              <w:rPr>
                <w:lang w:val="en-CA"/>
              </w:rPr>
            </w:pPr>
            <w:r>
              <w:rPr>
                <w:lang w:val="en-CA"/>
              </w:rPr>
              <w:t>May 16, 2000</w:t>
            </w:r>
          </w:p>
        </w:tc>
        <w:tc>
          <w:tcPr>
            <w:tcW w:w="2340" w:type="dxa"/>
            <w:tcBorders/>
          </w:tcPr>
          <w:p>
            <w:pPr>
              <w:pStyle w:val="Normal"/>
              <w:tabs>
                <w:tab w:val="clear" w:pos="720"/>
                <w:tab w:val="right" w:pos="3088" w:leader="none"/>
              </w:tabs>
              <w:ind w:start="113" w:end="44"/>
              <w:jc w:val="center"/>
              <w:rPr>
                <w:b/>
                <w:smallCaps/>
                <w:sz w:val="32"/>
                <w:u w:val="single"/>
              </w:rPr>
            </w:pPr>
            <w:r>
              <w:rPr>
                <w:b/>
                <w:smallCaps/>
                <w:sz w:val="32"/>
                <w:u w:val="single"/>
              </w:rPr>
              <w:t>DRAFT</w:t>
            </w:r>
          </w:p>
        </w:tc>
      </w:tr>
      <w:tr>
        <w:trPr/>
        <w:tc>
          <w:tcPr>
            <w:tcW w:w="2700" w:type="dxa"/>
            <w:tcBorders/>
          </w:tcPr>
          <w:p>
            <w:pPr>
              <w:pStyle w:val="Normal"/>
              <w:rPr>
                <w:b/>
                <w:smallCaps/>
                <w:sz w:val="16"/>
                <w:u w:val="single"/>
              </w:rPr>
            </w:pPr>
            <w:r>
              <w:rPr>
                <w:b/>
                <w:smallCaps/>
                <w:sz w:val="16"/>
                <w:u w:val="single"/>
              </w:rPr>
            </w:r>
          </w:p>
        </w:tc>
        <w:tc>
          <w:tcPr>
            <w:tcW w:w="23" w:type="dxa"/>
            <w:tcBorders/>
          </w:tcPr>
          <w:p>
            <w:pPr>
              <w:pStyle w:val="LetterDate"/>
              <w:tabs>
                <w:tab w:val="clear" w:pos="720"/>
                <w:tab w:val="left" w:pos="2340" w:leader="none"/>
              </w:tabs>
              <w:snapToGrid w:val="false"/>
              <w:ind w:start="113" w:end="113"/>
              <w:rPr>
                <w:sz w:val="16"/>
                <w:lang w:val="en-CA"/>
              </w:rPr>
            </w:pPr>
            <w:r>
              <w:rPr>
                <w:sz w:val="16"/>
                <w:lang w:val="en-CA"/>
              </w:rPr>
            </w:r>
          </w:p>
        </w:tc>
        <w:tc>
          <w:tcPr>
            <w:tcW w:w="6817" w:type="dxa"/>
            <w:tcBorders/>
          </w:tcPr>
          <w:p>
            <w:pPr>
              <w:pStyle w:val="LetterDate"/>
              <w:tabs>
                <w:tab w:val="clear" w:pos="720"/>
                <w:tab w:val="left" w:pos="3310" w:leader="none"/>
              </w:tabs>
              <w:snapToGrid w:val="false"/>
              <w:ind w:start="113" w:end="113"/>
              <w:jc w:val="center"/>
              <w:rPr>
                <w:lang w:val="en-CA"/>
              </w:rPr>
            </w:pPr>
            <w:r>
              <w:rPr>
                <w:lang w:val="en-CA"/>
              </w:rPr>
            </w:r>
          </w:p>
        </w:tc>
        <w:tc>
          <w:tcPr>
            <w:tcW w:w="2340" w:type="dxa"/>
            <w:tcBorders/>
          </w:tcPr>
          <w:p>
            <w:pPr>
              <w:pStyle w:val="Normal"/>
              <w:tabs>
                <w:tab w:val="clear" w:pos="720"/>
                <w:tab w:val="right" w:pos="3088" w:leader="none"/>
              </w:tabs>
              <w:snapToGrid w:val="false"/>
              <w:ind w:start="113" w:end="44"/>
              <w:jc w:val="center"/>
              <w:rPr>
                <w:rFonts w:ascii="EngraversGothic BT" w:hAnsi="EngraversGothic BT" w:cs="EngraversGothic BT"/>
                <w:b/>
                <w:smallCaps/>
                <w:lang w:val="en-CA"/>
              </w:rPr>
            </w:pPr>
            <w:r>
              <w:rPr>
                <w:rFonts w:cs="EngraversGothic BT" w:ascii="EngraversGothic BT" w:hAnsi="EngraversGothic BT"/>
                <w:b/>
                <w:smallCaps/>
                <w:lang w:val="en-CA"/>
              </w:rPr>
            </w:r>
          </w:p>
        </w:tc>
      </w:tr>
      <w:tr>
        <w:trPr>
          <w:trHeight w:val="480" w:hRule="exact"/>
        </w:trPr>
        <w:tc>
          <w:tcPr>
            <w:tcW w:w="2700" w:type="dxa"/>
            <w:tcBorders/>
          </w:tcPr>
          <w:p>
            <w:pPr>
              <w:pStyle w:val="Normal"/>
              <w:snapToGrid w:val="false"/>
              <w:ind w:start="180" w:end="90"/>
              <w:jc w:val="center"/>
              <w:rPr>
                <w:rFonts w:ascii="EngraversGothic BT" w:hAnsi="EngraversGothic BT" w:cs="EngraversGothic BT"/>
                <w:b/>
                <w:smallCaps/>
                <w:sz w:val="16"/>
              </w:rPr>
            </w:pPr>
            <w:r>
              <w:rPr>
                <w:rFonts w:cs="EngraversGothic BT" w:ascii="EngraversGothic BT" w:hAnsi="EngraversGothic BT"/>
                <w:b/>
                <w:smallCaps/>
                <w:sz w:val="16"/>
              </w:rPr>
            </w:r>
          </w:p>
        </w:tc>
        <w:tc>
          <w:tcPr>
            <w:tcW w:w="6840" w:type="dxa"/>
            <w:gridSpan w:val="2"/>
            <w:tcBorders/>
          </w:tcPr>
          <w:p>
            <w:pPr>
              <w:pStyle w:val="Normal"/>
              <w:snapToGrid w:val="false"/>
              <w:ind w:end="113"/>
              <w:rPr>
                <w:smallCaps/>
                <w:sz w:val="16"/>
              </w:rPr>
            </w:pPr>
            <w:r>
              <w:rPr>
                <w:smallCaps/>
                <w:sz w:val="16"/>
              </w:rPr>
            </w:r>
          </w:p>
        </w:tc>
        <w:tc>
          <w:tcPr>
            <w:tcW w:w="2340" w:type="dxa"/>
            <w:tcBorders/>
          </w:tcPr>
          <w:p>
            <w:pPr>
              <w:pStyle w:val="Normal"/>
              <w:ind w:start="113" w:end="44"/>
              <w:jc w:val="center"/>
              <w:rPr>
                <w:smallCaps/>
                <w:sz w:val="16"/>
              </w:rPr>
            </w:pPr>
            <w:r>
              <w:rPr>
                <w:smallCaps/>
                <w:sz w:val="16"/>
              </w:rPr>
              <w:t>rtellis@milbank.com</w:t>
            </w:r>
          </w:p>
        </w:tc>
      </w:tr>
    </w:tbl>
    <w:p>
      <w:pPr>
        <w:pStyle w:val="WW-Addressee"/>
        <w:rPr>
          <w:b/>
          <w:u w:val="single"/>
        </w:rPr>
      </w:pPr>
      <w:r>
        <w:rPr>
          <w:b/>
          <w:u w:val="single"/>
        </w:rPr>
      </w:r>
    </w:p>
    <w:p>
      <w:pPr>
        <w:pStyle w:val="WW-Addressee"/>
        <w:rPr>
          <w:b/>
          <w:u w:val="single"/>
        </w:rPr>
      </w:pPr>
      <w:r>
        <w:rPr>
          <w:b/>
          <w:u w:val="single"/>
        </w:rPr>
        <w:t>VIA FACSIMILE</w:t>
      </w:r>
    </w:p>
    <w:p>
      <w:pPr>
        <w:pStyle w:val="Normal"/>
        <w:rPr>
          <w:b/>
          <w:u w:val="single"/>
        </w:rPr>
      </w:pPr>
      <w:r>
        <w:rPr>
          <w:b/>
          <w:u w:val="single"/>
        </w:rPr>
      </w:r>
    </w:p>
    <w:p>
      <w:pPr>
        <w:pStyle w:val="WW-Addressee"/>
        <w:rPr/>
      </w:pPr>
      <w:r>
        <w:rPr/>
        <w:t>Michael Swartz, Esq.</w:t>
      </w:r>
    </w:p>
    <w:p>
      <w:pPr>
        <w:pStyle w:val="WW-Addressee"/>
        <w:rPr/>
      </w:pPr>
      <w:r>
        <w:rPr/>
        <w:t>Hennigan, Bennett &amp; Dorman</w:t>
      </w:r>
    </w:p>
    <w:p>
      <w:pPr>
        <w:pStyle w:val="WW-Addressee"/>
        <w:rPr/>
      </w:pPr>
      <w:r>
        <w:rPr/>
        <w:t>601 South Figueroa Street</w:t>
      </w:r>
    </w:p>
    <w:p>
      <w:pPr>
        <w:pStyle w:val="WW-Addressee"/>
        <w:rPr/>
      </w:pPr>
      <w:r>
        <w:rPr/>
        <w:t>Suite 3300</w:t>
      </w:r>
    </w:p>
    <w:p>
      <w:pPr>
        <w:pStyle w:val="WW-Addressee"/>
        <w:rPr/>
      </w:pPr>
      <w:r>
        <w:rPr/>
        <w:t>Los Angeles, California 90017</w:t>
      </w:r>
    </w:p>
    <w:p>
      <w:pPr>
        <w:pStyle w:val="Normal"/>
        <w:rPr/>
      </w:pPr>
      <w:r>
        <w:rPr/>
      </w:r>
    </w:p>
    <w:p>
      <w:pPr>
        <w:pStyle w:val="ReLine"/>
        <w:tabs>
          <w:tab w:val="clear" w:pos="720"/>
          <w:tab w:val="left" w:pos="7666" w:leader="none"/>
        </w:tabs>
        <w:ind w:end="113"/>
        <w:rPr/>
      </w:pPr>
      <w:r>
        <w:rPr>
          <w:b/>
        </w:rPr>
        <w:t>Re:</w:t>
        <w:tab/>
      </w:r>
      <w:r>
        <w:rPr>
          <w:b/>
          <w:i/>
        </w:rPr>
        <w:t>Farallon Capital Partners, L.P. et al. v. Gleacher &amp; Co., Inc. et al.</w:t>
      </w:r>
      <w:r>
        <w:rPr>
          <w:b/>
        </w:rPr>
        <w:br/>
      </w:r>
    </w:p>
    <w:p>
      <w:pPr>
        <w:pStyle w:val="Normal"/>
        <w:rPr/>
      </w:pPr>
      <w:r>
        <w:rPr/>
        <w:t>Dear Michael:</w:t>
      </w:r>
    </w:p>
    <w:p>
      <w:pPr>
        <w:pStyle w:val="Normal"/>
        <w:rPr/>
      </w:pPr>
      <w:r>
        <w:rPr/>
      </w:r>
    </w:p>
    <w:p>
      <w:pPr>
        <w:pStyle w:val="Normal"/>
        <w:rPr/>
      </w:pPr>
      <w:r>
        <w:rPr/>
        <w:tab/>
        <w:tab/>
        <w:t xml:space="preserve">Pursuant to the Section 2.01 of the General Release between the Oaktree Plaintiffs and Enron/ECT Securities, you have requested, on behalf of the Oaktree Plaintiffs, an "informal meeting" with Brian Barth in Houston, Texas prior to June 5, 2000, to discuss issues concerning the NSM steel mill.  We call to your attention the following provision of Section 2.01 of the General Release:  </w:t>
      </w:r>
    </w:p>
    <w:p>
      <w:pPr>
        <w:pStyle w:val="Normal"/>
        <w:ind w:firstLine="1440" w:end="0"/>
        <w:rPr/>
      </w:pPr>
      <w:r>
        <w:rPr/>
      </w:r>
    </w:p>
    <w:p>
      <w:pPr>
        <w:pStyle w:val="Normal"/>
        <w:ind w:start="1440" w:end="0"/>
        <w:rPr/>
      </w:pPr>
      <w:r>
        <w:rPr/>
        <w:t>Except as required by law, Oaktree shall not provide any documents or information provided by Enron, ECT Securities, ECT Thailand or any of their Affiliates pursuant to this Section 2.01 to any other Person, other than any other plaintiff in the Oaktree Lawsuit who has executed and delivered to Enron, ECT Securities, ECT Thailand, ECM, Enron Corp. and their Affiliates a general release in the same form and substance as this Release.</w:t>
      </w:r>
    </w:p>
    <w:p>
      <w:pPr>
        <w:pStyle w:val="Normal"/>
        <w:rPr/>
      </w:pPr>
      <w:r>
        <w:rPr/>
      </w:r>
    </w:p>
    <w:p>
      <w:pPr>
        <w:pStyle w:val="Normal"/>
        <w:rPr/>
      </w:pPr>
      <w:r>
        <w:rPr/>
        <w:tab/>
        <w:tab/>
        <w:t xml:space="preserve">Given that your firm represents, not only Oaktree, but also several other plaintiffs who have not released Enron/ECT Securities, please advise us how Oaktree proposes to comply with its obligation under the above-quoted provision if Enron makes Mr. Barth available to you. </w:t>
      </w:r>
    </w:p>
    <w:p>
      <w:pPr>
        <w:pStyle w:val="Normal"/>
        <w:rPr/>
      </w:pPr>
      <w:r>
        <w:rPr/>
      </w:r>
    </w:p>
    <w:p>
      <w:pPr>
        <w:pStyle w:val="Normal"/>
        <w:rPr/>
      </w:pPr>
      <w:r>
        <w:rPr/>
        <w:tab/>
        <w:tab/>
        <w:tab/>
        <w:tab/>
        <w:tab/>
        <w:tab/>
        <w:t>Very truly yours,</w:t>
      </w:r>
    </w:p>
    <w:p>
      <w:pPr>
        <w:pStyle w:val="Normal"/>
        <w:rPr/>
      </w:pPr>
      <w:r>
        <w:rPr/>
      </w:r>
    </w:p>
    <w:p>
      <w:pPr>
        <w:pStyle w:val="Normal"/>
        <w:rPr/>
      </w:pPr>
      <w:r>
        <w:rPr/>
      </w:r>
    </w:p>
    <w:p>
      <w:pPr>
        <w:pStyle w:val="Normal"/>
        <w:rPr/>
      </w:pPr>
      <w:r>
        <w:rPr/>
      </w:r>
    </w:p>
    <w:p>
      <w:pPr>
        <w:pStyle w:val="Normal"/>
        <w:rPr/>
      </w:pPr>
      <w:r>
        <w:rPr/>
        <w:tab/>
        <w:tab/>
        <w:tab/>
        <w:tab/>
        <w:tab/>
        <w:tab/>
        <w:t>Roland Tellis</w:t>
      </w:r>
    </w:p>
    <w:p>
      <w:pPr>
        <w:pStyle w:val="Normal"/>
        <w:rPr/>
      </w:pPr>
      <w:r>
        <w:rPr/>
      </w:r>
    </w:p>
    <w:p>
      <w:pPr>
        <w:pStyle w:val="Normal"/>
        <w:ind w:firstLine="720" w:end="0"/>
        <w:rPr/>
      </w:pPr>
      <w:r>
        <w:rPr/>
        <w:t xml:space="preserve"> </w:t>
      </w:r>
    </w:p>
    <w:sectPr>
      <w:headerReference w:type="default" r:id="rId2"/>
      <w:headerReference w:type="first" r:id="rId3"/>
      <w:type w:val="nextPage"/>
      <w:pgSz w:w="12240" w:h="15840"/>
      <w:pgMar w:left="1440" w:right="1440" w:gutter="0" w:header="720" w:top="2160" w:footer="0" w:bottom="20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EngraversGothic BT">
    <w:charset w:val="00" w:characterSet="windows-1252"/>
    <w:family w:val="swiss"/>
    <w:pitch w:val="variable"/>
  </w:font>
  <w:font w:name="Gill San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rPr/>
    </w:pPr>
    <w:r>
      <w:rPr/>
    </w:r>
  </w:p>
  <w:p>
    <w:pPr>
      <w:pStyle w:val="DeliveryPhrase"/>
      <w:spacing w:before="0" w:after="0"/>
      <w:rPr/>
    </w:pPr>
    <w:r>
      <w:rPr/>
    </w:r>
  </w:p>
  <w:p>
    <w:pPr>
      <w:pStyle w:val="DeliveryPhrase"/>
      <w:spacing w:before="0" w:after="0"/>
      <w:rPr/>
    </w:pPr>
    <w:r>
      <w:rPr/>
    </w:r>
  </w:p>
  <w:p>
    <w:pPr>
      <w:pStyle w:val="Normal"/>
      <w:rPr/>
    </w:pPr>
    <w:r>
      <w:rPr/>
      <w:t>Michael Swartz</w:t>
    </w:r>
  </w:p>
  <w:p>
    <w:pPr>
      <w:pStyle w:val="Normal"/>
      <w:rPr/>
    </w:pPr>
    <w:r>
      <w:rPr/>
      <w:t>Hennigan, Mercer &amp; Bennett</w:t>
    </w:r>
  </w:p>
  <w:p>
    <w:pPr>
      <w:pStyle w:val="Normal"/>
      <w:rPr/>
    </w:pPr>
    <w:r>
      <w:rPr/>
    </w:r>
  </w:p>
  <w:p>
    <w:pPr>
      <w:pStyle w:val="Normal"/>
      <w:rPr/>
    </w:pPr>
    <w:r>
      <w:rPr/>
      <w:t xml:space="preserve">Page </w:t>
    </w:r>
    <w:r>
      <w:rPr/>
      <w:fldChar w:fldCharType="begin"/>
    </w:r>
    <w:r>
      <w:rPr/>
      <w:instrText xml:space="preserve"> PAGE </w:instrText>
    </w:r>
    <w:r>
      <w:rPr/>
      <w:fldChar w:fldCharType="separate"/>
    </w:r>
    <w:r>
      <w:rPr/>
      <w:t>2</w:t>
    </w:r>
    <w:r>
      <w:rPr/>
      <w:fldChar w:fldCharType="end"/>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732" w:type="dxa"/>
      <w:jc w:val="start"/>
      <w:tblInd w:w="-1238" w:type="dxa"/>
      <w:tblLayout w:type="fixed"/>
      <w:tblCellMar>
        <w:top w:w="0" w:type="dxa"/>
        <w:start w:w="108" w:type="dxa"/>
        <w:bottom w:w="0" w:type="dxa"/>
        <w:end w:w="108" w:type="dxa"/>
      </w:tblCellMar>
    </w:tblPr>
    <w:tblGrid>
      <w:gridCol w:w="2606"/>
      <w:gridCol w:w="270"/>
      <w:gridCol w:w="6930"/>
      <w:gridCol w:w="270"/>
      <w:gridCol w:w="2656"/>
    </w:tblGrid>
    <w:tr>
      <w:trPr>
        <w:trHeight w:val="3987" w:hRule="exact"/>
      </w:trPr>
      <w:tc>
        <w:tcPr>
          <w:tcW w:w="2606" w:type="dxa"/>
          <w:tcBorders/>
        </w:tcPr>
        <w:p>
          <w:pPr>
            <w:pStyle w:val="Normal"/>
            <w:snapToGrid w:val="false"/>
            <w:ind w:start="72" w:end="113"/>
            <w:rPr>
              <w:rFonts w:ascii="EngraversGothic BT" w:hAnsi="EngraversGothic BT" w:cs="EngraversGothic BT"/>
              <w:spacing w:val="18"/>
              <w:sz w:val="12"/>
            </w:rPr>
          </w:pPr>
          <w:r>
            <w:rPr>
              <w:rFonts w:cs="EngraversGothic BT" w:ascii="EngraversGothic BT" w:hAnsi="EngraversGothic BT"/>
              <w:spacing w:val="18"/>
              <w:sz w:val="12"/>
            </w:rPr>
          </w:r>
        </w:p>
      </w:tc>
      <w:tc>
        <w:tcPr>
          <w:tcW w:w="270" w:type="dxa"/>
          <w:tcBorders/>
        </w:tcPr>
        <w:p>
          <w:pPr>
            <w:pStyle w:val="Normal"/>
            <w:snapToGrid w:val="false"/>
            <w:ind w:start="113" w:end="425"/>
            <w:jc w:val="center"/>
            <w:rPr>
              <w:rFonts w:ascii="EngravrsRoman BT" w:hAnsi="EngravrsRoman BT" w:cs="EngravrsRoman BT"/>
              <w:spacing w:val="30"/>
              <w:position w:val="2"/>
              <w:sz w:val="12"/>
            </w:rPr>
          </w:pPr>
          <w:r>
            <w:rPr>
              <w:rFonts w:cs="EngravrsRoman BT" w:ascii="EngravrsRoman BT" w:hAnsi="EngravrsRoman BT"/>
              <w:spacing w:val="30"/>
              <w:position w:val="2"/>
              <w:sz w:val="12"/>
            </w:rPr>
          </w:r>
        </w:p>
      </w:tc>
      <w:tc>
        <w:tcPr>
          <w:tcW w:w="6930" w:type="dxa"/>
          <w:tcBorders/>
        </w:tcPr>
        <w:p>
          <w:pPr>
            <w:pStyle w:val="Normal"/>
            <w:tabs>
              <w:tab w:val="clear" w:pos="720"/>
              <w:tab w:val="center" w:pos="1955" w:leader="none"/>
              <w:tab w:val="right" w:pos="6462" w:leader="none"/>
            </w:tabs>
            <w:snapToGrid w:val="false"/>
            <w:ind w:start="113" w:end="425"/>
            <w:rPr>
              <w:rFonts w:ascii="EngravrsRoman BT" w:hAnsi="EngravrsRoman BT" w:cs="EngravrsRoman BT"/>
              <w:b/>
              <w:spacing w:val="30"/>
              <w:position w:val="6"/>
              <w:sz w:val="36"/>
              <w:u w:val="single"/>
            </w:rPr>
          </w:pPr>
          <w:r>
            <w:rPr>
              <w:rFonts w:cs="EngravrsRoman BT" w:ascii="EngravrsRoman BT" w:hAnsi="EngravrsRoman BT"/>
              <w:b/>
              <w:spacing w:val="30"/>
              <w:position w:val="6"/>
              <w:sz w:val="36"/>
              <w:u w:val="single"/>
            </w:rPr>
          </w:r>
        </w:p>
      </w:tc>
      <w:tc>
        <w:tcPr>
          <w:tcW w:w="270" w:type="dxa"/>
          <w:tcBorders/>
        </w:tcPr>
        <w:p>
          <w:pPr>
            <w:pStyle w:val="Normal"/>
            <w:snapToGrid w:val="false"/>
            <w:spacing w:lineRule="exact" w:line="158"/>
            <w:ind w:start="113" w:end="691"/>
            <w:jc w:val="center"/>
            <w:rPr>
              <w:rFonts w:ascii="Gill Sans" w:hAnsi="Gill Sans" w:cs="Gill Sans"/>
              <w:b/>
              <w:spacing w:val="20"/>
              <w:sz w:val="12"/>
              <w:u w:val="single"/>
            </w:rPr>
          </w:pPr>
          <w:r>
            <w:rPr>
              <w:rFonts w:cs="Gill Sans" w:ascii="Gill Sans" w:hAnsi="Gill Sans"/>
              <w:b/>
              <w:spacing w:val="20"/>
              <w:sz w:val="12"/>
              <w:u w:val="single"/>
            </w:rPr>
          </w:r>
        </w:p>
      </w:tc>
      <w:tc>
        <w:tcPr>
          <w:tcW w:w="2656" w:type="dxa"/>
          <w:tcBorders/>
        </w:tcPr>
        <w:p>
          <w:pPr>
            <w:pStyle w:val="Normal"/>
            <w:snapToGrid w:val="false"/>
            <w:spacing w:lineRule="exact" w:line="160"/>
            <w:ind w:firstLine="14" w:end="850"/>
            <w:rPr>
              <w:rFonts w:ascii="EngraversGothic BT" w:hAnsi="EngraversGothic BT" w:cs="EngraversGothic BT"/>
              <w:spacing w:val="17"/>
              <w:kern w:val="2"/>
              <w:sz w:val="12"/>
              <w:u w:val="single"/>
            </w:rPr>
          </w:pPr>
          <w:r>
            <w:rPr>
              <w:rFonts w:cs="EngraversGothic BT" w:ascii="EngraversGothic BT" w:hAnsi="EngraversGothic BT"/>
              <w:spacing w:val="17"/>
              <w:kern w:val="2"/>
              <w:sz w:val="12"/>
              <w:u w:val="single"/>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IncludeDPhrase" w:val="False"/>
    <w:docVar w:name="chkOptAuthorPhone" w:val="False"/>
    <w:docVar w:name="chkOptDateAsField" w:val="False"/>
    <w:docVar w:name="chkOptFirmName" w:val="False"/>
    <w:docVar w:name="chkOptInternetID" w:val="True"/>
    <w:docVar w:name="chkOptLHName" w:val="False"/>
    <w:docVar w:name="cmbAuthor" w:val="-1937"/>
    <w:docVar w:name="cmbAuthorLists" w:val="-100"/>
    <w:docVar w:name="cmbOptBodyTextAlignment" w:val="0"/>
    <w:docVar w:name="cmbOptClosingPhrases" w:val="Very truly yours,"/>
    <w:docVar w:name="cmbOptFonts" w:val="Times New Roman"/>
    <w:docVar w:name="cmbOptLetterhead" w:val="Engraved"/>
    <w:docVar w:name="cmbOptOffices" w:val="Los Angeles"/>
    <w:docVar w:name="cmbOptSigType" w:val="Attorney"/>
    <w:docVar w:name="cmbPrefLists" w:val="-100"/>
    <w:docVar w:name="cmbSetAuthorPref" w:val="-1937"/>
    <w:docVar w:name="lstDeliveryPhrases" w:val="Attorney-Client Privilege"/>
    <w:docVar w:name="Restarted" w:val="True"/>
    <w:docVar w:name="tglUseFirmDefaults" w:val="False"/>
    <w:docVar w:name="txtAddress" w:val="601 South Figueroa Street&#10;Suite 3300&#10;Los Angeles, California 90017"/>
    <w:docVar w:name="txtAuthor" w:val="Roland K. Tellis"/>
    <w:docVar w:name="txtFileNumber" w:val="35509-03000"/>
    <w:docVar w:name="txtInitials" w:val="RKT"/>
    <w:docVar w:name="txtNames" w:val="Michael Swartz&#10;Hennigan, Mercer &amp; Bennett"/>
    <w:docVar w:name="txtNet_ID" w:val="rtellis@milbank.com"/>
    <w:docVar w:name="txtOptBottomMargin" w:val="1.4"/>
    <w:docVar w:name="txtOptFirstLine" w:val=" 1"/>
    <w:docVar w:name="txtOptFSize" w:val="12"/>
    <w:docVar w:name="txtOptLeftMargin" w:val="1"/>
    <w:docVar w:name="txtOptRightMargin" w:val="1"/>
    <w:docVar w:name="txtOptTopMargin" w:val="1.5"/>
    <w:docVar w:name="txtPhone" w:val="(213) 892-4573"/>
    <w:docVar w:name="txtReLine" w:val="farallon Capital Partners, L.P. et al. v. Gleacher &amp; Co., Inc. et al."/>
    <w:docVar w:name="txtTitle" w:val="Associate"/>
    <w:docVar w:name="zzmpFixedDOC_ID" w:val="LA1:#6174897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lang w:val="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spacing w:before="0" w:after="0"/>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468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2000-05-16T21:51:00Z</dcterms:created>
  <dc:creator>RTellis</dc:creator>
  <dc:description/>
  <dc:language>en-CA</dc:language>
  <cp:lastModifiedBy>RTellis</cp:lastModifiedBy>
  <cp:lastPrinted>2000-05-16T17:49:00Z</cp:lastPrinted>
  <dcterms:modified xsi:type="dcterms:W3CDTF">2000-05-16T22:28:00Z</dcterms:modified>
  <cp:revision>7</cp:revision>
  <dc:subject/>
  <dc:title>Word 8.0 Generic Letter Template, rev. 4/3/97, the Legal MacPac</dc:title>
</cp:coreProperties>
</file>