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t>Memorandum</w:t>
      </w:r>
    </w:p>
    <w:p>
      <w:pPr>
        <w:pStyle w:val="DeliveryPhrase"/>
        <w:rPr/>
      </w:pPr>
      <w:r>
        <w:rPr/>
        <w:t>ATTORNEY-CLIENT PRIVILEGE</w:t>
      </w:r>
    </w:p>
    <w:tbl>
      <w:tblPr>
        <w:tblW w:w="9630" w:type="dxa"/>
        <w:jc w:val="start"/>
        <w:tblInd w:w="0" w:type="dxa"/>
        <w:tblLayout w:type="fixed"/>
        <w:tblCellMar>
          <w:top w:w="0" w:type="dxa"/>
          <w:start w:w="0" w:type="dxa"/>
          <w:bottom w:w="0" w:type="dxa"/>
          <w:end w:w="0" w:type="dxa"/>
        </w:tblCellMar>
      </w:tblPr>
      <w:tblGrid>
        <w:gridCol w:w="1440"/>
        <w:gridCol w:w="2250"/>
        <w:gridCol w:w="1620"/>
        <w:gridCol w:w="966"/>
        <w:gridCol w:w="204"/>
        <w:gridCol w:w="3096"/>
        <w:gridCol w:w="54"/>
      </w:tblGrid>
      <w:tr>
        <w:trPr/>
        <w:tc>
          <w:tcPr>
            <w:tcW w:w="1440" w:type="dxa"/>
            <w:tcBorders/>
          </w:tcPr>
          <w:p>
            <w:pPr>
              <w:pStyle w:val="Normal"/>
              <w:snapToGrid w:val="false"/>
              <w:rPr/>
            </w:pPr>
            <w:r>
              <w:rPr/>
            </w:r>
          </w:p>
        </w:tc>
        <w:tc>
          <w:tcPr>
            <w:tcW w:w="3870" w:type="dxa"/>
            <w:gridSpan w:val="2"/>
            <w:tcBorders/>
          </w:tcPr>
          <w:p>
            <w:pPr>
              <w:pStyle w:val="Normal"/>
              <w:snapToGrid w:val="false"/>
              <w:spacing w:before="0" w:after="120"/>
              <w:ind w:end="432"/>
              <w:rPr/>
            </w:pPr>
            <w:r>
              <w:rPr/>
            </w:r>
          </w:p>
        </w:tc>
        <w:tc>
          <w:tcPr>
            <w:tcW w:w="1170" w:type="dxa"/>
            <w:gridSpan w:val="2"/>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c>
          <w:tcPr>
            <w:tcW w:w="54" w:type="dxa"/>
            <w:tcBorders/>
          </w:tcPr>
          <w:p>
            <w:pPr>
              <w:pStyle w:val="Normal"/>
              <w:snapToGrid w:val="false"/>
              <w:rPr>
                <w:sz w:val="20"/>
              </w:rPr>
            </w:pPr>
            <w:r>
              <w:rPr>
                <w:sz w:val="20"/>
              </w:rPr>
            </w:r>
          </w:p>
        </w:tc>
      </w:tr>
      <w:tr>
        <w:trPr/>
        <w:tc>
          <w:tcPr>
            <w:tcW w:w="1440" w:type="dxa"/>
            <w:tcBorders/>
          </w:tcPr>
          <w:p>
            <w:pPr>
              <w:pStyle w:val="Normal"/>
              <w:spacing w:before="0" w:after="120"/>
              <w:rPr/>
            </w:pPr>
            <w:r>
              <w:rPr/>
              <w:t>TO:</w:t>
            </w:r>
          </w:p>
        </w:tc>
        <w:tc>
          <w:tcPr>
            <w:tcW w:w="3870" w:type="dxa"/>
            <w:gridSpan w:val="2"/>
            <w:tcBorders/>
          </w:tcPr>
          <w:p>
            <w:pPr>
              <w:pStyle w:val="Normal"/>
              <w:spacing w:before="0" w:after="120"/>
              <w:ind w:end="432"/>
              <w:rPr/>
            </w:pPr>
            <w:r>
              <w:rPr/>
              <w:t>Richard Sanders</w:t>
            </w:r>
          </w:p>
        </w:tc>
        <w:tc>
          <w:tcPr>
            <w:tcW w:w="4266" w:type="dxa"/>
            <w:gridSpan w:val="3"/>
            <w:tcBorders/>
          </w:tcPr>
          <w:p>
            <w:pPr>
              <w:pStyle w:val="Normal"/>
              <w:snapToGrid w:val="false"/>
              <w:spacing w:before="0" w:after="120"/>
              <w:ind w:end="216"/>
              <w:rPr/>
            </w:pPr>
            <w:r>
              <w:rPr/>
            </w:r>
          </w:p>
        </w:tc>
        <w:tc>
          <w:tcPr>
            <w:tcW w:w="54" w:type="dxa"/>
            <w:tcBorders/>
          </w:tcPr>
          <w:p>
            <w:pPr>
              <w:pStyle w:val="Normal"/>
              <w:snapToGrid w:val="false"/>
              <w:rPr/>
            </w:pPr>
            <w:r>
              <w:rPr/>
            </w:r>
          </w:p>
        </w:tc>
      </w:tr>
      <w:tr>
        <w:trPr/>
        <w:tc>
          <w:tcPr>
            <w:tcW w:w="1440" w:type="dxa"/>
            <w:tcBorders/>
          </w:tcPr>
          <w:p>
            <w:pPr>
              <w:pStyle w:val="Normal"/>
              <w:spacing w:before="0" w:after="120"/>
              <w:rPr/>
            </w:pPr>
            <w:r>
              <w:rPr/>
              <w:t>CC:</w:t>
            </w:r>
          </w:p>
        </w:tc>
        <w:tc>
          <w:tcPr>
            <w:tcW w:w="3870" w:type="dxa"/>
            <w:gridSpan w:val="2"/>
            <w:tcBorders/>
          </w:tcPr>
          <w:p>
            <w:pPr>
              <w:pStyle w:val="Normal"/>
              <w:spacing w:before="0" w:after="120"/>
              <w:ind w:end="432"/>
              <w:rPr/>
            </w:pPr>
            <w:r>
              <w:rPr/>
              <w:t>Steve Howard</w:t>
            </w:r>
          </w:p>
        </w:tc>
        <w:tc>
          <w:tcPr>
            <w:tcW w:w="4266" w:type="dxa"/>
            <w:gridSpan w:val="3"/>
            <w:tcBorders/>
          </w:tcPr>
          <w:p>
            <w:pPr>
              <w:pStyle w:val="Normal"/>
              <w:snapToGrid w:val="false"/>
              <w:spacing w:before="0" w:after="120"/>
              <w:ind w:end="216"/>
              <w:rPr/>
            </w:pPr>
            <w:r>
              <w:rPr/>
            </w:r>
          </w:p>
        </w:tc>
        <w:tc>
          <w:tcPr>
            <w:tcW w:w="54" w:type="dxa"/>
            <w:tcBorders/>
          </w:tcPr>
          <w:p>
            <w:pPr>
              <w:pStyle w:val="Normal"/>
              <w:snapToGrid w:val="false"/>
              <w:rPr/>
            </w:pPr>
            <w:r>
              <w:rPr/>
            </w:r>
          </w:p>
        </w:tc>
      </w:tr>
      <w:tr>
        <w:trPr/>
        <w:tc>
          <w:tcPr>
            <w:tcW w:w="1440" w:type="dxa"/>
            <w:tcBorders/>
          </w:tcPr>
          <w:p>
            <w:pPr>
              <w:pStyle w:val="Normal"/>
              <w:spacing w:before="0" w:after="120"/>
              <w:rPr/>
            </w:pPr>
            <w:r>
              <w:rPr/>
              <w:t>FROM:</w:t>
            </w:r>
          </w:p>
        </w:tc>
        <w:tc>
          <w:tcPr>
            <w:tcW w:w="3870" w:type="dxa"/>
            <w:gridSpan w:val="2"/>
            <w:tcBorders/>
          </w:tcPr>
          <w:p>
            <w:pPr>
              <w:pStyle w:val="Normal"/>
              <w:spacing w:before="0" w:after="120"/>
              <w:ind w:end="432"/>
              <w:rPr/>
            </w:pPr>
            <w:r>
              <w:rPr/>
              <w:t>Roland Tellis</w:t>
            </w:r>
          </w:p>
        </w:tc>
        <w:tc>
          <w:tcPr>
            <w:tcW w:w="4266" w:type="dxa"/>
            <w:gridSpan w:val="3"/>
            <w:tcBorders/>
          </w:tcPr>
          <w:p>
            <w:pPr>
              <w:pStyle w:val="Normal"/>
              <w:snapToGrid w:val="false"/>
              <w:spacing w:before="0" w:after="120"/>
              <w:ind w:end="216"/>
              <w:rPr/>
            </w:pPr>
            <w:r>
              <w:rPr/>
            </w:r>
          </w:p>
        </w:tc>
        <w:tc>
          <w:tcPr>
            <w:tcW w:w="54" w:type="dxa"/>
            <w:tcBorders/>
          </w:tcPr>
          <w:p>
            <w:pPr>
              <w:pStyle w:val="Normal"/>
              <w:snapToGrid w:val="false"/>
              <w:rPr/>
            </w:pPr>
            <w:r>
              <w:rPr/>
            </w:r>
          </w:p>
        </w:tc>
      </w:tr>
      <w:tr>
        <w:trPr/>
        <w:tc>
          <w:tcPr>
            <w:tcW w:w="1440" w:type="dxa"/>
            <w:tcBorders/>
          </w:tcPr>
          <w:p>
            <w:pPr>
              <w:pStyle w:val="Normal"/>
              <w:rPr/>
            </w:pPr>
            <w:r>
              <w:rPr/>
              <w:t>DATE:</w:t>
            </w:r>
          </w:p>
        </w:tc>
        <w:tc>
          <w:tcPr>
            <w:tcW w:w="8136" w:type="dxa"/>
            <w:gridSpan w:val="5"/>
            <w:tcBorders/>
          </w:tcPr>
          <w:p>
            <w:pPr>
              <w:pStyle w:val="Normal"/>
              <w:spacing w:before="0" w:after="120"/>
              <w:ind w:end="216"/>
              <w:rPr>
                <w:lang w:val="en-CA"/>
              </w:rPr>
            </w:pPr>
            <w:r>
              <w:rPr>
                <w:lang w:val="en-CA"/>
              </w:rPr>
              <w:t>May 12, 2000</w:t>
            </w:r>
          </w:p>
        </w:tc>
        <w:tc>
          <w:tcPr>
            <w:tcW w:w="54" w:type="dxa"/>
            <w:tcBorders/>
          </w:tcPr>
          <w:p>
            <w:pPr>
              <w:pStyle w:val="Normal"/>
              <w:snapToGrid w:val="false"/>
              <w:rPr/>
            </w:pPr>
            <w:r>
              <w:rPr/>
            </w:r>
          </w:p>
        </w:tc>
      </w:tr>
      <w:tr>
        <w:trPr/>
        <w:tc>
          <w:tcPr>
            <w:tcW w:w="1440" w:type="dxa"/>
            <w:tcBorders/>
          </w:tcPr>
          <w:p>
            <w:pPr>
              <w:pStyle w:val="Normal"/>
              <w:spacing w:before="0" w:after="120"/>
              <w:rPr/>
            </w:pPr>
            <w:r>
              <w:rPr/>
              <w:t>RE:</w:t>
            </w:r>
          </w:p>
        </w:tc>
        <w:tc>
          <w:tcPr>
            <w:tcW w:w="8136" w:type="dxa"/>
            <w:gridSpan w:val="5"/>
            <w:tcBorders/>
          </w:tcPr>
          <w:p>
            <w:pPr>
              <w:pStyle w:val="Normal"/>
              <w:spacing w:before="0" w:after="120"/>
              <w:ind w:end="216"/>
              <w:rPr/>
            </w:pPr>
            <w:r>
              <w:rPr/>
              <w:t>Summary of NSM Litigation</w:t>
            </w:r>
          </w:p>
        </w:tc>
        <w:tc>
          <w:tcPr>
            <w:tcW w:w="54" w:type="dxa"/>
            <w:tcBorders/>
          </w:tcPr>
          <w:p>
            <w:pPr>
              <w:pStyle w:val="Normal"/>
              <w:snapToGrid w:val="false"/>
              <w:rPr/>
            </w:pPr>
            <w:r>
              <w:rPr/>
            </w:r>
          </w:p>
        </w:tc>
      </w:tr>
      <w:tr>
        <w:trPr/>
        <w:tc>
          <w:tcPr>
            <w:tcW w:w="9576" w:type="dxa"/>
            <w:gridSpan w:val="6"/>
            <w:tcBorders>
              <w:top w:val="double" w:sz="4" w:space="0" w:color="000000"/>
            </w:tcBorders>
            <w:tcMar>
              <w:start w:w="108" w:type="dxa"/>
              <w:end w:w="108" w:type="dxa"/>
            </w:tcMar>
          </w:tcPr>
          <w:p>
            <w:pPr>
              <w:pStyle w:val="Normal"/>
              <w:snapToGrid w:val="false"/>
              <w:rPr/>
            </w:pPr>
            <w:r>
              <w:rPr/>
            </w:r>
          </w:p>
        </w:tc>
        <w:tc>
          <w:tcPr>
            <w:tcW w:w="54" w:type="dxa"/>
            <w:tcBorders/>
          </w:tcPr>
          <w:p>
            <w:pPr>
              <w:pStyle w:val="Normal"/>
              <w:snapToGrid w:val="false"/>
              <w:rPr/>
            </w:pPr>
            <w:r>
              <w:rPr/>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rPr>
            </w:pPr>
            <w:r>
              <w:rPr>
                <w:b/>
              </w:rPr>
              <w:t>PLAINTIFF(S)</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rPr>
            </w:pPr>
            <w:r>
              <w:rPr>
                <w:b/>
              </w:rPr>
              <w:t>COURT</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rPr>
            </w:pPr>
            <w:r>
              <w:rPr>
                <w:b/>
              </w:rPr>
              <w:t>COUNSEL FOR PLAINTIFF(S)</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 xml:space="preserve">Farallon Capital Partners, L.P., Farallon Capital Institutional Partners, L.P., Farallon Capital Institutional Partners II, L.P., Farallon Capital Offshore Investors, Inc., Consolidated Press International Limited, OCM Opportunities Fund II, L.P. and Oaktree Capital Management LLC </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Los Angeles County Superior Court</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Michael Hennigan</w:t>
            </w:r>
          </w:p>
          <w:p>
            <w:pPr>
              <w:pStyle w:val="Normal"/>
              <w:rPr/>
            </w:pPr>
            <w:r>
              <w:rPr/>
              <w:t xml:space="preserve">Bruce McCloud </w:t>
            </w:r>
          </w:p>
          <w:p>
            <w:pPr>
              <w:pStyle w:val="Normal"/>
              <w:rPr/>
            </w:pPr>
            <w:r>
              <w:rPr/>
              <w:t>Mike Swartz</w:t>
            </w:r>
          </w:p>
          <w:p>
            <w:pPr>
              <w:pStyle w:val="Normal"/>
              <w:rPr/>
            </w:pPr>
            <w:r>
              <w:rPr/>
              <w:t>Hennigan, Bennett &amp; Dorman</w:t>
            </w:r>
          </w:p>
          <w:p>
            <w:pPr>
              <w:pStyle w:val="Normal"/>
              <w:rPr/>
            </w:pPr>
            <w:r>
              <w:rPr/>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Legg Mason Income Trust, Inc. – Legg Mason High Yield Portfolio.</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Los Angeles County Superior</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Ralph Hirschmann</w:t>
            </w:r>
          </w:p>
          <w:p>
            <w:pPr>
              <w:pStyle w:val="Normal"/>
              <w:rPr/>
            </w:pPr>
            <w:r>
              <w:rPr/>
            </w:r>
          </w:p>
          <w:p>
            <w:pPr>
              <w:pStyle w:val="Normal"/>
              <w:rPr/>
            </w:pPr>
            <w:r>
              <w:rPr/>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IDS Bond Fund, Inc., IDS Life Managed Fund, Inc., Income Trust, Growth and Income Trust and IDS Life Special Income Fund, Inc.</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U.S. District Court, District of Minnesota</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Thomas Hatch</w:t>
            </w:r>
          </w:p>
          <w:p>
            <w:pPr>
              <w:pStyle w:val="Normal"/>
              <w:rPr/>
            </w:pPr>
            <w:r>
              <w:rPr/>
              <w:t>Cory Gordon</w:t>
            </w:r>
          </w:p>
          <w:p>
            <w:pPr>
              <w:pStyle w:val="Normal"/>
              <w:rPr/>
            </w:pPr>
            <w:r>
              <w:rPr/>
              <w:t>Robins, Kaplan, Miller &amp; Ciresi</w:t>
            </w:r>
          </w:p>
          <w:p>
            <w:pPr>
              <w:pStyle w:val="Normal"/>
              <w:rPr/>
            </w:pPr>
            <w:r>
              <w:rPr/>
              <w:t>Minneapolis, Minnesota</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 xml:space="preserve">Zuri-Invest AG </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 xml:space="preserve">U.S. District Court, </w:t>
            </w:r>
          </w:p>
          <w:p>
            <w:pPr>
              <w:pStyle w:val="Normal"/>
              <w:rPr/>
            </w:pPr>
            <w:r>
              <w:rPr/>
              <w:t>District of Minnesota</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Thomas Hatch</w:t>
            </w:r>
          </w:p>
          <w:p>
            <w:pPr>
              <w:pStyle w:val="Normal"/>
              <w:rPr/>
            </w:pPr>
            <w:r>
              <w:rPr/>
              <w:t>Cory Gordon</w:t>
            </w:r>
          </w:p>
          <w:p>
            <w:pPr>
              <w:pStyle w:val="Normal"/>
              <w:rPr/>
            </w:pPr>
            <w:r>
              <w:rPr/>
              <w:t>Robins, Kaplan, Miller &amp; Ciresi</w:t>
            </w:r>
          </w:p>
          <w:p>
            <w:pPr>
              <w:pStyle w:val="Normal"/>
              <w:rPr/>
            </w:pPr>
            <w:r>
              <w:rPr/>
              <w:t>Minneapolis, Minnesota</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Gabriel Capital L.P. and Ariel Fund, Ltd.</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U.S. District Court,</w:t>
            </w:r>
          </w:p>
          <w:p>
            <w:pPr>
              <w:pStyle w:val="Normal"/>
              <w:rPr/>
            </w:pPr>
            <w:r>
              <w:rPr/>
              <w:t>Southern Dist. of N.Y.</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Thomas Hatch</w:t>
            </w:r>
          </w:p>
          <w:p>
            <w:pPr>
              <w:pStyle w:val="Normal"/>
              <w:rPr/>
            </w:pPr>
            <w:r>
              <w:rPr/>
              <w:t>Cory Gordon</w:t>
            </w:r>
          </w:p>
          <w:p>
            <w:pPr>
              <w:pStyle w:val="Normal"/>
              <w:rPr/>
            </w:pPr>
            <w:r>
              <w:rPr/>
              <w:t>Robins, Kaplan, Miller &amp; Ciresi</w:t>
            </w:r>
          </w:p>
          <w:p>
            <w:pPr>
              <w:pStyle w:val="Normal"/>
              <w:rPr/>
            </w:pPr>
            <w:r>
              <w:rPr/>
              <w:t>Minneapolis, Minnesota</w:t>
            </w:r>
          </w:p>
          <w:p>
            <w:pPr>
              <w:pStyle w:val="Normal"/>
              <w:rPr/>
            </w:pPr>
            <w:r>
              <w:rPr/>
            </w:r>
          </w:p>
          <w:p>
            <w:pPr>
              <w:pStyle w:val="Normal"/>
              <w:rPr/>
            </w:pPr>
            <w:r>
              <w:rPr/>
              <w:t>David Glasser</w:t>
            </w:r>
          </w:p>
          <w:p>
            <w:pPr>
              <w:pStyle w:val="Normal"/>
              <w:rPr/>
            </w:pPr>
            <w:r>
              <w:rPr/>
              <w:t>Levin &amp; Glasser</w:t>
            </w:r>
          </w:p>
          <w:p>
            <w:pPr>
              <w:pStyle w:val="Normal"/>
              <w:rPr/>
            </w:pPr>
            <w:r>
              <w:rPr/>
              <w:t>New York, New York</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Merrill Lynch Global Allocation Fund, Inc., Merrill Lynch Equity/Convertible Series: Global Allocation portfolio, Turnberry Capital Partners, L.P., Turnberry Capital International, Ltd., Turnberry Ltd. Phoenix Home Life Mutual Insurance Company, Phoenix-Goodwin High Yield Fund, Phoenix-Goodwin Fixed Income Fund, Inc., Phoenix-Goodwin Multi-Sector Short Term Bond Fund, John Hancock High Yield Bond Fund and John Hancock V.A. High Yield Bond Fund.</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 xml:space="preserve">New Jersey </w:t>
            </w:r>
          </w:p>
          <w:p>
            <w:pPr>
              <w:pStyle w:val="Normal"/>
              <w:rPr/>
            </w:pPr>
            <w:r>
              <w:rPr/>
              <w:t>Superior Court</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Kathy Patrick</w:t>
            </w:r>
          </w:p>
          <w:p>
            <w:pPr>
              <w:pStyle w:val="Normal"/>
              <w:rPr/>
            </w:pPr>
            <w:r>
              <w:rPr/>
              <w:t>Scott Humphries</w:t>
            </w:r>
          </w:p>
          <w:p>
            <w:pPr>
              <w:pStyle w:val="Normal"/>
              <w:rPr/>
            </w:pPr>
            <w:r>
              <w:rPr/>
              <w:t>Gibbs &amp; Bruns</w:t>
            </w:r>
          </w:p>
          <w:p>
            <w:pPr>
              <w:pStyle w:val="Normal"/>
              <w:rPr/>
            </w:pPr>
            <w:r>
              <w:rPr/>
              <w:t>Houston, Texas</w:t>
            </w:r>
          </w:p>
          <w:p>
            <w:pPr>
              <w:pStyle w:val="Normal"/>
              <w:rPr/>
            </w:pPr>
            <w:r>
              <w:rPr/>
            </w:r>
          </w:p>
          <w:p>
            <w:pPr>
              <w:pStyle w:val="Normal"/>
              <w:rPr/>
            </w:pPr>
            <w:r>
              <w:rPr/>
              <w:t>David J. Libowsky</w:t>
            </w:r>
          </w:p>
          <w:p>
            <w:pPr>
              <w:pStyle w:val="Normal"/>
              <w:rPr/>
            </w:pPr>
            <w:r>
              <w:rPr/>
              <w:t>Florham Park, New Jersey</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Turnberry Capital Partners, L.P., Turnberry Capital International, Ltd., Turnberry, Ltd., Phoenix Home Life Mutual Insurance Company, Phoenix-Goodwin Fixed Income Fund, Inc., and Phoenix Multi-Sector Short Term Bond Fund</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 xml:space="preserve">Connecticut </w:t>
            </w:r>
          </w:p>
          <w:p>
            <w:pPr>
              <w:pStyle w:val="Normal"/>
              <w:rPr/>
            </w:pPr>
            <w:r>
              <w:rPr/>
              <w:t>Superior Court</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Kathy Patrick</w:t>
            </w:r>
          </w:p>
          <w:p>
            <w:pPr>
              <w:pStyle w:val="Normal"/>
              <w:rPr/>
            </w:pPr>
            <w:r>
              <w:rPr/>
              <w:t>Scott Humphries</w:t>
            </w:r>
          </w:p>
          <w:p>
            <w:pPr>
              <w:pStyle w:val="Normal"/>
              <w:rPr/>
            </w:pPr>
            <w:r>
              <w:rPr/>
              <w:t>Gibbs &amp; Bruns</w:t>
            </w:r>
          </w:p>
          <w:p>
            <w:pPr>
              <w:pStyle w:val="Normal"/>
              <w:rPr/>
            </w:pPr>
            <w:r>
              <w:rPr/>
              <w:t>Houston, Texas</w:t>
            </w:r>
          </w:p>
        </w:tc>
      </w:tr>
      <w:tr>
        <w:trPr/>
        <w:tc>
          <w:tcPr>
            <w:tcW w:w="369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Kemper High Yield Series-Kemper High Yield Fund, Kemper Variable Series-Kemper High Yield Portfolio, Kemper Multi-Market Income Trust, Kemper High Income Trust, Kemper Strategic Income Fund, Kemper Strategic Income Trust, Kemper High Yield Series-Kemper High Yield Opportunity Fund, Scudder-Portfolio Turst-Scudder High Yield Bond Fund, Scudder Global Opportunities Fund-U.S. High Yield Bond Fund, Adams Street CBO 1998-1 Ltd., and Fire Fighters Pension and Relief Fund for The City of New Orleans</w:t>
            </w:r>
          </w:p>
        </w:tc>
        <w:tc>
          <w:tcPr>
            <w:tcW w:w="258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Illinois Circuit Court</w:t>
            </w:r>
          </w:p>
        </w:tc>
        <w:tc>
          <w:tcPr>
            <w:tcW w:w="33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Chris Barber</w:t>
            </w:r>
          </w:p>
          <w:p>
            <w:pPr>
              <w:pStyle w:val="Normal"/>
              <w:rPr/>
            </w:pPr>
            <w:r>
              <w:rPr/>
              <w:t>Stephen O'Donnell</w:t>
            </w:r>
          </w:p>
          <w:p>
            <w:pPr>
              <w:pStyle w:val="Normal"/>
              <w:rPr/>
            </w:pPr>
            <w:r>
              <w:rPr/>
              <w:t>Elissa Isaacs</w:t>
            </w:r>
          </w:p>
          <w:p>
            <w:pPr>
              <w:pStyle w:val="Normal"/>
              <w:rPr/>
            </w:pPr>
            <w:r>
              <w:rPr/>
              <w:t>Piper Marbury Rudick &amp; Wolfe</w:t>
            </w:r>
          </w:p>
          <w:p>
            <w:pPr>
              <w:pStyle w:val="Normal"/>
              <w:rPr/>
            </w:pPr>
            <w:r>
              <w:rPr/>
              <w:t>Chicago, Illinois</w:t>
            </w:r>
          </w:p>
        </w:tc>
      </w:tr>
    </w:tbl>
    <w:p>
      <w:pPr>
        <w:pStyle w:val="Normal"/>
        <w:rPr/>
      </w:pPr>
      <w:r>
        <w:rPr/>
      </w:r>
    </w:p>
    <w:p>
      <w:pPr>
        <w:pStyle w:val="Normal"/>
        <w:rPr/>
      </w:pPr>
      <w:r>
        <w:rPr/>
      </w:r>
    </w:p>
    <w:p>
      <w:pPr>
        <w:pStyle w:val="Normal"/>
        <w:rPr/>
      </w:pPr>
      <w:r>
        <w:rPr/>
      </w:r>
    </w:p>
    <w:p>
      <w:pPr>
        <w:pStyle w:val="BodyText"/>
        <w:rPr/>
      </w:pPr>
      <w:r>
        <w:rPr/>
      </w:r>
    </w:p>
    <w:p>
      <w:pPr>
        <w:pStyle w:val="Normal"/>
        <w:spacing w:lineRule="exact" w:line="200"/>
        <w:rPr/>
      </w:pPr>
      <w:r>
        <w:rPr>
          <w:rStyle w:val="zzmpTrailerItem"/>
        </w:rPr>
        <w:t>LA1:#6173797</w:t>
      </w:r>
      <w:r>
        <w:rPr/>
        <w:t xml:space="preserve"> </w:t>
      </w:r>
    </w:p>
    <w:p>
      <w:pPr>
        <w:pStyle w:val="Normal"/>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8:06 AM</w:t>
      </w:r>
      <w:r>
        <w:rPr>
          <w:rStyle w:val="zzmpTrailerItem"/>
        </w:rPr>
        <w:fldChar w:fldCharType="end"/>
      </w:r>
      <w:r>
        <w:rPr/>
        <w:t xml:space="preserve"> </w:t>
      </w:r>
    </w:p>
    <w:sectPr>
      <w:footerReference w:type="default" r:id="rId2"/>
      <w:footerReference w:type="first" r:id="rId3"/>
      <w:type w:val="nextPage"/>
      <w:pgSz w:w="12240" w:h="15840"/>
      <w:pgMar w:left="1440" w:right="1440" w:gutter="0" w:header="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napToGrid w:val="false"/>
            <w:rPr/>
          </w:pPr>
          <w:r>
            <w:rPr/>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AuthorLists" w:val="-100"/>
    <w:docVar w:name="cmbOptFonts" w:val="Times New Roman"/>
    <w:docVar w:name="lstDeliveryPhrases" w:val="Attorney-Client Privilege"/>
    <w:docVar w:name="Restarted" w:val="True"/>
    <w:docVar w:name="tglUseFirmDefaults" w:val="False"/>
    <w:docVar w:name="txtCC" w:val="Steve Howard"/>
    <w:docVar w:name="txtDeliveryPhrases" w:val="ATTORNEY-CLIENT PRIVILEGE"/>
    <w:docVar w:name="txtFileNo" w:val="35509-00300"/>
    <w:docVar w:name="txtFrom" w:val="Roland Tellis"/>
    <w:docVar w:name="txtOptBottomMargin" w:val="1"/>
    <w:docVar w:name="txtOptFirstLine" w:val="0"/>
    <w:docVar w:name="txtOptFSize" w:val="12"/>
    <w:docVar w:name="txtOptLeftMargin" w:val="1"/>
    <w:docVar w:name="txtOptRightMargin" w:val="1"/>
    <w:docVar w:name="txtOptTopMargin" w:val=".8"/>
    <w:docVar w:name="txtRe" w:val="NSM Litigation"/>
    <w:docVar w:name="txtTo" w:val="Richard Sanders"/>
    <w:docVar w:name="zzmpFixedDOC_ID" w:val="LA1:#6173797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2000-05-03T20:08:00Z</dcterms:created>
  <dc:creator>RTellis</dc:creator>
  <dc:description/>
  <dc:language>en-CA</dc:language>
  <cp:lastModifiedBy>RTellis</cp:lastModifiedBy>
  <cp:lastPrinted>2000-05-03T16:25:00Z</cp:lastPrinted>
  <dcterms:modified xsi:type="dcterms:W3CDTF">2000-05-18T14:45:00Z</dcterms:modified>
  <cp:revision>14</cp:revision>
  <dc:subject/>
  <dc:title>Generic MacPac 8.0 Memo Template, rev. 4/3/97, the Legal MacPac</dc:title>
</cp:coreProperties>
</file>