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r>
    </w:p>
    <w:p>
      <w:pPr>
        <w:pStyle w:val="Heading6"/>
        <w:ind w:hanging="0" w:start="0"/>
        <w:rPr>
          <w:b/>
          <w:bCs/>
          <w:sz w:val="32"/>
          <w:szCs w:val="32"/>
        </w:rPr>
      </w:pPr>
      <w:r>
        <w:rPr>
          <w:b/>
          <w:bCs/>
          <w:sz w:val="32"/>
          <w:szCs w:val="32"/>
        </w:rPr>
        <w:drawing>
          <wp:anchor behindDoc="0" distT="0" distB="0" distL="0" distR="114300" simplePos="0" locked="0" layoutInCell="0" allowOverlap="1" relativeHeight="2">
            <wp:simplePos x="0" y="0"/>
            <wp:positionH relativeFrom="column">
              <wp:align>left</wp:align>
            </wp:positionH>
            <wp:positionV relativeFrom="paragraph">
              <wp:posOffset>267970</wp:posOffset>
            </wp:positionV>
            <wp:extent cx="3750945" cy="103822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3750945" cy="1038225"/>
                    </a:xfrm>
                    <a:prstGeom prst="rect">
                      <a:avLst/>
                    </a:prstGeom>
                    <a:noFill/>
                  </pic:spPr>
                </pic:pic>
              </a:graphicData>
            </a:graphic>
          </wp:anchor>
        </w:drawing>
      </w:r>
    </w:p>
    <w:p>
      <w:pPr>
        <w:pStyle w:val="Heading6"/>
        <w:ind w:hanging="0" w:start="0"/>
        <w:rPr>
          <w:b w:val="false"/>
          <w:bCs w:val="false"/>
          <w:sz w:val="36"/>
          <w:szCs w:val="36"/>
        </w:rPr>
      </w:pPr>
      <w:r>
        <w:rPr>
          <w:b w:val="false"/>
          <w:bCs w:val="false"/>
          <w:sz w:val="36"/>
          <w:szCs w:val="36"/>
        </w:rPr>
      </w:r>
    </w:p>
    <w:p>
      <w:pPr>
        <w:pStyle w:val="Heading6"/>
        <w:ind w:hanging="0" w:start="0"/>
        <w:rPr>
          <w:sz w:val="36"/>
          <w:szCs w:val="36"/>
        </w:rPr>
      </w:pPr>
      <w:r>
        <w:rPr>
          <w:sz w:val="36"/>
          <w:szCs w:val="36"/>
        </w:rPr>
        <w:t>ENRON WHOLESALE SERVICES</w:t>
      </w:r>
    </w:p>
    <w:p>
      <w:pPr>
        <w:pStyle w:val="Heading6"/>
        <w:numPr>
          <w:ilvl w:val="0"/>
          <w:numId w:val="2"/>
        </w:numPr>
        <w:tabs>
          <w:tab w:val="clear" w:pos="720"/>
          <w:tab w:val="left" w:pos="0" w:leader="none"/>
        </w:tabs>
        <w:ind w:hanging="720" w:start="720" w:end="0"/>
        <w:rPr/>
      </w:pPr>
      <w:r>
        <w:rPr/>
        <w:t>ENRON AMERICAS  (“EA”)</w:t>
      </w:r>
    </w:p>
    <w:p>
      <w:pPr>
        <w:pStyle w:val="Heading6"/>
        <w:numPr>
          <w:ilvl w:val="0"/>
          <w:numId w:val="2"/>
        </w:numPr>
        <w:tabs>
          <w:tab w:val="clear" w:pos="720"/>
          <w:tab w:val="left" w:pos="0" w:leader="none"/>
        </w:tabs>
        <w:ind w:hanging="720" w:start="720" w:end="0"/>
        <w:rPr/>
      </w:pPr>
      <w:r>
        <w:rPr/>
        <w:t>ENRON GLOBAL MARKETS  (“EGM”)</w:t>
      </w:r>
    </w:p>
    <w:p>
      <w:pPr>
        <w:pStyle w:val="Normal"/>
        <w:numPr>
          <w:ilvl w:val="0"/>
          <w:numId w:val="2"/>
        </w:numPr>
        <w:tabs>
          <w:tab w:val="clear" w:pos="720"/>
          <w:tab w:val="left" w:pos="0" w:leader="none"/>
        </w:tabs>
        <w:ind w:hanging="720" w:start="720" w:end="0"/>
        <w:rPr>
          <w:b/>
          <w:bCs/>
          <w:sz w:val="32"/>
          <w:szCs w:val="32"/>
        </w:rPr>
      </w:pPr>
      <w:r>
        <w:rPr>
          <w:b/>
          <w:bCs/>
          <w:sz w:val="32"/>
          <w:szCs w:val="32"/>
        </w:rPr>
        <w:t>ENRON NETWORKS (“ENW”)</w:t>
      </w:r>
    </w:p>
    <w:p>
      <w:pPr>
        <w:pStyle w:val="Heading6"/>
        <w:numPr>
          <w:ilvl w:val="0"/>
          <w:numId w:val="2"/>
        </w:numPr>
        <w:tabs>
          <w:tab w:val="clear" w:pos="720"/>
          <w:tab w:val="left" w:pos="0" w:leader="none"/>
        </w:tabs>
        <w:ind w:hanging="720" w:start="720" w:end="0"/>
        <w:rPr/>
      </w:pPr>
      <w:r>
        <w:rPr/>
        <w:t>ENRON INDUSTRIAL MARKETS  (“EIM”)</w:t>
      </w:r>
    </w:p>
    <w:p>
      <w:pPr>
        <w:pStyle w:val="Heading6"/>
        <w:numPr>
          <w:ilvl w:val="0"/>
          <w:numId w:val="0"/>
        </w:numPr>
        <w:ind w:hanging="0" w:start="0"/>
        <w:rPr/>
      </w:pPr>
      <w:r>
        <w:rPr/>
      </w:r>
    </w:p>
    <w:p>
      <w:pPr>
        <w:pStyle w:val="Heading6"/>
        <w:numPr>
          <w:ilvl w:val="0"/>
          <w:numId w:val="0"/>
        </w:numPr>
        <w:ind w:hanging="0" w:start="0"/>
        <w:rPr/>
      </w:pPr>
      <w:r>
        <w:rPr/>
        <w:t>PORTFOLIO WATCH LIST</w:t>
        <w:tab/>
        <w:tab/>
        <w:tab/>
        <w:tab/>
        <w:tab/>
        <w:tab/>
        <w:tab/>
        <w:t xml:space="preserve"> </w:t>
      </w:r>
    </w:p>
    <w:p>
      <w:pPr>
        <w:pStyle w:val="Heading5"/>
        <w:numPr>
          <w:ilvl w:val="0"/>
          <w:numId w:val="0"/>
        </w:numPr>
        <w:ind w:hanging="0" w:start="0"/>
        <w:rPr>
          <w:color w:val="FF0000"/>
          <w:sz w:val="32"/>
          <w:szCs w:val="32"/>
        </w:rPr>
      </w:pPr>
      <w:r>
        <w:rPr>
          <w:sz w:val="32"/>
          <w:szCs w:val="32"/>
        </w:rPr>
        <w:t xml:space="preserve">UPDATE AS OF 3/30/2001    </w:t>
      </w:r>
      <w:r>
        <w:rPr>
          <w:color w:val="FF0000"/>
          <w:sz w:val="32"/>
          <w:szCs w:val="32"/>
        </w:rPr>
        <w:t xml:space="preserve"> </w:t>
      </w:r>
      <w:r>
        <w:rPr>
          <w:sz w:val="32"/>
          <w:szCs w:val="32"/>
        </w:rPr>
        <w:t xml:space="preserve">    </w:t>
      </w:r>
    </w:p>
    <w:p>
      <w:pPr>
        <w:pStyle w:val="Heading5"/>
        <w:numPr>
          <w:ilvl w:val="0"/>
          <w:numId w:val="0"/>
        </w:numPr>
        <w:ind w:hanging="0" w:start="0"/>
        <w:rPr>
          <w:sz w:val="32"/>
          <w:szCs w:val="32"/>
        </w:rPr>
      </w:pPr>
      <w:r>
        <w:rPr>
          <w:sz w:val="32"/>
          <w:szCs w:val="32"/>
        </w:rPr>
        <w:tab/>
        <w:tab/>
        <w:tab/>
      </w:r>
    </w:p>
    <w:p>
      <w:pPr>
        <w:pStyle w:val="Normal"/>
        <w:numPr>
          <w:ilvl w:val="0"/>
          <w:numId w:val="0"/>
        </w:numPr>
        <w:ind w:hanging="0" w:start="0"/>
        <w:rPr>
          <w:b/>
          <w:bCs/>
        </w:rPr>
      </w:pPr>
      <w:r>
        <w:rPr>
          <w:lang w:val="en-CA"/>
        </w:rPr>
        <w:drawing>
          <wp:inline distT="0" distB="0" distL="0" distR="0">
            <wp:extent cx="1631950" cy="208153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631950" cy="2081530"/>
                    </a:xfrm>
                    <a:prstGeom prst="rect">
                      <a:avLst/>
                    </a:prstGeom>
                    <a:noFill/>
                  </pic:spPr>
                </pic:pic>
              </a:graphicData>
            </a:graphic>
          </wp:inline>
        </w:drawing>
      </w:r>
      <w:r>
        <mc:AlternateContent>
          <mc:Choice Requires="wps">
            <w:drawing>
              <wp:anchor behindDoc="0" distT="0" distB="0" distL="0" distR="0" simplePos="0" locked="0" layoutInCell="1" allowOverlap="1" relativeHeight="13">
                <wp:simplePos x="0" y="0"/>
                <wp:positionH relativeFrom="column">
                  <wp:posOffset>-137160</wp:posOffset>
                </wp:positionH>
                <wp:positionV relativeFrom="paragraph">
                  <wp:posOffset>407035</wp:posOffset>
                </wp:positionV>
                <wp:extent cx="1638300" cy="2090420"/>
                <wp:effectExtent l="0" t="0" r="0" b="0"/>
                <wp:wrapNone/>
                <wp:docPr id="3" name=""/>
                <a:graphic xmlns:a="http://schemas.openxmlformats.org/drawingml/2006/main">
                  <a:graphicData uri="http://schemas.microsoft.com/office/word/2010/wordprocessingShape">
                    <wps:wsp>
                      <wps:cNvSpPr txBox="1"/>
                      <wps:spPr>
                        <a:xfrm>
                          <a:off x="0" y="0"/>
                          <a:ext cx="1638360" cy="209052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10.8pt;margin-top:32.05pt;width:128.95pt;height:164.55pt;mso-wrap-style:none;v-text-anchor:middle" type="_x0000_t202">
                <v:fill o:detectmouseclick="t" on="false"/>
                <v:stroke color="#3465a4" joinstyle="round" endcap="flat"/>
                <w10:wrap type="none"/>
              </v:shape>
            </w:pict>
          </mc:Fallback>
        </mc:AlternateContent>
      </w:r>
      <w:r>
        <w:rPr>
          <w:b/>
          <w:bCs/>
        </w:rPr>
        <w:tab/>
        <w:tab/>
        <w:tab/>
        <w:tab/>
        <w:tab/>
        <w:tab/>
      </w:r>
      <w:r>
        <w:rPr/>
        <w:drawing>
          <wp:inline distT="0" distB="0" distL="0" distR="0">
            <wp:extent cx="1972945" cy="232791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tretch>
                      <a:fillRect/>
                    </a:stretch>
                  </pic:blipFill>
                  <pic:spPr bwMode="auto">
                    <a:xfrm>
                      <a:off x="0" y="0"/>
                      <a:ext cx="1972945" cy="2327910"/>
                    </a:xfrm>
                    <a:prstGeom prst="rect">
                      <a:avLst/>
                    </a:prstGeom>
                    <a:noFill/>
                  </pic:spPr>
                </pic:pic>
              </a:graphicData>
            </a:graphic>
          </wp:inline>
        </w:drawing>
      </w:r>
    </w:p>
    <w:p>
      <w:pPr>
        <w:pStyle w:val="Normal"/>
        <w:numPr>
          <w:ilvl w:val="0"/>
          <w:numId w:val="0"/>
        </w:numPr>
        <w:ind w:hanging="0" w:start="0"/>
        <w:rPr>
          <w:b/>
          <w:bCs/>
        </w:rPr>
      </w:pPr>
      <w:r>
        <w:rPr>
          <w:b/>
          <w:bCs/>
        </w:rPr>
      </w:r>
    </w:p>
    <w:p>
      <w:pPr>
        <w:pStyle w:val="Normal"/>
        <w:numPr>
          <w:ilvl w:val="0"/>
          <w:numId w:val="0"/>
        </w:numPr>
        <w:ind w:hanging="0" w:start="0"/>
        <w:rPr>
          <w:b/>
          <w:bCs/>
        </w:rPr>
      </w:pPr>
      <w:r>
        <w:rPr>
          <w:b/>
          <w:bCs/>
        </w:rPr>
      </w:r>
    </w:p>
    <w:p>
      <w:pPr>
        <w:pStyle w:val="Normal"/>
        <w:numPr>
          <w:ilvl w:val="0"/>
          <w:numId w:val="0"/>
        </w:numPr>
        <w:ind w:hanging="0" w:start="0"/>
        <w:rPr>
          <w:b/>
          <w:bCs/>
        </w:rPr>
      </w:pPr>
      <w:r>
        <w:rPr>
          <w:b/>
          <w:bCs/>
        </w:rPr>
        <w:tab/>
        <w:tab/>
        <w:tab/>
        <w:tab/>
      </w:r>
    </w:p>
    <w:p>
      <w:pPr>
        <w:pStyle w:val="Normal"/>
        <w:numPr>
          <w:ilvl w:val="0"/>
          <w:numId w:val="0"/>
        </w:numPr>
        <w:ind w:hanging="0" w:start="0"/>
        <w:rPr>
          <w:b/>
          <w:bCs/>
        </w:rPr>
      </w:pPr>
      <w:r>
        <w:rPr>
          <w:b/>
          <w:bCs/>
        </w:rPr>
        <w:t>Distribution:</w:t>
      </w:r>
    </w:p>
    <w:p>
      <w:pPr>
        <w:pStyle w:val="Normal"/>
        <w:numPr>
          <w:ilvl w:val="0"/>
          <w:numId w:val="0"/>
        </w:numPr>
        <w:ind w:hanging="0" w:start="0"/>
        <w:rPr>
          <w:b/>
          <w:bCs/>
        </w:rPr>
      </w:pPr>
      <w:r>
        <w:rPr>
          <w:b/>
          <w:bCs/>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dashed" w:sz="6" w:space="0" w:color="auto"/>
              <w:start w:val="dashed" w:sz="6" w:space="0" w:color="auto"/>
              <w:bottom w:val="dashed" w:sz="6" w:space="0" w:color="auto"/>
              <w:end w:val="dashed" w:sz="6" w:space="0" w:color="auto"/>
            </w:tcBorders>
          </w:tcPr>
          <w:p>
            <w:pPr>
              <w:pStyle w:val="Normal"/>
              <w:rPr>
                <w:b/>
                <w:bCs/>
              </w:rPr>
            </w:pPr>
            <w:r>
              <w:rPr>
                <w:b/>
                <w:bCs/>
              </w:rPr>
              <w:t>Bibi, Phillipe</w:t>
            </w:r>
          </w:p>
          <w:p>
            <w:pPr>
              <w:pStyle w:val="Normal"/>
              <w:rPr>
                <w:b/>
                <w:bCs/>
              </w:rPr>
            </w:pPr>
            <w:r>
              <w:rPr>
                <w:b/>
                <w:bCs/>
              </w:rPr>
              <w:t>Buy, Rick</w:t>
            </w:r>
          </w:p>
          <w:p>
            <w:pPr>
              <w:pStyle w:val="Normal"/>
              <w:rPr>
                <w:b/>
                <w:bCs/>
              </w:rPr>
            </w:pPr>
            <w:r>
              <w:rPr>
                <w:b/>
                <w:bCs/>
              </w:rPr>
              <w:t>Frevert, Mark</w:t>
            </w:r>
          </w:p>
          <w:p>
            <w:pPr>
              <w:pStyle w:val="Normal"/>
              <w:rPr>
                <w:b/>
                <w:bCs/>
              </w:rPr>
            </w:pPr>
            <w:r>
              <w:rPr>
                <w:b/>
                <w:bCs/>
              </w:rPr>
              <w:t>Haedicke, Mark (via cc:Mail)</w:t>
            </w:r>
          </w:p>
          <w:p>
            <w:pPr>
              <w:pStyle w:val="Normal"/>
              <w:rPr>
                <w:b/>
                <w:bCs/>
              </w:rPr>
            </w:pPr>
            <w:r>
              <w:rPr>
                <w:b/>
                <w:bCs/>
              </w:rPr>
              <w:t>Kitchen, Louise</w:t>
            </w:r>
          </w:p>
          <w:p>
            <w:pPr>
              <w:pStyle w:val="Normal"/>
              <w:rPr>
                <w:b/>
                <w:bCs/>
              </w:rPr>
            </w:pPr>
            <w:r>
              <w:rPr>
                <w:b/>
                <w:bCs/>
              </w:rPr>
              <w:t>Lavorato, John</w:t>
            </w:r>
          </w:p>
          <w:p>
            <w:pPr>
              <w:pStyle w:val="Normal"/>
              <w:rPr>
                <w:b/>
                <w:bCs/>
              </w:rPr>
            </w:pPr>
            <w:r>
              <w:rPr>
                <w:b/>
                <w:bCs/>
              </w:rPr>
              <w:t>Lydecker, Richard (via cc:Mail)</w:t>
            </w:r>
          </w:p>
          <w:p>
            <w:pPr>
              <w:pStyle w:val="Normal"/>
              <w:rPr>
                <w:b/>
                <w:bCs/>
              </w:rPr>
            </w:pPr>
            <w:r>
              <w:rPr>
                <w:b/>
                <w:bCs/>
              </w:rPr>
              <w:t>McConnell, Mike</w:t>
            </w:r>
          </w:p>
          <w:p>
            <w:pPr>
              <w:pStyle w:val="Normal"/>
              <w:rPr>
                <w:b/>
                <w:bCs/>
              </w:rPr>
            </w:pPr>
            <w:r>
              <w:rPr>
                <w:b/>
                <w:bCs/>
              </w:rPr>
              <w:t>McMahon, Jeff</w:t>
            </w:r>
          </w:p>
        </w:tc>
      </w:tr>
      <w:tr>
        <w:trPr/>
        <w:tc>
          <w:tcPr>
            <w:tcW w:w="8856" w:type="dxa"/>
            <w:tcBorders>
              <w:top w:val="dashed" w:sz="6" w:space="0" w:color="auto"/>
              <w:start w:val="dashed" w:sz="6" w:space="0" w:color="auto"/>
              <w:bottom w:val="dashed" w:sz="6" w:space="0" w:color="auto"/>
              <w:end w:val="dashed" w:sz="6" w:space="0" w:color="auto"/>
            </w:tcBorders>
          </w:tcPr>
          <w:p>
            <w:pPr>
              <w:pStyle w:val="Normal"/>
              <w:rPr>
                <w:b/>
                <w:bCs/>
              </w:rPr>
            </w:pPr>
            <w:r>
              <w:rPr>
                <w:b/>
                <w:bCs/>
              </w:rPr>
              <w:t>Whalley, Greg</w:t>
            </w:r>
          </w:p>
        </w:tc>
      </w:tr>
      <w:tr>
        <w:trPr/>
        <w:tc>
          <w:tcPr>
            <w:tcW w:w="8856" w:type="dxa"/>
            <w:tcBorders>
              <w:top w:val="dashed" w:sz="6" w:space="0" w:color="auto"/>
              <w:start w:val="dashed" w:sz="6" w:space="0" w:color="auto"/>
              <w:bottom w:val="dashed" w:sz="6" w:space="0" w:color="auto"/>
              <w:end w:val="dashed" w:sz="6" w:space="0" w:color="auto"/>
            </w:tcBorders>
          </w:tcPr>
          <w:p>
            <w:pPr>
              <w:pStyle w:val="Normal"/>
              <w:snapToGrid w:val="false"/>
              <w:rPr>
                <w:b/>
                <w:bCs/>
              </w:rPr>
            </w:pPr>
            <w:r>
              <w:rPr>
                <w:b/>
                <w:bCs/>
              </w:rPr>
            </w:r>
          </w:p>
        </w:tc>
      </w:tr>
      <w:tr>
        <w:trPr/>
        <w:tc>
          <w:tcPr>
            <w:tcW w:w="8856" w:type="dxa"/>
            <w:tcBorders>
              <w:top w:val="dashed" w:sz="6" w:space="0" w:color="auto"/>
              <w:start w:val="dashed" w:sz="6" w:space="0" w:color="auto"/>
              <w:bottom w:val="dashed" w:sz="6" w:space="0" w:color="auto"/>
              <w:end w:val="dashed" w:sz="6" w:space="0" w:color="auto"/>
            </w:tcBorders>
          </w:tcPr>
          <w:p>
            <w:pPr>
              <w:pStyle w:val="Normal"/>
              <w:rPr>
                <w:b/>
                <w:bCs/>
              </w:rPr>
            </w:pPr>
            <w:r>
              <w:rPr>
                <w:b/>
                <w:bCs/>
              </w:rPr>
              <w:t xml:space="preserve">PLEASE NOTIFY RICK CARSON AT X3-3905 </w:t>
            </w:r>
          </w:p>
          <w:p>
            <w:pPr>
              <w:pStyle w:val="Normal"/>
              <w:rPr/>
            </w:pPr>
            <w:r>
              <w:rPr>
                <w:b/>
                <w:bCs/>
              </w:rPr>
              <w:t xml:space="preserve">WITH QUESTIONS OR COMMENTS                                                                 </w:t>
            </w:r>
            <w:r>
              <w:rPr>
                <w:b/>
                <w:bCs/>
                <w:color w:val="FF0000"/>
                <w:sz w:val="24"/>
                <w:szCs w:val="24"/>
              </w:rPr>
              <w:t>CONFIDENTIAL</w:t>
            </w:r>
          </w:p>
          <w:p>
            <w:pPr>
              <w:pStyle w:val="Normal"/>
              <w:rPr>
                <w:b/>
                <w:bCs/>
                <w:color w:val="FF0000"/>
                <w:sz w:val="24"/>
                <w:szCs w:val="24"/>
              </w:rPr>
            </w:pPr>
            <w:r>
              <w:rPr>
                <w:b/>
                <w:bCs/>
                <w:color w:val="FF0000"/>
                <w:sz w:val="24"/>
                <w:szCs w:val="24"/>
              </w:rPr>
            </w:r>
          </w:p>
          <w:p>
            <w:pPr>
              <w:pStyle w:val="Header"/>
              <w:tabs>
                <w:tab w:val="clear" w:pos="4320"/>
                <w:tab w:val="clear" w:pos="8640"/>
              </w:tabs>
              <w:rPr>
                <w:b/>
                <w:bCs/>
              </w:rPr>
            </w:pPr>
            <w:r>
              <w:rPr/>
              <w:t>Cost &amp; Carry Values as of 2/28/2001.  Market Values from Merchant Portfolio Report Dated 3/27/2001.</w:t>
            </w:r>
          </w:p>
        </w:tc>
      </w:tr>
    </w:tbl>
    <w:p>
      <w:pPr>
        <w:pStyle w:val="FootnoteText"/>
        <w:rPr/>
      </w:pPr>
      <w:r>
        <w:rPr/>
      </w:r>
    </w:p>
    <w:p>
      <w:pPr>
        <w:pStyle w:val="FootnoteText"/>
        <w:rPr/>
      </w:pPr>
      <w:r>
        <w:rPr/>
      </w:r>
    </w:p>
    <w:p>
      <w:pPr>
        <w:pStyle w:val="FootnoteText"/>
        <w:rPr/>
      </w:pPr>
      <w:r>
        <w:rPr/>
      </w:r>
    </w:p>
    <w:p>
      <w:pPr>
        <w:pStyle w:val="FootnoteText"/>
        <w:rPr/>
      </w:pPr>
      <w:r>
        <w:rPr/>
      </w:r>
    </w:p>
    <w:p>
      <w:pPr>
        <w:pStyle w:val="FootnoteText"/>
        <w:jc w:val="center"/>
        <w:rPr>
          <w:b/>
          <w:bCs/>
          <w:color w:val="000080"/>
          <w:sz w:val="24"/>
          <w:szCs w:val="24"/>
        </w:rPr>
      </w:pPr>
      <w:r>
        <w:rPr>
          <w:b/>
          <w:bCs/>
          <w:color w:val="000080"/>
          <w:sz w:val="24"/>
          <w:szCs w:val="24"/>
        </w:rPr>
        <w:t>TABLE OF CONTENTS</w:t>
      </w:r>
    </w:p>
    <w:p>
      <w:pPr>
        <w:pStyle w:val="FootnoteText"/>
        <w:jc w:val="center"/>
        <w:rPr>
          <w:b/>
          <w:bCs/>
          <w:color w:val="000080"/>
          <w:sz w:val="24"/>
          <w:szCs w:val="24"/>
        </w:rPr>
      </w:pPr>
      <w:r>
        <w:rPr>
          <w:b/>
          <w:bCs/>
          <w:color w:val="000080"/>
          <w:sz w:val="24"/>
          <w:szCs w:val="24"/>
        </w:rPr>
      </w:r>
    </w:p>
    <w:tbl>
      <w:tblPr>
        <w:tblW w:w="9126" w:type="dxa"/>
        <w:jc w:val="start"/>
        <w:tblInd w:w="0" w:type="dxa"/>
        <w:tblLayout w:type="fixed"/>
        <w:tblCellMar>
          <w:top w:w="0" w:type="dxa"/>
          <w:start w:w="108" w:type="dxa"/>
          <w:bottom w:w="0" w:type="dxa"/>
          <w:end w:w="108" w:type="dxa"/>
        </w:tblCellMar>
      </w:tblPr>
      <w:tblGrid>
        <w:gridCol w:w="288"/>
        <w:gridCol w:w="2790"/>
        <w:gridCol w:w="2970"/>
        <w:gridCol w:w="3060"/>
        <w:gridCol w:w="18"/>
      </w:tblGrid>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rPr>
                <w:b/>
                <w:bCs/>
                <w:color w:val="000080"/>
              </w:rPr>
            </w:pPr>
            <w:r>
              <w:rPr>
                <w:b/>
                <w:bCs/>
                <w:color w:val="000080"/>
              </w:rPr>
              <w:t>WATCH ASSETS………………………………………………………………………………………..…3-5</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b/>
                <w:bCs/>
                <w:color w:val="000080"/>
              </w:rPr>
            </w:pPr>
            <w:r>
              <w:rPr>
                <w:b/>
                <w:bCs/>
                <w:color w:val="000080"/>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Bonne Terre Exploration</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Juniper Exploration</w:t>
            </w:r>
          </w:p>
        </w:tc>
        <w:tc>
          <w:tcPr>
            <w:tcW w:w="3078" w:type="dxa"/>
            <w:tcBorders>
              <w:top w:val="dashed" w:sz="6" w:space="0" w:color="auto"/>
              <w:start w:val="dashed" w:sz="6" w:space="0" w:color="auto"/>
              <w:bottom w:val="dashed" w:sz="6" w:space="0" w:color="auto"/>
              <w:end w:val="dashed" w:sz="6" w:space="0" w:color="auto"/>
            </w:tcBorders>
          </w:tcPr>
          <w:p>
            <w:pPr>
              <w:pStyle w:val="FootnoteText"/>
              <w:rPr/>
            </w:pPr>
            <w:r>
              <w:rPr/>
              <w:t>Oconto Falls (EIM)</w:t>
            </w:r>
          </w:p>
        </w:tc>
      </w:tr>
      <w:tr>
        <w:trPr>
          <w:trHeight w:val="234" w:hRule="atLeast"/>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C-Gas</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Jupiter Holdings (EGM)</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r>
      <w:tr>
        <w:trPr>
          <w:trHeight w:val="180" w:hRule="atLeast"/>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 xml:space="preserve">Cypress Exploration                       </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Linder Energy LLC</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DPR Holdings (EGM)</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Mariner Energy</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r>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snapToGrid w:val="false"/>
              <w:rPr>
                <w:b/>
                <w:bCs/>
                <w:color w:val="000080"/>
              </w:rPr>
            </w:pPr>
            <w:r>
              <w:rPr>
                <w:b/>
                <w:bCs/>
                <w:color w:val="000080"/>
              </w:rPr>
            </w:r>
          </w:p>
        </w:tc>
      </w:tr>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rPr>
                <w:b/>
                <w:bCs/>
                <w:color w:val="000080"/>
              </w:rPr>
            </w:pPr>
            <w:r>
              <w:rPr>
                <w:b/>
                <w:bCs/>
                <w:color w:val="000080"/>
              </w:rPr>
              <w:t>TROUBLED ASSETS………………………………………………………………………………………5-7</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b/>
                <w:bCs/>
                <w:color w:val="000080"/>
              </w:rPr>
            </w:pPr>
            <w:r>
              <w:rPr>
                <w:b/>
                <w:bCs/>
                <w:color w:val="000080"/>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 xml:space="preserve">Alpine Natural Gas </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Impresse Corporation (ENW)</w:t>
            </w:r>
          </w:p>
        </w:tc>
        <w:tc>
          <w:tcPr>
            <w:tcW w:w="3078" w:type="dxa"/>
            <w:tcBorders>
              <w:top w:val="dashed" w:sz="6" w:space="0" w:color="auto"/>
              <w:start w:val="dashed" w:sz="6" w:space="0" w:color="auto"/>
              <w:bottom w:val="dashed" w:sz="6" w:space="0" w:color="auto"/>
              <w:end w:val="dashed" w:sz="6" w:space="0" w:color="auto"/>
            </w:tcBorders>
          </w:tcPr>
          <w:p>
            <w:pPr>
              <w:pStyle w:val="FootnoteText"/>
              <w:rPr/>
            </w:pPr>
            <w:r>
              <w:rPr/>
              <w:t>DEVX Energy</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Catalytica Energy Systems</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 xml:space="preserve">Industrial Holdings  </w:t>
            </w:r>
          </w:p>
        </w:tc>
        <w:tc>
          <w:tcPr>
            <w:tcW w:w="3078" w:type="dxa"/>
            <w:tcBorders>
              <w:top w:val="dashed" w:sz="6" w:space="0" w:color="auto"/>
              <w:start w:val="dashed" w:sz="6" w:space="0" w:color="auto"/>
              <w:bottom w:val="dashed" w:sz="6" w:space="0" w:color="auto"/>
              <w:end w:val="dashed" w:sz="6" w:space="0" w:color="auto"/>
            </w:tcBorders>
          </w:tcPr>
          <w:p>
            <w:pPr>
              <w:pStyle w:val="FootnoteText"/>
              <w:rPr/>
            </w:pPr>
            <w:r>
              <w:rPr/>
              <w:t>Sacramento Basin</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ChemConnect  (ENW)</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Inland Resources</w:t>
            </w:r>
          </w:p>
        </w:tc>
        <w:tc>
          <w:tcPr>
            <w:tcW w:w="3078" w:type="dxa"/>
            <w:tcBorders>
              <w:top w:val="dashed" w:sz="6" w:space="0" w:color="auto"/>
              <w:start w:val="dashed" w:sz="6" w:space="0" w:color="auto"/>
              <w:bottom w:val="dashed" w:sz="6" w:space="0" w:color="auto"/>
              <w:end w:val="dashed" w:sz="6" w:space="0" w:color="auto"/>
            </w:tcBorders>
          </w:tcPr>
          <w:p>
            <w:pPr>
              <w:pStyle w:val="FootnoteText"/>
              <w:rPr/>
            </w:pPr>
            <w:r>
              <w:rPr/>
              <w:t>WB Oil Company</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City Forest</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 xml:space="preserve">Masada </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r>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rPr/>
            </w:pPr>
            <w:r>
              <w:rPr>
                <w:b/>
                <w:bCs/>
                <w:color w:val="000080"/>
              </w:rPr>
              <w:t xml:space="preserve">     </w:t>
            </w:r>
            <w:r>
              <w:rPr>
                <w:color w:val="000000"/>
              </w:rPr>
              <w:t>Enserco Offshore</w:t>
            </w:r>
          </w:p>
        </w:tc>
      </w:tr>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rPr>
                <w:b/>
                <w:bCs/>
                <w:color w:val="000080"/>
              </w:rPr>
            </w:pPr>
            <w:r>
              <w:rPr>
                <w:b/>
                <w:bCs/>
                <w:color w:val="000080"/>
              </w:rPr>
              <w:t xml:space="preserve">     </w:t>
            </w:r>
          </w:p>
        </w:tc>
      </w:tr>
      <w:tr>
        <w:trPr/>
        <w:tc>
          <w:tcPr>
            <w:tcW w:w="9108" w:type="dxa"/>
            <w:gridSpan w:val="4"/>
            <w:tcBorders>
              <w:top w:val="dashed" w:sz="6" w:space="0" w:color="auto"/>
              <w:start w:val="dashed" w:sz="6" w:space="0" w:color="auto"/>
              <w:bottom w:val="dashed" w:sz="6" w:space="0" w:color="auto"/>
              <w:end w:val="dashed" w:sz="6" w:space="0" w:color="auto"/>
            </w:tcBorders>
          </w:tcPr>
          <w:p>
            <w:pPr>
              <w:pStyle w:val="FootnoteText"/>
              <w:rPr>
                <w:b/>
                <w:bCs/>
                <w:color w:val="000080"/>
              </w:rPr>
            </w:pPr>
            <w:r>
              <w:rPr>
                <w:b/>
                <w:bCs/>
                <w:color w:val="000080"/>
              </w:rPr>
              <w:t>LOSS ASSETS........................……………………………...…………………………………………...…...7-8</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b/>
                <w:bCs/>
                <w:color w:val="000080"/>
              </w:rPr>
            </w:pPr>
            <w:r>
              <w:rPr>
                <w:b/>
                <w:bCs/>
                <w:color w:val="000080"/>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Crown Energy</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Ice Drilling</w:t>
            </w:r>
          </w:p>
        </w:tc>
        <w:tc>
          <w:tcPr>
            <w:tcW w:w="3078" w:type="dxa"/>
            <w:tcBorders>
              <w:top w:val="dashed" w:sz="6" w:space="0" w:color="auto"/>
              <w:start w:val="dashed" w:sz="6" w:space="0" w:color="auto"/>
              <w:bottom w:val="dashed" w:sz="6" w:space="0" w:color="auto"/>
              <w:end w:val="dashed" w:sz="6" w:space="0" w:color="auto"/>
            </w:tcBorders>
          </w:tcPr>
          <w:p>
            <w:pPr>
              <w:pStyle w:val="FootnoteText"/>
              <w:rPr/>
            </w:pPr>
            <w:r>
              <w:rPr/>
              <w:t>Transcoastal Marine Services</w:t>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pPr>
            <w:r>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 xml:space="preserve">Ecogas </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Kafus Industries</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jc w:val="center"/>
              <w:rPr>
                <w:b/>
                <w:bCs/>
                <w:color w:val="FF0000"/>
              </w:rPr>
            </w:pPr>
            <w:r>
              <w:rPr>
                <w:b/>
                <w:bCs/>
                <w:color w:val="FF0000"/>
              </w:rPr>
            </w:r>
          </w:p>
        </w:tc>
      </w:tr>
      <w:tr>
        <w:trPr/>
        <w:tc>
          <w:tcPr>
            <w:tcW w:w="288" w:type="dxa"/>
            <w:tcBorders>
              <w:top w:val="dashed" w:sz="6" w:space="0" w:color="auto"/>
              <w:start w:val="dashed" w:sz="6" w:space="0" w:color="auto"/>
              <w:bottom w:val="dashed" w:sz="6" w:space="0" w:color="auto"/>
              <w:end w:val="dashed" w:sz="6" w:space="0" w:color="auto"/>
            </w:tcBorders>
          </w:tcPr>
          <w:p>
            <w:pPr>
              <w:pStyle w:val="FootnoteText"/>
              <w:snapToGrid w:val="false"/>
              <w:rPr>
                <w:b/>
                <w:bCs/>
                <w:color w:val="FF0000"/>
              </w:rPr>
            </w:pPr>
            <w:r>
              <w:rPr>
                <w:b/>
                <w:bCs/>
                <w:color w:val="FF0000"/>
              </w:rPr>
            </w:r>
          </w:p>
        </w:tc>
        <w:tc>
          <w:tcPr>
            <w:tcW w:w="2790" w:type="dxa"/>
            <w:tcBorders>
              <w:top w:val="dashed" w:sz="6" w:space="0" w:color="auto"/>
              <w:start w:val="dashed" w:sz="6" w:space="0" w:color="auto"/>
              <w:bottom w:val="dashed" w:sz="6" w:space="0" w:color="auto"/>
              <w:end w:val="dashed" w:sz="6" w:space="0" w:color="auto"/>
            </w:tcBorders>
          </w:tcPr>
          <w:p>
            <w:pPr>
              <w:pStyle w:val="FootnoteText"/>
              <w:rPr/>
            </w:pPr>
            <w:r>
              <w:rPr/>
              <w:t>Heartland Steel</w:t>
            </w:r>
          </w:p>
        </w:tc>
        <w:tc>
          <w:tcPr>
            <w:tcW w:w="2970" w:type="dxa"/>
            <w:tcBorders>
              <w:top w:val="dashed" w:sz="6" w:space="0" w:color="auto"/>
              <w:start w:val="dashed" w:sz="6" w:space="0" w:color="auto"/>
              <w:bottom w:val="dashed" w:sz="6" w:space="0" w:color="auto"/>
              <w:end w:val="dashed" w:sz="6" w:space="0" w:color="auto"/>
            </w:tcBorders>
          </w:tcPr>
          <w:p>
            <w:pPr>
              <w:pStyle w:val="FootnoteText"/>
              <w:rPr/>
            </w:pPr>
            <w:r>
              <w:rPr/>
              <w:t>Nakornthai Strip Mill</w:t>
            </w:r>
          </w:p>
        </w:tc>
        <w:tc>
          <w:tcPr>
            <w:tcW w:w="3078" w:type="dxa"/>
            <w:tcBorders>
              <w:top w:val="dashed" w:sz="6" w:space="0" w:color="auto"/>
              <w:start w:val="dashed" w:sz="6" w:space="0" w:color="auto"/>
              <w:bottom w:val="dashed" w:sz="6" w:space="0" w:color="auto"/>
              <w:end w:val="dashed" w:sz="6" w:space="0" w:color="auto"/>
            </w:tcBorders>
          </w:tcPr>
          <w:p>
            <w:pPr>
              <w:pStyle w:val="FootnoteText"/>
              <w:snapToGrid w:val="false"/>
              <w:jc w:val="center"/>
              <w:rPr>
                <w:b/>
                <w:bCs/>
                <w:color w:val="FF0000"/>
              </w:rPr>
            </w:pPr>
            <w:r>
              <w:rPr>
                <w:b/>
                <w:bCs/>
                <w:color w:val="FF0000"/>
              </w:rPr>
            </w:r>
          </w:p>
        </w:tc>
      </w:tr>
    </w:tbl>
    <w:p>
      <w:pPr>
        <w:pStyle w:val="TOC1"/>
        <w:tabs>
          <w:tab w:val="clear" w:pos="720"/>
          <w:tab w:val="right" w:pos="8630" w:leader="dot"/>
        </w:tabs>
        <w:jc w:val="center"/>
        <w:rPr>
          <w:color w:val="000080"/>
          <w:sz w:val="24"/>
          <w:szCs w:val="24"/>
        </w:rPr>
      </w:pPr>
      <w:r>
        <w:rPr>
          <w:color w:val="000080"/>
          <w:sz w:val="24"/>
          <w:szCs w:val="24"/>
        </w:rPr>
      </w:r>
    </w:p>
    <w:p>
      <w:pPr>
        <w:pStyle w:val="TOC1"/>
        <w:tabs>
          <w:tab w:val="clear" w:pos="720"/>
          <w:tab w:val="right" w:pos="8630" w:leader="dot"/>
        </w:tabs>
        <w:jc w:val="center"/>
        <w:rPr>
          <w:color w:val="000080"/>
          <w:sz w:val="24"/>
          <w:szCs w:val="24"/>
        </w:rPr>
      </w:pPr>
      <w:r>
        <w:rPr>
          <w:color w:val="000080"/>
          <w:sz w:val="24"/>
          <w:szCs w:val="24"/>
        </w:rPr>
        <w:t>Asset RESTRUCTURING / SALE ACTIVITY</w:t>
      </w:r>
    </w:p>
    <w:p>
      <w:pPr>
        <w:pStyle w:val="FootnoteText"/>
        <w:rPr>
          <w:color w:val="000080"/>
          <w:sz w:val="24"/>
          <w:szCs w:val="24"/>
        </w:rPr>
      </w:pPr>
      <w:r>
        <w:rPr>
          <w:color w:val="000080"/>
          <w:sz w:val="24"/>
          <w:szCs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000000"/>
              <w:start w:val="single" w:sz="6" w:space="0" w:color="000000"/>
              <w:bottom w:val="single" w:sz="6" w:space="0" w:color="000000"/>
              <w:end w:val="single" w:sz="6" w:space="0" w:color="000000"/>
            </w:tcBorders>
          </w:tcPr>
          <w:p>
            <w:pPr>
              <w:pStyle w:val="FootnoteText"/>
              <w:jc w:val="center"/>
              <w:rPr>
                <w:b/>
                <w:bCs/>
              </w:rPr>
            </w:pPr>
            <w:r>
              <w:rPr>
                <w:b/>
                <w:bCs/>
              </w:rPr>
              <w:t xml:space="preserve">In Progress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jc w:val="center"/>
              <w:rPr>
                <w:b/>
                <w:bCs/>
              </w:rPr>
            </w:pPr>
            <w:r>
              <w:rPr>
                <w:b/>
                <w:bCs/>
              </w:rPr>
              <w:t>Restructurings / Sales Completed</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Bonne Terre Exploration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Brigham Exploration</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City Forest</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Carrizo Oil &amp; Gas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Enserco Offshore</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Costilla Energy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Industrial Holdings</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Ecogas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Kafus Industries / Canfibre</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Eugene Offshore Holdings, LLC  </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Masada</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Forcenergy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NSM – Thailand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Gasco Distribution</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Oconto Falls</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Hogan Exploration</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Transcoastal Marine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Hughes Rawls, LLC</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WB Oil Company</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Ice Drilling</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Inland Resources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LSI Electric</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Lyco Energy </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Queen Sand Resources (DEVX Energy)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Repap Resources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Basic Energy (Sierra Well Service) </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TriPoint, Inc.</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Qualitech Steel</w:t>
            </w:r>
          </w:p>
        </w:tc>
      </w:tr>
    </w:tbl>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Heading1"/>
        <w:ind w:hanging="0" w:start="0"/>
        <w:rPr/>
      </w:pPr>
      <w:r>
        <w:rPr/>
        <w:t>W</w:t>
      </w:r>
      <w:r>
        <w:rPr/>
        <w:t xml:space="preserve">ATCH                                             </w:t>
      </w:r>
    </w:p>
    <w:p>
      <w:pPr>
        <w:pStyle w:val="Normal"/>
        <w:rPr/>
      </w:pPr>
      <w:r>
        <w:rPr/>
        <w:t>Assets displaying early warning signs of potential weakness that deserve close attention.</w:t>
      </w:r>
    </w:p>
    <w:p>
      <w:pPr>
        <w:pStyle w:val="Header"/>
        <w:tabs>
          <w:tab w:val="clear" w:pos="4320"/>
          <w:tab w:val="clear" w:pos="8640"/>
        </w:tabs>
        <w:rPr/>
      </w:pPr>
      <w:r>
        <w:rPr/>
      </w:r>
    </w:p>
    <w:p>
      <w:pPr>
        <w:pStyle w:val="FootnoteText"/>
        <w:jc w:val="both"/>
        <w:rPr/>
      </w:pPr>
      <w:r>
        <w:rPr/>
      </w:r>
    </w:p>
    <w:p>
      <w:pPr>
        <w:pStyle w:val="Normal"/>
        <w:rPr/>
      </w:pPr>
      <w:r>
        <w:rPr>
          <w:b/>
          <w:bCs/>
          <w:u w:val="single"/>
        </w:rPr>
        <w:t xml:space="preserve">Bonne Terre Exploration </w:t>
      </w:r>
      <w:r>
        <w:rPr>
          <w:b/>
          <w:bCs/>
        </w:rPr>
        <w:t>-</w:t>
      </w:r>
      <w:r>
        <w:rPr/>
        <w:t xml:space="preserve"> </w:t>
      </w:r>
      <w:r>
        <w:rPr>
          <w:b/>
          <w:bCs/>
        </w:rPr>
        <w:t>EA</w:t>
      </w:r>
      <w:r>
        <w:rPr/>
        <w:t xml:space="preserve">  (Limited Liability Company)  JEDI II &amp; Balance Sheet     (Net #’s)</w:t>
      </w:r>
    </w:p>
    <w:p>
      <w:pPr>
        <w:pStyle w:val="Normal"/>
        <w:numPr>
          <w:ilvl w:val="0"/>
          <w:numId w:val="3"/>
        </w:numPr>
        <w:tabs>
          <w:tab w:val="clear" w:pos="720"/>
          <w:tab w:val="left" w:pos="0" w:leader="none"/>
        </w:tabs>
        <w:spacing w:lineRule="atLeast" w:line="240"/>
        <w:ind w:hanging="720" w:start="720" w:end="0"/>
        <w:jc w:val="both"/>
        <w:rPr/>
      </w:pPr>
      <w:r>
        <w:rPr/>
        <w:t xml:space="preserve">The dissolution of the LLC continues to progress through a Windup Agreement, with formal closing expected to occur in early April.  EA / JEDI II is expected to receive approximately $200K - $300K in cash and a distributed interest in certain properties.  EA has structured the Exploration Agreements with new partners, Manti &amp; Tri-C  to reduce capital risk exposure through carried interests and working interest buyback options at casing point.  Exit will likely come through monetization of PDP reserves via a volumetric production payment or a sale to a larger E&amp;P player, once drilling prospect potential is proven.  </w:t>
      </w:r>
    </w:p>
    <w:p>
      <w:pPr>
        <w:pStyle w:val="BodyTextIndent3"/>
        <w:numPr>
          <w:ilvl w:val="0"/>
          <w:numId w:val="0"/>
        </w:numPr>
        <w:ind w:hanging="0" w:start="360"/>
        <w:rPr/>
      </w:pPr>
      <w:r>
        <w:rPr>
          <w:b/>
          <w:bCs/>
          <w:i w:val="false"/>
          <w:iCs w:val="false"/>
        </w:rPr>
        <w:t xml:space="preserve">Cost:  $23.486 MM   Market Value: $11.856 MM    Carry Value:  $11.856 MM </w:t>
      </w:r>
    </w:p>
    <w:p>
      <w:pPr>
        <w:pStyle w:val="Normal"/>
        <w:numPr>
          <w:ilvl w:val="0"/>
          <w:numId w:val="0"/>
        </w:numPr>
        <w:ind w:hanging="0" w:start="0"/>
        <w:rPr>
          <w:b/>
          <w:bCs/>
          <w:i/>
          <w:i/>
          <w:iCs/>
        </w:rPr>
      </w:pPr>
      <w:r>
        <w:rPr>
          <w:b/>
          <w:bCs/>
          <w:i/>
          <w:iCs/>
        </w:rPr>
      </w:r>
    </w:p>
    <w:p>
      <w:pPr>
        <w:pStyle w:val="Heading3"/>
        <w:numPr>
          <w:ilvl w:val="0"/>
          <w:numId w:val="0"/>
        </w:numPr>
        <w:ind w:hanging="0" w:start="0"/>
        <w:rPr/>
      </w:pPr>
      <w:r>
        <w:rPr>
          <w:b/>
          <w:bCs/>
        </w:rPr>
        <w:t>C-Gas</w:t>
      </w:r>
      <w:r>
        <w:rPr>
          <w:u w:val="none"/>
        </w:rPr>
        <w:t xml:space="preserve">  -  </w:t>
      </w:r>
      <w:r>
        <w:rPr>
          <w:b/>
          <w:bCs/>
          <w:u w:val="none"/>
        </w:rPr>
        <w:t xml:space="preserve">EA  </w:t>
      </w:r>
      <w:r>
        <w:rPr>
          <w:u w:val="none"/>
        </w:rPr>
        <w:t xml:space="preserve"> (Private Equity)  JEDI 1 </w:t>
        <w:tab/>
        <w:t xml:space="preserve">(Gross #’s)  </w:t>
      </w:r>
    </w:p>
    <w:p>
      <w:pPr>
        <w:pStyle w:val="Heading3"/>
        <w:numPr>
          <w:ilvl w:val="0"/>
          <w:numId w:val="3"/>
        </w:numPr>
        <w:tabs>
          <w:tab w:val="clear" w:pos="720"/>
          <w:tab w:val="left" w:pos="0" w:leader="none"/>
        </w:tabs>
        <w:ind w:hanging="720" w:start="720" w:end="0"/>
        <w:jc w:val="both"/>
        <w:rPr>
          <w:b/>
          <w:bCs/>
          <w:u w:val="none"/>
        </w:rPr>
      </w:pPr>
      <w:r>
        <w:rPr>
          <w:u w:val="none"/>
        </w:rPr>
        <w:t xml:space="preserve">Revisions have been made to full year 2000 results based on the payment of performance bonuses and final tax provisions.  Revised EBITDA of $9.19 MM, exceeded plan by 26.4%.  Full year actual cash flow of $7.33 MM, exceeded plan by 37.4%.  A borrowing base re-determination by Bank One is currently underway – the existing credit line is $25 MM, with $15.5 MM currently outstanding.   Formal arrangements to sell the Company are underway, with the Commercial team estimating financial close during Q-3-2001.      </w:t>
      </w:r>
    </w:p>
    <w:p>
      <w:pPr>
        <w:pStyle w:val="Heading3"/>
        <w:numPr>
          <w:ilvl w:val="0"/>
          <w:numId w:val="0"/>
        </w:numPr>
        <w:ind w:hanging="0" w:start="0" w:end="0"/>
        <w:jc w:val="both"/>
        <w:rPr/>
      </w:pPr>
      <w:r>
        <w:rPr>
          <w:b/>
          <w:bCs/>
          <w:u w:val="none"/>
        </w:rPr>
        <w:t xml:space="preserve">Cost:   $32.770 MM       Market Value:  $28.153 MM   Carry Value:  $29.281 MM   </w:t>
      </w:r>
    </w:p>
    <w:p>
      <w:pPr>
        <w:pStyle w:val="Heading3"/>
        <w:numPr>
          <w:ilvl w:val="0"/>
          <w:numId w:val="0"/>
        </w:numPr>
        <w:ind w:hanging="0" w:start="0"/>
        <w:rPr>
          <w:b/>
          <w:bCs/>
          <w:u w:val="none"/>
        </w:rPr>
      </w:pPr>
      <w:r>
        <w:rPr>
          <w:b/>
          <w:bCs/>
          <w:u w:val="none"/>
        </w:rPr>
      </w:r>
    </w:p>
    <w:p>
      <w:pPr>
        <w:pStyle w:val="Heading3"/>
        <w:numPr>
          <w:ilvl w:val="0"/>
          <w:numId w:val="0"/>
        </w:numPr>
        <w:ind w:hanging="0" w:start="0"/>
        <w:rPr/>
      </w:pPr>
      <w:r>
        <w:rPr>
          <w:b/>
          <w:bCs/>
        </w:rPr>
        <w:t>Cypress Exploration</w:t>
      </w:r>
      <w:r>
        <w:rPr>
          <w:b/>
          <w:bCs/>
          <w:u w:val="none"/>
        </w:rPr>
        <w:t xml:space="preserve">  -  EA </w:t>
      </w:r>
      <w:r>
        <w:rPr>
          <w:u w:val="none"/>
        </w:rPr>
        <w:t xml:space="preserve">  (Working Interest) Balance Sheet   (Net #’s)</w:t>
      </w:r>
    </w:p>
    <w:p>
      <w:pPr>
        <w:pStyle w:val="Heading3"/>
        <w:numPr>
          <w:ilvl w:val="0"/>
          <w:numId w:val="3"/>
        </w:numPr>
        <w:tabs>
          <w:tab w:val="clear" w:pos="720"/>
          <w:tab w:val="left" w:pos="0" w:leader="none"/>
        </w:tabs>
        <w:ind w:hanging="720" w:start="720" w:end="0"/>
        <w:jc w:val="both"/>
        <w:rPr>
          <w:u w:val="none"/>
        </w:rPr>
      </w:pPr>
      <w:r>
        <w:rPr>
          <w:u w:val="none"/>
        </w:rPr>
        <w:t xml:space="preserve">The rig has been moved to drill new wells in the Riceville prospect (Vermillion Parish) area in south Louisiana.  Tri-C, the operator, drilled and completed the Istre Zonebrecher well and is currently moving the rig to a new Riceville location.  The second well is a Camerina objective and is a re-entry on an old wellbore.   E&amp;P companies Andex and Preston have been promoted in on both wells.   The exit strategy continues to be to identify prospects under lease and then spend minimal exploration dollars that will define potential, create value and maximize sale proceeds.   </w:t>
      </w:r>
    </w:p>
    <w:p>
      <w:pPr>
        <w:pStyle w:val="Heading3"/>
        <w:numPr>
          <w:ilvl w:val="0"/>
          <w:numId w:val="0"/>
        </w:numPr>
        <w:tabs>
          <w:tab w:val="clear" w:pos="720"/>
          <w:tab w:val="left" w:pos="360" w:leader="none"/>
        </w:tabs>
        <w:ind w:hanging="0" w:start="0"/>
        <w:jc w:val="both"/>
        <w:rPr>
          <w:b/>
          <w:bCs/>
          <w:u w:val="none"/>
        </w:rPr>
      </w:pPr>
      <w:r>
        <w:rPr>
          <w:u w:val="none"/>
        </w:rPr>
        <w:tab/>
      </w:r>
      <w:r>
        <w:rPr>
          <w:b/>
          <w:bCs/>
          <w:u w:val="none"/>
        </w:rPr>
        <w:t>Cost:  $24.210 MM       Market Value:  $24.997 MM       Carry Value:  $25.726 MM</w:t>
      </w:r>
    </w:p>
    <w:p>
      <w:pPr>
        <w:pStyle w:val="Header"/>
        <w:numPr>
          <w:ilvl w:val="0"/>
          <w:numId w:val="0"/>
        </w:numPr>
        <w:tabs>
          <w:tab w:val="clear" w:pos="4320"/>
          <w:tab w:val="clear" w:pos="8640"/>
        </w:tabs>
        <w:ind w:hanging="0" w:start="0"/>
        <w:rPr>
          <w:b/>
          <w:bCs/>
          <w:u w:val="none"/>
        </w:rPr>
      </w:pPr>
      <w:r>
        <w:rPr>
          <w:b/>
          <w:bCs/>
          <w:u w:val="none"/>
        </w:rPr>
      </w:r>
    </w:p>
    <w:p>
      <w:pPr>
        <w:pStyle w:val="Heading3"/>
        <w:numPr>
          <w:ilvl w:val="0"/>
          <w:numId w:val="0"/>
        </w:numPr>
        <w:ind w:hanging="0" w:start="0"/>
        <w:rPr/>
      </w:pPr>
      <w:r>
        <w:rPr>
          <w:b/>
          <w:bCs/>
        </w:rPr>
        <w:t>DPR Holding Co., LLC</w:t>
      </w:r>
      <w:r>
        <w:rPr>
          <w:u w:val="none"/>
        </w:rPr>
        <w:t xml:space="preserve">   -  </w:t>
      </w:r>
      <w:r>
        <w:rPr>
          <w:b/>
          <w:bCs/>
          <w:u w:val="none"/>
        </w:rPr>
        <w:t xml:space="preserve">EGM </w:t>
      </w:r>
      <w:r>
        <w:rPr>
          <w:u w:val="none"/>
        </w:rPr>
        <w:t xml:space="preserve"> (Senior Debt &amp; Private Equity)   JEDI II &amp; Balance Sheet   (Net #’s)</w:t>
      </w:r>
    </w:p>
    <w:p>
      <w:pPr>
        <w:pStyle w:val="Normal"/>
        <w:numPr>
          <w:ilvl w:val="0"/>
          <w:numId w:val="3"/>
        </w:numPr>
        <w:tabs>
          <w:tab w:val="clear" w:pos="720"/>
          <w:tab w:val="left" w:pos="0" w:leader="none"/>
        </w:tabs>
        <w:ind w:hanging="720" w:start="720" w:end="0"/>
        <w:jc w:val="both"/>
        <w:rPr/>
      </w:pPr>
      <w:r>
        <w:rPr/>
        <w:t xml:space="preserve">DPR and subsidiaries violated several financial ratio covenants as of Dec-31-2000, including debt to cap; fixed charge coverage and current ratio.  In order to receive an unqualified audit opinion, DPR has requested forbearance on the violations until the earlier of May-15-2001, or the delivery date of its Mar-31-2001 financials.  EGM Commercial recommends waiver subject to reserving all other rights under the transaction documents and the waiver being applicable only to defaults existing as of Dec-31-2000. </w:t>
      </w:r>
    </w:p>
    <w:p>
      <w:pPr>
        <w:pStyle w:val="Normal"/>
        <w:numPr>
          <w:ilvl w:val="0"/>
          <w:numId w:val="0"/>
        </w:numPr>
        <w:ind w:hanging="0" w:start="0" w:end="0"/>
        <w:jc w:val="both"/>
        <w:rPr/>
      </w:pPr>
      <w:r>
        <w:rPr>
          <w:b/>
          <w:bCs/>
        </w:rPr>
        <w:t xml:space="preserve"> </w:t>
      </w:r>
      <w:r>
        <w:rPr>
          <w:b/>
          <w:bCs/>
        </w:rPr>
        <w:t>Cost:</w:t>
      </w:r>
      <w:r>
        <w:rPr/>
        <w:t xml:space="preserve">  </w:t>
      </w:r>
      <w:r>
        <w:rPr>
          <w:b/>
          <w:bCs/>
        </w:rPr>
        <w:t>$18.461 MM    Market Value:  $18.380 MM         Carry Value: $20.281 MM</w:t>
      </w:r>
    </w:p>
    <w:p>
      <w:pPr>
        <w:pStyle w:val="Normal"/>
        <w:numPr>
          <w:ilvl w:val="0"/>
          <w:numId w:val="0"/>
        </w:numPr>
        <w:tabs>
          <w:tab w:val="clear" w:pos="720"/>
          <w:tab w:val="left" w:pos="360" w:leader="none"/>
        </w:tabs>
        <w:ind w:hanging="0" w:start="360" w:end="0"/>
        <w:jc w:val="both"/>
        <w:rPr/>
      </w:pPr>
      <w:r>
        <w:rPr>
          <w:b/>
          <w:bCs/>
        </w:rPr>
        <w:t xml:space="preserve">                                      </w:t>
      </w:r>
      <w:r>
        <w:rPr>
          <w:b/>
          <w:bCs/>
        </w:rPr>
        <w:t xml:space="preserve">(Transfer to EA CLO #I)                                     </w:t>
      </w:r>
      <w:r>
        <w:rPr>
          <w:b/>
          <w:bCs/>
          <w:color w:val="000000"/>
        </w:rPr>
        <w:t>$23.054 MM</w:t>
      </w:r>
      <w:r>
        <w:rPr>
          <w:b/>
          <w:bCs/>
        </w:rPr>
        <w:t xml:space="preserve">  </w:t>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jc w:val="both"/>
        <w:rPr>
          <w:b/>
          <w:bCs/>
          <w:u w:val="single"/>
        </w:rPr>
      </w:pPr>
      <w:r>
        <w:rPr/>
        <w:t>W</w:t>
      </w:r>
      <w:r>
        <w:rPr>
          <w:b/>
          <w:bCs/>
        </w:rPr>
        <w:t>ATCH  - (Continued)</w:t>
      </w:r>
    </w:p>
    <w:p>
      <w:pPr>
        <w:pStyle w:val="Normal"/>
        <w:jc w:val="both"/>
        <w:rPr>
          <w:b/>
          <w:bCs/>
          <w:u w:val="single"/>
        </w:rPr>
      </w:pPr>
      <w:r>
        <w:rPr>
          <w:b/>
          <w:bCs/>
          <w:u w:val="single"/>
        </w:rPr>
      </w:r>
    </w:p>
    <w:p>
      <w:pPr>
        <w:pStyle w:val="Normal"/>
        <w:jc w:val="both"/>
        <w:rPr>
          <w:b/>
          <w:bCs/>
          <w:u w:val="single"/>
        </w:rPr>
      </w:pPr>
      <w:r>
        <w:rPr>
          <w:b/>
          <w:bCs/>
          <w:u w:val="single"/>
        </w:rPr>
      </w:r>
    </w:p>
    <w:p>
      <w:pPr>
        <w:pStyle w:val="Normal"/>
        <w:jc w:val="both"/>
        <w:rPr/>
      </w:pPr>
      <w:r>
        <w:rPr>
          <w:b/>
          <w:bCs/>
          <w:u w:val="single"/>
        </w:rPr>
        <w:t xml:space="preserve">Juniper Exploration </w:t>
      </w:r>
      <w:r>
        <w:rPr/>
        <w:t xml:space="preserve">   -  </w:t>
      </w:r>
      <w:r>
        <w:rPr>
          <w:b/>
          <w:bCs/>
        </w:rPr>
        <w:t xml:space="preserve">EA  </w:t>
      </w:r>
      <w:r>
        <w:rPr/>
        <w:t>(Limited Partnership)   JEDI II &amp; Balance Sheet    (Net #’s)</w:t>
      </w:r>
    </w:p>
    <w:p>
      <w:pPr>
        <w:pStyle w:val="Normal"/>
        <w:numPr>
          <w:ilvl w:val="0"/>
          <w:numId w:val="4"/>
        </w:numPr>
        <w:tabs>
          <w:tab w:val="clear" w:pos="720"/>
          <w:tab w:val="left" w:pos="0" w:leader="none"/>
        </w:tabs>
        <w:spacing w:lineRule="atLeast" w:line="240"/>
        <w:ind w:hanging="720" w:start="720" w:end="0"/>
        <w:jc w:val="both"/>
        <w:rPr>
          <w:color w:val="000000"/>
        </w:rPr>
      </w:pPr>
      <w:r>
        <w:rPr>
          <w:rFonts w:eastAsia="Tms Rmn" w:cs="Tms Rmn" w:ascii="Tms Rmn" w:hAnsi="Tms Rmn"/>
          <w:color w:val="000000"/>
        </w:rPr>
        <w:t>Approval was granted by the EA Commercial team for Juniper to make bids on three offshore blocks at the Gulf of Mexico Lease Sale that was held this past week in New Orleans.  Juniper has solicited and is expecting to receive offers from privately held companies, Samedan and Nexen in early April, for sale of existing PDP reserves.  A sale will determine whether payout of the partnership has been reached, which is defined as the amount required to provide Enron an effective ROR of 25%.  The results of the sale process, will largely determine whether to extend the partnership for an additional year in May-2001.</w:t>
      </w:r>
      <w:r>
        <w:rPr>
          <w:rFonts w:eastAsia="Tms Rmn" w:cs="Tms Rmn" w:ascii="Tms Rmn" w:hAnsi="Tms Rmn"/>
          <w:b/>
          <w:bCs/>
          <w:color w:val="000000"/>
        </w:rPr>
        <w:t xml:space="preserve"> </w:t>
      </w:r>
    </w:p>
    <w:p>
      <w:pPr>
        <w:pStyle w:val="Normal"/>
        <w:numPr>
          <w:ilvl w:val="0"/>
          <w:numId w:val="0"/>
        </w:numPr>
        <w:spacing w:lineRule="atLeast" w:line="240"/>
        <w:ind w:hanging="0" w:start="0" w:end="0"/>
        <w:jc w:val="both"/>
        <w:rPr/>
      </w:pPr>
      <w:r>
        <w:rPr>
          <w:b/>
          <w:bCs/>
        </w:rPr>
        <w:t>Cost:  $18.491 MM     Market Value:  $23.560 MM     Carry Value:   *   $21.605 MM</w:t>
      </w:r>
      <w:r>
        <w:rPr>
          <w:color w:val="000000"/>
        </w:rPr>
        <w:t xml:space="preserve"> </w:t>
      </w:r>
    </w:p>
    <w:p>
      <w:pPr>
        <w:pStyle w:val="Normal"/>
        <w:numPr>
          <w:ilvl w:val="0"/>
          <w:numId w:val="0"/>
        </w:numPr>
        <w:ind w:hanging="0" w:start="0" w:end="0"/>
        <w:jc w:val="both"/>
        <w:rPr>
          <w:b/>
          <w:bCs/>
          <w:color w:val="FF0000"/>
          <w:u w:val="single"/>
        </w:rPr>
      </w:pPr>
      <w:r>
        <w:rPr>
          <w:color w:val="000000"/>
        </w:rPr>
        <w:t>*  Asset has been hedged through “Raptor”.</w:t>
      </w:r>
    </w:p>
    <w:p>
      <w:pPr>
        <w:pStyle w:val="Heading3"/>
        <w:numPr>
          <w:ilvl w:val="0"/>
          <w:numId w:val="0"/>
        </w:numPr>
        <w:ind w:hanging="0" w:start="0"/>
        <w:rPr>
          <w:b/>
          <w:bCs/>
          <w:color w:val="FF0000"/>
          <w:u w:val="single"/>
        </w:rPr>
      </w:pPr>
      <w:r>
        <w:rPr>
          <w:b/>
          <w:bCs/>
          <w:color w:val="FF0000"/>
          <w:u w:val="single"/>
        </w:rPr>
      </w:r>
    </w:p>
    <w:p>
      <w:pPr>
        <w:pStyle w:val="Heading3"/>
        <w:numPr>
          <w:ilvl w:val="0"/>
          <w:numId w:val="0"/>
        </w:numPr>
        <w:ind w:hanging="0" w:start="0"/>
        <w:rPr/>
      </w:pPr>
      <w:r>
        <w:rPr>
          <w:b/>
          <w:bCs/>
        </w:rPr>
        <w:t>Jupiter Holdings, LLC</w:t>
      </w:r>
      <w:r>
        <w:rPr>
          <w:u w:val="none"/>
        </w:rPr>
        <w:t xml:space="preserve">   -  </w:t>
      </w:r>
      <w:r>
        <w:rPr>
          <w:b/>
          <w:bCs/>
          <w:u w:val="none"/>
        </w:rPr>
        <w:t xml:space="preserve">EGM </w:t>
      </w:r>
      <w:r>
        <w:rPr>
          <w:u w:val="none"/>
        </w:rPr>
        <w:t xml:space="preserve"> (Term Loan &amp; IPC’s / Options)   JEDI II &amp; Balance Sheet   (Net #’s)</w:t>
      </w:r>
    </w:p>
    <w:p>
      <w:pPr>
        <w:pStyle w:val="Heading3"/>
        <w:numPr>
          <w:ilvl w:val="0"/>
          <w:numId w:val="4"/>
        </w:numPr>
        <w:tabs>
          <w:tab w:val="clear" w:pos="720"/>
          <w:tab w:val="left" w:pos="0" w:leader="none"/>
        </w:tabs>
        <w:ind w:hanging="720" w:start="720" w:end="0"/>
        <w:jc w:val="both"/>
        <w:rPr>
          <w:u w:val="none"/>
        </w:rPr>
      </w:pPr>
      <w:r>
        <w:rPr>
          <w:u w:val="none"/>
        </w:rPr>
        <w:t xml:space="preserve">As a result of a RAC audit, Jupiter repaid to Enron, $66,350 for equipment purchased for Jupiter, but that was being used at another location.   Jupiter has been instructed to tighten up contract language with all companies performing work at their site.  All contracts are to contain audit rights, insurance requirements, indemnity agreements, waivers of subrogation and proof of payments to subcontractors.  </w:t>
      </w:r>
    </w:p>
    <w:p>
      <w:pPr>
        <w:pStyle w:val="Heading3"/>
        <w:numPr>
          <w:ilvl w:val="0"/>
          <w:numId w:val="0"/>
        </w:numPr>
        <w:ind w:hanging="0" w:start="0" w:end="0"/>
        <w:jc w:val="both"/>
        <w:rPr>
          <w:u w:val="none"/>
        </w:rPr>
      </w:pPr>
      <w:r>
        <w:rPr>
          <w:b/>
          <w:bCs/>
          <w:u w:val="none"/>
        </w:rPr>
        <w:t>Cost:</w:t>
      </w:r>
      <w:r>
        <w:rPr>
          <w:u w:val="none"/>
        </w:rPr>
        <w:t xml:space="preserve">  </w:t>
      </w:r>
      <w:r>
        <w:rPr>
          <w:b/>
          <w:bCs/>
          <w:u w:val="none"/>
        </w:rPr>
        <w:t>$7.706 MM         Market Value:  $8.25 MM         Carry Value:  $4.079 MM</w:t>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pPr>
      <w:r>
        <w:rPr>
          <w:b/>
          <w:bCs/>
          <w:u w:val="single"/>
        </w:rPr>
        <w:t>Linder Energy LLC</w:t>
      </w:r>
      <w:r>
        <w:rPr/>
        <w:t xml:space="preserve">:   -  </w:t>
      </w:r>
      <w:r>
        <w:rPr>
          <w:b/>
          <w:bCs/>
        </w:rPr>
        <w:t xml:space="preserve">EA </w:t>
      </w:r>
      <w:r>
        <w:rPr/>
        <w:t xml:space="preserve"> (66.7% Membership Interest)   JEDI II &amp; Balance Sheet    (Net #’s)</w:t>
      </w:r>
    </w:p>
    <w:p>
      <w:pPr>
        <w:pStyle w:val="WW-BodyText24"/>
        <w:numPr>
          <w:ilvl w:val="0"/>
          <w:numId w:val="4"/>
        </w:numPr>
        <w:tabs>
          <w:tab w:val="clear" w:pos="720"/>
          <w:tab w:val="left" w:pos="0" w:leader="none"/>
        </w:tabs>
        <w:ind w:hanging="360" w:start="720" w:end="0"/>
        <w:rPr/>
      </w:pPr>
      <w:r>
        <w:rPr/>
        <w:t xml:space="preserve">Distributions to the LLC have been trending up, with approximately $1.092 MM received for the month ending Jan-31-2001.  This represents a 45.8% increase from the average monthly distribution of $748,000 that was received over the previous six months.  Distributions remain at 99% to EA / JEDI II, based on the “clawback” mechanism incorporated in the agreement.  The current sharing ratio will likely remain in effect following the next adjustment period at the end of March.  </w:t>
      </w:r>
    </w:p>
    <w:p>
      <w:pPr>
        <w:pStyle w:val="Heading9"/>
        <w:spacing w:lineRule="auto" w:line="240"/>
        <w:rPr/>
      </w:pPr>
      <w:r>
        <w:rPr/>
        <w:t>Cost:  $10.479 MM      Market Value:  $14.611 MM</w:t>
        <w:tab/>
        <w:t xml:space="preserve">  Carry Value:  $15.238 MM</w:t>
      </w:r>
    </w:p>
    <w:p>
      <w:pPr>
        <w:pStyle w:val="Heading3"/>
        <w:ind w:hanging="0" w:start="0"/>
        <w:rPr>
          <w:b/>
          <w:bCs/>
        </w:rPr>
      </w:pPr>
      <w:r>
        <w:rPr>
          <w:b/>
          <w:bCs/>
        </w:rPr>
      </w:r>
    </w:p>
    <w:p>
      <w:pPr>
        <w:pStyle w:val="Heading3"/>
        <w:ind w:hanging="0" w:start="0"/>
        <w:rPr/>
      </w:pPr>
      <w:r>
        <w:rPr>
          <w:b/>
          <w:bCs/>
        </w:rPr>
        <w:t>Mariner Energy</w:t>
      </w:r>
      <w:r>
        <w:rPr>
          <w:u w:val="none"/>
        </w:rPr>
        <w:t xml:space="preserve">  -  </w:t>
      </w:r>
      <w:r>
        <w:rPr>
          <w:b/>
          <w:bCs/>
          <w:u w:val="none"/>
        </w:rPr>
        <w:t xml:space="preserve">EA </w:t>
      </w:r>
      <w:r>
        <w:rPr>
          <w:u w:val="none"/>
        </w:rPr>
        <w:t xml:space="preserve"> (Private Equity &amp; Debt)    JEDI 1 &amp; Balance Sheet    (Gross #’s)  </w:t>
      </w:r>
    </w:p>
    <w:p>
      <w:pPr>
        <w:pStyle w:val="Normal"/>
        <w:numPr>
          <w:ilvl w:val="0"/>
          <w:numId w:val="5"/>
        </w:numPr>
        <w:tabs>
          <w:tab w:val="clear" w:pos="720"/>
          <w:tab w:val="left" w:pos="0" w:leader="none"/>
        </w:tabs>
        <w:ind w:hanging="720" w:start="720" w:end="0"/>
        <w:jc w:val="both"/>
        <w:rPr>
          <w:b/>
          <w:bCs/>
        </w:rPr>
      </w:pPr>
      <w:r>
        <w:rPr/>
        <w:t>Reported full-year 2000 results on Mar-8-2001.  For the year net income was $21.9 MM, the highest in Company history, vs. a net loss of $10.0 MM for 1999.  Revenue in 2000 was $121.2 MM, vs. $54.5 MM in 1999.   EBITDA came in at $89.6 MM vs. $35.6 MM in 1999.  Production for 2001 is expected to be level with or slightly higher than year 2000's average rate of 99 MMCF/ day.  The Company was                    the high bidder on three of the four blocks on which it submitted bids in the Central Gulf of Mexico Oil and Gas Lease Sale 178 held on Mar-28</w:t>
      </w:r>
      <w:r>
        <w:rPr>
          <w:vertAlign w:val="superscript"/>
        </w:rPr>
        <w:t xml:space="preserve">th </w:t>
      </w:r>
      <w:r>
        <w:rPr/>
        <w:t>in New Orleans.   The EA Commercial group continues to examine the best method to exit the investment.  The IPO effort is on hold for now.</w:t>
      </w:r>
    </w:p>
    <w:p>
      <w:pPr>
        <w:pStyle w:val="Normal"/>
        <w:ind w:firstLine="360" w:end="0"/>
        <w:jc w:val="both"/>
        <w:rPr/>
      </w:pPr>
      <w:r>
        <w:rPr>
          <w:b/>
          <w:bCs/>
          <w:color w:val="000000"/>
        </w:rPr>
        <w:t>Cost</w:t>
      </w:r>
      <w:r>
        <w:rPr>
          <w:b/>
          <w:bCs/>
          <w:i/>
          <w:iCs/>
          <w:color w:val="000000"/>
        </w:rPr>
        <w:t>:</w:t>
      </w:r>
      <w:r>
        <w:rPr>
          <w:b/>
          <w:bCs/>
          <w:i/>
          <w:iCs/>
        </w:rPr>
        <w:t xml:space="preserve"> </w:t>
      </w:r>
      <w:r>
        <w:rPr>
          <w:b/>
          <w:bCs/>
        </w:rPr>
        <w:t xml:space="preserve">   $246.847 MM      Market Value:  $502.880 MM     Carry Value:  $510.530 MM </w:t>
      </w:r>
    </w:p>
    <w:p>
      <w:pPr>
        <w:pStyle w:val="Normal"/>
        <w:rPr>
          <w:b/>
          <w:bCs/>
          <w:u w:val="single"/>
        </w:rPr>
      </w:pPr>
      <w:r>
        <w:rPr>
          <w:b/>
          <w:bCs/>
          <w:u w:val="single"/>
        </w:rPr>
      </w:r>
    </w:p>
    <w:p>
      <w:pPr>
        <w:pStyle w:val="Normal"/>
        <w:rPr/>
      </w:pPr>
      <w:r>
        <w:rPr>
          <w:b/>
          <w:bCs/>
          <w:u w:val="single"/>
        </w:rPr>
        <w:t>Oconto Falls</w:t>
      </w:r>
      <w:r>
        <w:rPr>
          <w:b/>
          <w:bCs/>
        </w:rPr>
        <w:t xml:space="preserve">  -  EIM  </w:t>
      </w:r>
      <w:r>
        <w:rPr/>
        <w:t xml:space="preserve"> (Sub-Debt / Equity &amp; IPC’s)    Balance Sheet  (Net #’s)</w:t>
      </w:r>
      <w:r>
        <w:rPr>
          <w:color w:val="000000"/>
        </w:rPr>
        <w:t xml:space="preserve"> </w:t>
      </w:r>
    </w:p>
    <w:p>
      <w:pPr>
        <w:pStyle w:val="Normal"/>
        <w:numPr>
          <w:ilvl w:val="0"/>
          <w:numId w:val="6"/>
        </w:numPr>
        <w:tabs>
          <w:tab w:val="clear" w:pos="720"/>
          <w:tab w:val="left" w:pos="0" w:leader="none"/>
        </w:tabs>
        <w:spacing w:lineRule="atLeast" w:line="240"/>
        <w:ind w:hanging="720" w:start="720" w:end="0"/>
        <w:jc w:val="both"/>
        <w:rPr>
          <w:b/>
          <w:bCs/>
        </w:rPr>
      </w:pPr>
      <w:r>
        <w:rPr>
          <w:color w:val="000000"/>
        </w:rPr>
        <w:t xml:space="preserve">The Company continues to provide guidance that Enron will be taken out of its position.  Additional due diligence by the potential buyer (a private investor from the United Arab Emirates) has lowered the equity purchase price from $48 MM to $36 MM.  The EA Commercial team recently spoke with senior management at Oconto Falls and financial close is now thought likely in April.  Based on the executed M.O.U., the Enron CLO Trust #1 note will be taken out at par and the Income Participation Certificate will be re-purchased for $11 MM (current carry value of $4.105 MM).  </w:t>
      </w:r>
    </w:p>
    <w:p>
      <w:pPr>
        <w:pStyle w:val="Normal"/>
        <w:numPr>
          <w:ilvl w:val="0"/>
          <w:numId w:val="0"/>
        </w:numPr>
        <w:spacing w:lineRule="atLeast" w:line="240"/>
        <w:ind w:hanging="0" w:start="0" w:end="0"/>
        <w:jc w:val="both"/>
        <w:rPr>
          <w:b/>
          <w:bCs/>
        </w:rPr>
      </w:pPr>
      <w:r>
        <w:rPr>
          <w:b/>
          <w:bCs/>
        </w:rPr>
        <w:t>Cost:  $ 5.000 MM       Market Value:  $4.104 MM   Carry Value:     * $  4.105 MM</w:t>
      </w:r>
    </w:p>
    <w:p>
      <w:pPr>
        <w:pStyle w:val="Normal"/>
        <w:numPr>
          <w:ilvl w:val="0"/>
          <w:numId w:val="0"/>
        </w:numPr>
        <w:tabs>
          <w:tab w:val="clear" w:pos="720"/>
          <w:tab w:val="left" w:pos="360" w:leader="none"/>
        </w:tabs>
        <w:ind w:hanging="0" w:start="360" w:end="0"/>
        <w:jc w:val="both"/>
        <w:rPr/>
      </w:pPr>
      <w:r>
        <w:rPr>
          <w:b/>
          <w:bCs/>
        </w:rPr>
        <w:t xml:space="preserve">                                  </w:t>
      </w:r>
      <w:r>
        <w:rPr>
          <w:b/>
          <w:bCs/>
        </w:rPr>
        <w:t xml:space="preserve">(Transfer to EA CLO Trust #1)                                </w:t>
      </w:r>
      <w:r>
        <w:rPr>
          <w:b/>
          <w:bCs/>
          <w:color w:val="000000"/>
        </w:rPr>
        <w:t>$  5.000 MM</w:t>
      </w:r>
    </w:p>
    <w:p>
      <w:pPr>
        <w:pStyle w:val="Normal"/>
        <w:numPr>
          <w:ilvl w:val="0"/>
          <w:numId w:val="0"/>
        </w:numPr>
        <w:ind w:hanging="0" w:start="0"/>
        <w:jc w:val="both"/>
        <w:rPr>
          <w:position w:val="-2"/>
        </w:rPr>
      </w:pPr>
      <w:r>
        <w:rPr>
          <w:position w:val="-2"/>
        </w:rPr>
        <w:t xml:space="preserve">      </w:t>
      </w:r>
      <w:r>
        <w:rPr>
          <w:position w:val="-2"/>
        </w:rPr>
        <w:t>*Asset has been hedged through “Raptor.”</w:t>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jc w:val="both"/>
        <w:rPr/>
      </w:pPr>
      <w:r>
        <w:rPr/>
        <w:t>T</w:t>
      </w:r>
      <w:r>
        <w:rPr>
          <w:b/>
          <w:bCs/>
          <w:position w:val="-2"/>
        </w:rPr>
        <w:t xml:space="preserve">ROUBLED </w:t>
      </w:r>
      <w:r>
        <w:rPr/>
        <w:t xml:space="preserve"> – Assets for which the returns are considerably less than originally projected and / or    liquidation in full of the position is questionable.</w:t>
      </w:r>
    </w:p>
    <w:p>
      <w:pPr>
        <w:pStyle w:val="Normal"/>
        <w:jc w:val="both"/>
        <w:rPr/>
      </w:pPr>
      <w:r>
        <w:rPr/>
      </w:r>
    </w:p>
    <w:p>
      <w:pPr>
        <w:pStyle w:val="Normal"/>
        <w:jc w:val="both"/>
        <w:rPr/>
      </w:pPr>
      <w:r>
        <w:rPr/>
      </w:r>
    </w:p>
    <w:p>
      <w:pPr>
        <w:pStyle w:val="Normal"/>
        <w:rPr/>
      </w:pPr>
      <w:r>
        <w:rPr>
          <w:b/>
          <w:bCs/>
          <w:u w:val="single"/>
        </w:rPr>
        <w:t xml:space="preserve">Alpine Natural Gas </w:t>
      </w:r>
      <w:r>
        <w:rPr>
          <w:b/>
          <w:bCs/>
        </w:rPr>
        <w:t xml:space="preserve">-  EA   </w:t>
      </w:r>
      <w:r>
        <w:rPr/>
        <w:t xml:space="preserve">(Private Equity )  Balance Sheet  (Net #’s)  </w:t>
      </w:r>
    </w:p>
    <w:p>
      <w:pPr>
        <w:pStyle w:val="FootnoteText"/>
        <w:numPr>
          <w:ilvl w:val="0"/>
          <w:numId w:val="7"/>
        </w:numPr>
        <w:tabs>
          <w:tab w:val="clear" w:pos="720"/>
          <w:tab w:val="left" w:pos="0" w:leader="none"/>
        </w:tabs>
        <w:ind w:hanging="720" w:start="720" w:end="0"/>
        <w:jc w:val="both"/>
        <w:rPr>
          <w:b/>
          <w:bCs/>
        </w:rPr>
      </w:pPr>
      <w:r>
        <w:rPr>
          <w:b/>
          <w:bCs/>
          <w:color w:val="FF0000"/>
        </w:rPr>
        <w:t>MOVED FROM WATCH</w:t>
      </w:r>
      <w:r>
        <w:rPr>
          <w:i/>
          <w:iCs/>
        </w:rPr>
        <w:t xml:space="preserve">.  </w:t>
      </w:r>
      <w:r>
        <w:rPr/>
        <w:t xml:space="preserve">The Company is involved in a $400K billing dispute with a construction contractor that will be scheduled for arbitration.  Alpine continues to experience negative margins due to their commodity procurement costs vs., the rates they can charge their customers.  Absent some form of third party capital infusion, continued economic viability is doubtful.  The asset has recently been assigned to the EA Special Assets group. </w:t>
      </w:r>
    </w:p>
    <w:p>
      <w:pPr>
        <w:pStyle w:val="FootnoteText"/>
        <w:numPr>
          <w:ilvl w:val="0"/>
          <w:numId w:val="0"/>
        </w:numPr>
        <w:tabs>
          <w:tab w:val="clear" w:pos="720"/>
          <w:tab w:val="left" w:pos="360" w:leader="none"/>
        </w:tabs>
        <w:ind w:hanging="0" w:start="0"/>
        <w:jc w:val="both"/>
        <w:rPr/>
      </w:pPr>
      <w:r>
        <w:rPr>
          <w:i/>
          <w:iCs/>
        </w:rPr>
        <w:tab/>
      </w:r>
      <w:r>
        <w:rPr>
          <w:b/>
          <w:bCs/>
        </w:rPr>
        <w:t xml:space="preserve">Cost:  $2.950 MM   Market Value: $2.948 MM    Carry Value:  $2.948 MM </w:t>
      </w:r>
    </w:p>
    <w:p>
      <w:pPr>
        <w:pStyle w:val="Normal"/>
        <w:numPr>
          <w:ilvl w:val="0"/>
          <w:numId w:val="0"/>
        </w:numPr>
        <w:ind w:hanging="0" w:start="0"/>
        <w:jc w:val="both"/>
        <w:rPr>
          <w:b/>
          <w:bCs/>
        </w:rPr>
      </w:pPr>
      <w:r>
        <w:rPr>
          <w:b/>
          <w:bCs/>
        </w:rPr>
      </w:r>
    </w:p>
    <w:p>
      <w:pPr>
        <w:pStyle w:val="Normal"/>
        <w:numPr>
          <w:ilvl w:val="0"/>
          <w:numId w:val="0"/>
        </w:numPr>
        <w:ind w:hanging="0" w:start="0"/>
        <w:rPr/>
      </w:pPr>
      <w:r>
        <w:rPr>
          <w:b/>
          <w:bCs/>
          <w:u w:val="single"/>
        </w:rPr>
        <w:t>Catalytica Energy Systems, Inc.</w:t>
      </w:r>
      <w:r>
        <w:rPr>
          <w:b/>
          <w:bCs/>
        </w:rPr>
        <w:t xml:space="preserve"> </w:t>
      </w:r>
      <w:r>
        <w:rPr/>
        <w:t xml:space="preserve"> (Public Equity)  Balance Sheet  (Net #’s)  </w:t>
      </w:r>
    </w:p>
    <w:p>
      <w:pPr>
        <w:pStyle w:val="Normal"/>
        <w:numPr>
          <w:ilvl w:val="0"/>
          <w:numId w:val="0"/>
        </w:numPr>
        <w:spacing w:lineRule="atLeast" w:line="240"/>
        <w:ind w:hanging="0" w:start="360" w:end="0"/>
        <w:jc w:val="both"/>
        <w:rPr/>
      </w:pPr>
      <w:r>
        <w:rPr>
          <w:b/>
          <w:bCs/>
          <w:color w:val="FF0000"/>
        </w:rPr>
        <w:t>MOVED FROM WATCH</w:t>
      </w:r>
      <w:r>
        <w:rPr>
          <w:i/>
          <w:iCs/>
        </w:rPr>
        <w:t xml:space="preserve">.  </w:t>
      </w:r>
      <w:r>
        <w:rPr>
          <w:rFonts w:eastAsia="Times" w:cs="Times" w:ascii="Times" w:hAnsi="Times"/>
          <w:color w:val="000000"/>
        </w:rPr>
        <w:t xml:space="preserve">The EA Special Assets group are examining exit strategies for divesting the asset, with liquidation planned prior to the end of Q-3-2001.  The shares may be liquidated through a “bought deal” to a qualified institutional buyer or the shares could be registered and liquidated through retail channels.  </w:t>
      </w:r>
      <w:r>
        <w:rPr>
          <w:color w:val="000000"/>
        </w:rPr>
        <w:t xml:space="preserve">Enron will likely suffer a liquidity discount to the market price regardless of the method chosen.  </w:t>
      </w:r>
      <w:r>
        <w:rPr>
          <w:rFonts w:eastAsia="Times" w:cs="Times" w:ascii="Times" w:hAnsi="Times"/>
          <w:color w:val="000000"/>
        </w:rPr>
        <w:t>The Company</w:t>
      </w:r>
      <w:r>
        <w:rPr/>
        <w:t xml:space="preserve"> was recently spun off from its parent Catalytica Combustion  Systems, Inc., and is currently traded on the NASDAQ National Market under the ticker symbol “CESI.”   The IRR on the investment, assuming an exit at the current screen price, would be a (16.9)%  </w:t>
      </w:r>
    </w:p>
    <w:p>
      <w:pPr>
        <w:pStyle w:val="Heading3"/>
        <w:numPr>
          <w:ilvl w:val="0"/>
          <w:numId w:val="0"/>
        </w:numPr>
        <w:ind w:hanging="0" w:start="0" w:end="0"/>
        <w:jc w:val="both"/>
        <w:rPr/>
      </w:pPr>
      <w:r>
        <w:rPr>
          <w:b/>
          <w:bCs/>
          <w:u w:val="none"/>
        </w:rPr>
        <w:t xml:space="preserve">Cost:   $60.00 MM       Market Value:  $24.107 MM   Carry Value:    * $23.1 MM   </w:t>
      </w:r>
    </w:p>
    <w:p>
      <w:pPr>
        <w:pStyle w:val="Normal"/>
        <w:numPr>
          <w:ilvl w:val="0"/>
          <w:numId w:val="0"/>
        </w:numPr>
        <w:ind w:hanging="0" w:start="0"/>
        <w:jc w:val="both"/>
        <w:rPr>
          <w:position w:val="-2"/>
        </w:rPr>
      </w:pPr>
      <w:r>
        <w:rPr>
          <w:position w:val="-2"/>
        </w:rPr>
        <w:t xml:space="preserve">      </w:t>
      </w:r>
      <w:r>
        <w:rPr>
          <w:position w:val="-2"/>
        </w:rPr>
        <w:t>*Asset has been hedged through “Raptor.”</w:t>
      </w:r>
    </w:p>
    <w:p>
      <w:pPr>
        <w:pStyle w:val="Normal"/>
        <w:numPr>
          <w:ilvl w:val="0"/>
          <w:numId w:val="0"/>
        </w:numPr>
        <w:ind w:hanging="0" w:start="0"/>
        <w:jc w:val="both"/>
        <w:rPr>
          <w:position w:val="-2"/>
        </w:rPr>
      </w:pPr>
      <w:r>
        <w:rPr>
          <w:position w:val="-2"/>
        </w:rPr>
      </w:r>
    </w:p>
    <w:p>
      <w:pPr>
        <w:pStyle w:val="Heading3"/>
        <w:numPr>
          <w:ilvl w:val="0"/>
          <w:numId w:val="0"/>
        </w:numPr>
        <w:ind w:hanging="0" w:start="0"/>
        <w:rPr/>
      </w:pPr>
      <w:r>
        <w:rPr>
          <w:b/>
          <w:bCs/>
        </w:rPr>
        <w:t>ChemConnect</w:t>
      </w:r>
      <w:r>
        <w:rPr>
          <w:b/>
          <w:bCs/>
          <w:u w:val="none"/>
        </w:rPr>
        <w:t xml:space="preserve">  -  ENW</w:t>
      </w:r>
      <w:r>
        <w:rPr>
          <w:u w:val="none"/>
        </w:rPr>
        <w:t xml:space="preserve">   (Private Equity – Preferred Stock) Balance Sheet   (Net #’s)</w:t>
      </w:r>
    </w:p>
    <w:p>
      <w:pPr>
        <w:pStyle w:val="Heading3"/>
        <w:numPr>
          <w:ilvl w:val="0"/>
          <w:numId w:val="7"/>
        </w:numPr>
        <w:tabs>
          <w:tab w:val="clear" w:pos="720"/>
          <w:tab w:val="left" w:pos="0" w:leader="none"/>
        </w:tabs>
        <w:ind w:hanging="720" w:start="720" w:end="0"/>
        <w:jc w:val="both"/>
        <w:rPr>
          <w:b/>
          <w:bCs/>
          <w:u w:val="none"/>
        </w:rPr>
      </w:pPr>
      <w:r>
        <w:rPr>
          <w:b/>
          <w:bCs/>
          <w:color w:val="FF0000"/>
          <w:u w:val="none"/>
        </w:rPr>
        <w:t xml:space="preserve">MOVED FROM WATCH.  </w:t>
      </w:r>
      <w:r>
        <w:rPr>
          <w:u w:val="none"/>
        </w:rPr>
        <w:t xml:space="preserve">No major news since the last report.  The Company continues to try to raise capital.  </w:t>
      </w:r>
    </w:p>
    <w:p>
      <w:pPr>
        <w:pStyle w:val="Heading3"/>
        <w:numPr>
          <w:ilvl w:val="0"/>
          <w:numId w:val="0"/>
        </w:numPr>
        <w:tabs>
          <w:tab w:val="clear" w:pos="720"/>
          <w:tab w:val="left" w:pos="360" w:leader="none"/>
        </w:tabs>
        <w:ind w:hanging="0" w:start="0"/>
        <w:rPr>
          <w:b/>
          <w:bCs/>
          <w:u w:val="none"/>
        </w:rPr>
      </w:pPr>
      <w:r>
        <w:rPr>
          <w:b/>
          <w:bCs/>
          <w:u w:val="none"/>
        </w:rPr>
        <w:tab/>
        <w:t>Cost:  $2.00 MM       Market Value:  $0.00 MM       Carry Value:  $0.00 MM</w:t>
      </w:r>
    </w:p>
    <w:p>
      <w:pPr>
        <w:pStyle w:val="Normal"/>
        <w:numPr>
          <w:ilvl w:val="0"/>
          <w:numId w:val="0"/>
        </w:numPr>
        <w:ind w:hanging="0" w:start="0"/>
        <w:jc w:val="both"/>
        <w:rPr>
          <w:b/>
          <w:bCs/>
          <w:u w:val="none"/>
        </w:rPr>
      </w:pPr>
      <w:r>
        <w:rPr>
          <w:b/>
          <w:bCs/>
          <w:u w:val="none"/>
        </w:rPr>
      </w:r>
    </w:p>
    <w:p>
      <w:pPr>
        <w:pStyle w:val="Normal"/>
        <w:numPr>
          <w:ilvl w:val="0"/>
          <w:numId w:val="0"/>
        </w:numPr>
        <w:ind w:hanging="0" w:start="0"/>
        <w:rPr/>
      </w:pPr>
      <w:r>
        <w:rPr>
          <w:b/>
          <w:bCs/>
          <w:u w:val="single"/>
        </w:rPr>
        <w:t>City Forest Corp.</w:t>
      </w:r>
      <w:r>
        <w:rPr>
          <w:b/>
          <w:bCs/>
        </w:rPr>
        <w:t xml:space="preserve">  -  EA    </w:t>
      </w:r>
      <w:r>
        <w:rPr/>
        <w:t>(Senior / Sub Loans, with IP’s) Balance Sheet &amp; ENA CLO Trust #1 (Net #’s)</w:t>
      </w:r>
    </w:p>
    <w:p>
      <w:pPr>
        <w:pStyle w:val="Normal"/>
        <w:numPr>
          <w:ilvl w:val="0"/>
          <w:numId w:val="7"/>
        </w:numPr>
        <w:tabs>
          <w:tab w:val="clear" w:pos="720"/>
          <w:tab w:val="left" w:pos="0" w:leader="none"/>
        </w:tabs>
        <w:spacing w:lineRule="atLeast" w:line="240"/>
        <w:ind w:hanging="720" w:start="720" w:end="0"/>
        <w:jc w:val="both"/>
        <w:rPr>
          <w:b/>
          <w:bCs/>
        </w:rPr>
      </w:pPr>
      <w:r>
        <w:rPr/>
        <w:t>Payment default continues, with the EA Special Assets group currently anticipating a completed financial restructuring by May-31</w:t>
      </w:r>
      <w:r>
        <w:rPr>
          <w:vertAlign w:val="superscript"/>
        </w:rPr>
        <w:t>st</w:t>
      </w:r>
      <w:r>
        <w:rPr/>
        <w:t xml:space="preserve">.  Principal and interest payment shortfalls occurred on Mar-1 and will occur on Sept-1-2001.  A term sheet was sent to the Company proposing a plan whereby the payment deficiencies would be repaid in full no later than Mar-1-2002, with incentives incorporated to encourage earlier payoff.  Operationally, the Company continues to meet production forecasts, but margins remain very thin.  Full year 2001 EBITDA is projected to barely cover interest expense.    </w:t>
      </w:r>
      <w:r>
        <w:rPr>
          <w:color w:val="000000"/>
        </w:rPr>
        <w:t xml:space="preserve"> </w:t>
      </w:r>
      <w:r>
        <w:rPr/>
        <w:t xml:space="preserve"> </w:t>
      </w:r>
    </w:p>
    <w:p>
      <w:pPr>
        <w:pStyle w:val="Heading9"/>
        <w:numPr>
          <w:ilvl w:val="0"/>
          <w:numId w:val="0"/>
        </w:numPr>
        <w:ind w:hanging="0" w:start="0"/>
        <w:rPr/>
      </w:pPr>
      <w:r>
        <w:rPr/>
        <w:t>Cost:  $1.663 MM     Market Value:  $2.319 MM         Carry Value: * $  2.318 MM</w:t>
      </w:r>
    </w:p>
    <w:p>
      <w:pPr>
        <w:pStyle w:val="Normal"/>
        <w:numPr>
          <w:ilvl w:val="0"/>
          <w:numId w:val="0"/>
        </w:numPr>
        <w:ind w:hanging="0" w:start="0"/>
        <w:rPr/>
      </w:pPr>
      <w:r>
        <w:rPr/>
        <w:tab/>
        <w:tab/>
        <w:tab/>
      </w:r>
      <w:r>
        <w:rPr>
          <w:b/>
          <w:bCs/>
        </w:rPr>
        <w:t xml:space="preserve">(Transfer to EA CLO #I)                                        </w:t>
      </w:r>
      <w:r>
        <w:rPr>
          <w:b/>
          <w:bCs/>
          <w:color w:val="000000"/>
        </w:rPr>
        <w:t>$29.610 MM</w:t>
      </w:r>
    </w:p>
    <w:p>
      <w:pPr>
        <w:pStyle w:val="Header"/>
        <w:numPr>
          <w:ilvl w:val="0"/>
          <w:numId w:val="0"/>
        </w:numPr>
        <w:tabs>
          <w:tab w:val="clear" w:pos="4320"/>
          <w:tab w:val="clear" w:pos="8640"/>
        </w:tabs>
        <w:ind w:hanging="0" w:start="0"/>
        <w:rPr/>
      </w:pPr>
      <w:r>
        <w:rPr/>
        <w:t xml:space="preserve">      </w:t>
      </w:r>
      <w:r>
        <w:rPr/>
        <w:t>* $1.663 MM of Carry Value is hedged through “Raptor”</w:t>
      </w:r>
    </w:p>
    <w:p>
      <w:pPr>
        <w:pStyle w:val="Normal"/>
        <w:numPr>
          <w:ilvl w:val="0"/>
          <w:numId w:val="0"/>
        </w:numPr>
        <w:ind w:hanging="0" w:start="360" w:end="0"/>
        <w:jc w:val="both"/>
        <w:rPr>
          <w:i/>
          <w:i/>
          <w:iCs/>
          <w:color w:val="000000"/>
        </w:rPr>
      </w:pPr>
      <w:r>
        <w:rPr>
          <w:i/>
          <w:iCs/>
          <w:color w:val="000000"/>
        </w:rPr>
      </w:r>
    </w:p>
    <w:p>
      <w:pPr>
        <w:pStyle w:val="Normal"/>
        <w:numPr>
          <w:ilvl w:val="0"/>
          <w:numId w:val="0"/>
        </w:numPr>
        <w:ind w:hanging="0" w:start="0"/>
        <w:rPr>
          <w:b/>
          <w:bCs/>
          <w:i/>
          <w:i/>
          <w:iCs/>
        </w:rPr>
      </w:pPr>
      <w:r>
        <w:rPr>
          <w:b/>
          <w:bCs/>
          <w:u w:val="single"/>
        </w:rPr>
        <w:t>EnSerCo Offshore</w:t>
      </w:r>
      <w:r>
        <w:rPr/>
        <w:t xml:space="preserve">   -  </w:t>
      </w:r>
      <w:r>
        <w:rPr>
          <w:b/>
          <w:bCs/>
        </w:rPr>
        <w:t xml:space="preserve">EA </w:t>
      </w:r>
      <w:r>
        <w:rPr/>
        <w:t xml:space="preserve"> (formerly NorAm)     (Senior Term Loan)  EnSerCo   (Net #’s)</w:t>
      </w:r>
    </w:p>
    <w:p>
      <w:pPr>
        <w:pStyle w:val="Normal"/>
        <w:numPr>
          <w:ilvl w:val="0"/>
          <w:numId w:val="7"/>
        </w:numPr>
        <w:tabs>
          <w:tab w:val="clear" w:pos="720"/>
          <w:tab w:val="left" w:pos="0" w:leader="none"/>
        </w:tabs>
        <w:ind w:hanging="720" w:start="810" w:end="0"/>
        <w:jc w:val="both"/>
        <w:rPr>
          <w:b/>
          <w:bCs/>
        </w:rPr>
      </w:pPr>
      <w:r>
        <w:rPr/>
        <w:t>Enserco has received a bid to sell the rig to a Partnership group made up of SCF Partners, Steven Webster of Global Energy Partners, Bassoe Offshore and Energy Equipment Resources.  The bid amount is $9 MM less broker fees of $0.225 MM and financial closure is scheduled for Apr-10</w:t>
      </w:r>
      <w:r>
        <w:rPr>
          <w:vertAlign w:val="superscript"/>
        </w:rPr>
        <w:t>th</w:t>
      </w:r>
      <w:r>
        <w:rPr/>
        <w:t>.  The window from the time the binding agreement was signed (mid-March) until financial closure was necessary to allow a three-week capital call for SCF Partners.  Enron also continues to legally pursue the personal guarantee that was provided by the main principal of Noram.</w:t>
      </w:r>
    </w:p>
    <w:p>
      <w:pPr>
        <w:pStyle w:val="Normal"/>
        <w:numPr>
          <w:ilvl w:val="0"/>
          <w:numId w:val="0"/>
        </w:numPr>
        <w:tabs>
          <w:tab w:val="clear" w:pos="720"/>
          <w:tab w:val="left" w:pos="360" w:leader="none"/>
        </w:tabs>
        <w:ind w:hanging="0" w:start="360" w:end="0"/>
        <w:jc w:val="both"/>
        <w:rPr>
          <w:b/>
          <w:bCs/>
          <w:u w:val="single"/>
        </w:rPr>
      </w:pPr>
      <w:r>
        <w:rPr>
          <w:b/>
          <w:bCs/>
        </w:rPr>
        <w:t xml:space="preserve"> </w:t>
      </w:r>
      <w:r>
        <w:rPr>
          <w:b/>
          <w:bCs/>
        </w:rPr>
        <w:t xml:space="preserve">Cost: </w:t>
      </w:r>
      <w:r>
        <w:rPr/>
        <w:t xml:space="preserve"> </w:t>
      </w:r>
      <w:r>
        <w:rPr>
          <w:b/>
          <w:bCs/>
        </w:rPr>
        <w:t>$5.186 MM       Market Value:  $5.164 MM      Carry Value:  $5.186 MM</w:t>
      </w:r>
    </w:p>
    <w:p>
      <w:pPr>
        <w:pStyle w:val="Normal"/>
        <w:numPr>
          <w:ilvl w:val="0"/>
          <w:numId w:val="0"/>
        </w:numPr>
        <w:ind w:hanging="0" w:start="0"/>
        <w:rPr>
          <w:b/>
          <w:bCs/>
          <w:u w:val="single"/>
        </w:rPr>
      </w:pPr>
      <w:r>
        <w:rPr>
          <w:b/>
          <w:bCs/>
          <w:u w:val="single"/>
        </w:rPr>
      </w:r>
    </w:p>
    <w:p>
      <w:pPr>
        <w:pStyle w:val="Normal"/>
        <w:numPr>
          <w:ilvl w:val="0"/>
          <w:numId w:val="0"/>
        </w:numPr>
        <w:ind w:hanging="0" w:start="0"/>
        <w:jc w:val="both"/>
        <w:rPr/>
      </w:pPr>
      <w:r>
        <w:rPr>
          <w:b/>
          <w:bCs/>
          <w:u w:val="single"/>
        </w:rPr>
        <w:t>Impresse Corporation</w:t>
      </w:r>
      <w:r>
        <w:rPr/>
        <w:t xml:space="preserve">   -  </w:t>
      </w:r>
      <w:r>
        <w:rPr>
          <w:b/>
          <w:bCs/>
        </w:rPr>
        <w:t xml:space="preserve">ENW  </w:t>
      </w:r>
      <w:r>
        <w:rPr/>
        <w:t>(Preferred Stock &amp; Warrants) Balance Sheet    (Net #’s)</w:t>
      </w:r>
    </w:p>
    <w:p>
      <w:pPr>
        <w:pStyle w:val="Normal"/>
        <w:numPr>
          <w:ilvl w:val="0"/>
          <w:numId w:val="7"/>
        </w:numPr>
        <w:tabs>
          <w:tab w:val="clear" w:pos="720"/>
          <w:tab w:val="left" w:pos="0" w:leader="none"/>
        </w:tabs>
        <w:ind w:hanging="720" w:start="720" w:end="0"/>
        <w:jc w:val="both"/>
        <w:rPr/>
      </w:pPr>
      <w:r>
        <w:rPr>
          <w:b/>
          <w:bCs/>
          <w:color w:val="FF0000"/>
        </w:rPr>
        <w:t>MOVED FROM WATCH</w:t>
      </w:r>
      <w:r>
        <w:rPr/>
        <w:t xml:space="preserve"> No major news since the last report.  The Company continues to try to raise capital.    </w:t>
      </w:r>
    </w:p>
    <w:p>
      <w:pPr>
        <w:pStyle w:val="Normal"/>
        <w:numPr>
          <w:ilvl w:val="0"/>
          <w:numId w:val="0"/>
        </w:numPr>
        <w:ind w:hanging="0" w:start="0" w:end="0"/>
        <w:jc w:val="both"/>
        <w:rPr/>
      </w:pPr>
      <w:r>
        <w:rPr>
          <w:b/>
          <w:bCs/>
        </w:rPr>
        <w:t>Cost:</w:t>
      </w:r>
      <w:r>
        <w:rPr/>
        <w:t xml:space="preserve">  </w:t>
      </w:r>
      <w:r>
        <w:rPr>
          <w:b/>
          <w:bCs/>
        </w:rPr>
        <w:t>$2.00 MM    Market Value:  $0.00 MM         Carry Value: $0.00 MM</w:t>
      </w:r>
    </w:p>
    <w:p>
      <w:pPr>
        <w:pStyle w:val="Normal"/>
        <w:numPr>
          <w:ilvl w:val="0"/>
          <w:numId w:val="0"/>
        </w:numPr>
        <w:ind w:hanging="0" w:start="0"/>
        <w:rPr/>
      </w:pPr>
      <w:r>
        <w:rPr/>
      </w:r>
    </w:p>
    <w:p>
      <w:pPr>
        <w:pStyle w:val="Normal"/>
        <w:numPr>
          <w:ilvl w:val="0"/>
          <w:numId w:val="0"/>
        </w:numPr>
        <w:ind w:hanging="0" w:start="0"/>
        <w:rPr/>
      </w:pPr>
      <w:r>
        <w:rPr/>
      </w:r>
    </w:p>
    <w:p>
      <w:pPr>
        <w:pStyle w:val="Normal"/>
        <w:rPr/>
      </w:pPr>
      <w:r>
        <w:rPr/>
        <w:t>T</w:t>
      </w:r>
      <w:r>
        <w:rPr>
          <w:b/>
          <w:bCs/>
          <w:position w:val="-2"/>
        </w:rPr>
        <w:t>ROUBLED</w:t>
      </w:r>
      <w:r>
        <w:rPr/>
        <w:t xml:space="preserve"> – </w:t>
      </w:r>
      <w:r>
        <w:rPr>
          <w:b/>
          <w:bCs/>
        </w:rPr>
        <w:t>(Continued)</w:t>
      </w:r>
    </w:p>
    <w:p>
      <w:pPr>
        <w:pStyle w:val="Normal"/>
        <w:rPr>
          <w:b/>
          <w:bCs/>
        </w:rPr>
      </w:pPr>
      <w:r>
        <w:rPr>
          <w:b/>
          <w:bCs/>
        </w:rPr>
      </w:r>
    </w:p>
    <w:p>
      <w:pPr>
        <w:pStyle w:val="Normal"/>
        <w:rPr/>
      </w:pPr>
      <w:r>
        <w:rPr/>
      </w:r>
    </w:p>
    <w:p>
      <w:pPr>
        <w:pStyle w:val="Normal"/>
        <w:tabs>
          <w:tab w:val="clear" w:pos="720"/>
          <w:tab w:val="left" w:pos="360" w:leader="none"/>
        </w:tabs>
        <w:jc w:val="both"/>
        <w:rPr/>
      </w:pPr>
      <w:r>
        <w:rPr>
          <w:b/>
          <w:bCs/>
          <w:u w:val="single"/>
        </w:rPr>
        <w:t>Industrial Holdings</w:t>
      </w:r>
      <w:r>
        <w:rPr/>
        <w:t xml:space="preserve">  -  </w:t>
      </w:r>
      <w:r>
        <w:rPr>
          <w:b/>
          <w:bCs/>
        </w:rPr>
        <w:t xml:space="preserve">EA  </w:t>
      </w:r>
      <w:r>
        <w:rPr/>
        <w:t xml:space="preserve"> (Term Loan)  EnSerCo  (Net #’s)</w:t>
      </w:r>
    </w:p>
    <w:p>
      <w:pPr>
        <w:pStyle w:val="Normal"/>
        <w:numPr>
          <w:ilvl w:val="0"/>
          <w:numId w:val="8"/>
        </w:numPr>
        <w:tabs>
          <w:tab w:val="clear" w:pos="720"/>
          <w:tab w:val="left" w:pos="0" w:leader="none"/>
        </w:tabs>
        <w:spacing w:lineRule="atLeast" w:line="240"/>
        <w:ind w:hanging="720" w:start="720" w:end="0"/>
        <w:jc w:val="both"/>
        <w:rPr>
          <w:b/>
          <w:bCs/>
        </w:rPr>
      </w:pPr>
      <w:r>
        <w:rPr>
          <w:color w:val="000000"/>
        </w:rPr>
        <w:t>The EA Special Assets group filed a request for a formal arbitration hearing on Mar-6-2001.  Industrial Holdings has until Monday, Apr-2</w:t>
      </w:r>
      <w:r>
        <w:rPr>
          <w:color w:val="000000"/>
          <w:vertAlign w:val="superscript"/>
        </w:rPr>
        <w:t>nd</w:t>
      </w:r>
      <w:r>
        <w:rPr>
          <w:color w:val="000000"/>
        </w:rPr>
        <w:t xml:space="preserve"> to respond.  The arbitration process is required in the loan documents.  The Company’s proposed re-capitalization has not proceeded as planned due to the sale of certain of their business units and the resignation of their CEO.  A bullet payment was due on the note in Nov-99, and the loan has remained in default since.  Recourse was limited due to the unsecured status of the note. </w:t>
      </w:r>
    </w:p>
    <w:p>
      <w:pPr>
        <w:pStyle w:val="Normal"/>
        <w:numPr>
          <w:ilvl w:val="0"/>
          <w:numId w:val="0"/>
        </w:numPr>
        <w:spacing w:lineRule="atLeast" w:line="240"/>
        <w:ind w:hanging="0" w:start="0"/>
        <w:jc w:val="both"/>
        <w:rPr>
          <w:b/>
          <w:bCs/>
        </w:rPr>
      </w:pPr>
      <w:r>
        <w:rPr>
          <w:color w:val="000000"/>
        </w:rPr>
        <w:t xml:space="preserve">    </w:t>
      </w:r>
      <w:r>
        <w:rPr>
          <w:b/>
          <w:bCs/>
          <w:color w:val="000000"/>
        </w:rPr>
        <w:t>C</w:t>
      </w:r>
      <w:r>
        <w:rPr>
          <w:b/>
          <w:bCs/>
        </w:rPr>
        <w:t xml:space="preserve">ost: </w:t>
      </w:r>
      <w:r>
        <w:rPr/>
        <w:t xml:space="preserve"> </w:t>
      </w:r>
      <w:r>
        <w:rPr>
          <w:b/>
          <w:bCs/>
        </w:rPr>
        <w:t>$7.5 MM     Market Value:  $7.122 MM     Carry Value: *  $7.122 MM</w:t>
      </w:r>
    </w:p>
    <w:p>
      <w:pPr>
        <w:pStyle w:val="Header"/>
        <w:numPr>
          <w:ilvl w:val="0"/>
          <w:numId w:val="0"/>
        </w:numPr>
        <w:tabs>
          <w:tab w:val="clear" w:pos="4320"/>
          <w:tab w:val="clear" w:pos="8640"/>
        </w:tabs>
        <w:ind w:hanging="0" w:start="0"/>
        <w:rPr>
          <w:color w:val="000000"/>
        </w:rPr>
      </w:pPr>
      <w:r>
        <w:rPr>
          <w:color w:val="000000"/>
        </w:rPr>
        <w:t xml:space="preserve">      </w:t>
      </w:r>
      <w:r>
        <w:rPr>
          <w:color w:val="000000"/>
        </w:rPr>
        <w:t>*Asset has been hedged through “Raptor.”</w:t>
      </w:r>
    </w:p>
    <w:p>
      <w:pPr>
        <w:pStyle w:val="Header"/>
        <w:numPr>
          <w:ilvl w:val="0"/>
          <w:numId w:val="0"/>
        </w:numPr>
        <w:tabs>
          <w:tab w:val="clear" w:pos="4320"/>
          <w:tab w:val="clear" w:pos="8640"/>
        </w:tabs>
        <w:ind w:hanging="0" w:start="0"/>
        <w:rPr>
          <w:color w:val="000000"/>
        </w:rPr>
      </w:pPr>
      <w:r>
        <w:rPr>
          <w:color w:val="000000"/>
        </w:rPr>
      </w:r>
    </w:p>
    <w:p>
      <w:pPr>
        <w:pStyle w:val="Heading3"/>
        <w:numPr>
          <w:ilvl w:val="0"/>
          <w:numId w:val="0"/>
        </w:numPr>
        <w:ind w:hanging="0" w:start="0"/>
        <w:rPr/>
      </w:pPr>
      <w:r>
        <w:rPr>
          <w:b/>
          <w:bCs/>
        </w:rPr>
        <w:t>Inland Resources</w:t>
      </w:r>
      <w:r>
        <w:rPr>
          <w:u w:val="none"/>
        </w:rPr>
        <w:t xml:space="preserve"> -  </w:t>
      </w:r>
      <w:r>
        <w:rPr>
          <w:b/>
          <w:bCs/>
          <w:u w:val="none"/>
        </w:rPr>
        <w:t xml:space="preserve">EA  </w:t>
      </w:r>
      <w:r>
        <w:rPr>
          <w:u w:val="none"/>
        </w:rPr>
        <w:t>(Cumulative Convertible Preferred &amp; Common Stock)  JEDI II   (Net #’s)</w:t>
      </w:r>
    </w:p>
    <w:p>
      <w:pPr>
        <w:pStyle w:val="Heading3"/>
        <w:numPr>
          <w:ilvl w:val="0"/>
          <w:numId w:val="8"/>
        </w:numPr>
        <w:tabs>
          <w:tab w:val="clear" w:pos="720"/>
          <w:tab w:val="left" w:pos="0" w:leader="none"/>
        </w:tabs>
        <w:ind w:hanging="720" w:start="720" w:end="0"/>
        <w:jc w:val="both"/>
        <w:rPr>
          <w:b/>
          <w:bCs/>
          <w:u w:val="none"/>
        </w:rPr>
      </w:pPr>
      <w:r>
        <w:rPr>
          <w:rFonts w:eastAsia="Times" w:cs="Times" w:ascii="Times" w:hAnsi="Times"/>
          <w:b/>
          <w:bCs/>
          <w:color w:val="FF0000"/>
          <w:u w:val="none"/>
        </w:rPr>
        <w:t>FINAL REPORT</w:t>
      </w:r>
      <w:r>
        <w:rPr>
          <w:u w:val="none"/>
        </w:rPr>
        <w:t xml:space="preserve">  </w:t>
      </w:r>
      <w:r>
        <w:rPr>
          <w:color w:val="0000FF"/>
          <w:u w:val="none"/>
        </w:rPr>
        <w:tab/>
      </w:r>
      <w:r>
        <w:rPr>
          <w:u w:val="none"/>
        </w:rPr>
        <w:t xml:space="preserve">The EA Special Assets group negotiated a sale of Enron’s interest to Smith Properties, a majority stockholder in Inland, for $2 MM.  While the offer was less than the current carry value, analytics using Inlands financial status, drilling program and reserve base ascribed zero value to Enron’s preferred, (with the preferred representing 95% of the investment).  Pro-forma scenarios also indicated Enron would not receive its first payment on the preferred stock until 2025 and possibly never. </w:t>
      </w:r>
    </w:p>
    <w:p>
      <w:pPr>
        <w:pStyle w:val="Heading3"/>
        <w:numPr>
          <w:ilvl w:val="0"/>
          <w:numId w:val="0"/>
        </w:numPr>
        <w:ind w:hanging="0" w:start="0" w:end="0"/>
        <w:jc w:val="both"/>
        <w:rPr>
          <w:b/>
          <w:bCs/>
          <w:u w:val="none"/>
        </w:rPr>
      </w:pPr>
      <w:r>
        <w:rPr>
          <w:b/>
          <w:bCs/>
          <w:u w:val="none"/>
        </w:rPr>
        <w:t>Cost:  $6.920 MM     Market Value:  $0.00 MM *    Carry Value:  $5.240 MM</w:t>
      </w:r>
    </w:p>
    <w:p>
      <w:pPr>
        <w:pStyle w:val="Header"/>
        <w:numPr>
          <w:ilvl w:val="0"/>
          <w:numId w:val="0"/>
        </w:numPr>
        <w:tabs>
          <w:tab w:val="clear" w:pos="4320"/>
          <w:tab w:val="clear" w:pos="8640"/>
        </w:tabs>
        <w:ind w:hanging="0" w:start="0"/>
        <w:rPr>
          <w:color w:val="000000"/>
        </w:rPr>
      </w:pPr>
      <w:r>
        <w:rPr>
          <w:color w:val="000000"/>
        </w:rPr>
        <w:t xml:space="preserve">      </w:t>
      </w:r>
      <w:r>
        <w:rPr>
          <w:color w:val="000000"/>
        </w:rPr>
        <w:t>*Market Value is post-sale.  Cost &amp; Carry Values are as of Feb-28-2001.</w:t>
      </w:r>
    </w:p>
    <w:p>
      <w:pPr>
        <w:pStyle w:val="Header"/>
        <w:numPr>
          <w:ilvl w:val="0"/>
          <w:numId w:val="0"/>
        </w:numPr>
        <w:tabs>
          <w:tab w:val="clear" w:pos="4320"/>
          <w:tab w:val="clear" w:pos="8640"/>
        </w:tabs>
        <w:ind w:hanging="0" w:start="0"/>
        <w:rPr>
          <w:color w:val="000000"/>
        </w:rPr>
      </w:pPr>
      <w:r>
        <w:rPr>
          <w:color w:val="000000"/>
        </w:rPr>
      </w:r>
    </w:p>
    <w:p>
      <w:pPr>
        <w:pStyle w:val="Normal"/>
        <w:numPr>
          <w:ilvl w:val="0"/>
          <w:numId w:val="0"/>
        </w:numPr>
        <w:ind w:hanging="0" w:start="0"/>
        <w:rPr/>
      </w:pPr>
      <w:r>
        <w:rPr>
          <w:b/>
          <w:bCs/>
          <w:u w:val="single"/>
        </w:rPr>
        <w:t>Masada</w:t>
      </w:r>
      <w:r>
        <w:rPr>
          <w:b/>
          <w:bCs/>
        </w:rPr>
        <w:t xml:space="preserve">  -  EA </w:t>
      </w:r>
      <w:r>
        <w:rPr/>
        <w:t xml:space="preserve">  (Private Equity – Membership Interests)   Balance Sheet  (Net #’s)</w:t>
      </w:r>
    </w:p>
    <w:p>
      <w:pPr>
        <w:pStyle w:val="Normal"/>
        <w:numPr>
          <w:ilvl w:val="0"/>
          <w:numId w:val="8"/>
        </w:numPr>
        <w:tabs>
          <w:tab w:val="clear" w:pos="720"/>
          <w:tab w:val="left" w:pos="0" w:leader="none"/>
        </w:tabs>
        <w:ind w:hanging="720" w:start="720" w:end="0"/>
        <w:jc w:val="both"/>
        <w:rPr>
          <w:b/>
          <w:bCs/>
        </w:rPr>
      </w:pPr>
      <w:r>
        <w:rPr/>
        <w:t xml:space="preserve">Masada continues efforts to raise capital to restructure their balance sheet. The Company recently signed an LOI with Enron to buy back our equity, contingent on being able to raise capital.  Masada offered $5.5 MM, on the buy back with the offer good until Jun-30-2001 and can be extended until Aug-31-2001, for an additional $100K fee.  The right of first refusal that was incorporated in the original Masada Agreement has made it difficult for EA to monetize the position. </w:t>
      </w:r>
    </w:p>
    <w:p>
      <w:pPr>
        <w:pStyle w:val="Normal"/>
        <w:numPr>
          <w:ilvl w:val="0"/>
          <w:numId w:val="0"/>
        </w:numPr>
        <w:ind w:hanging="0" w:start="0" w:end="0"/>
        <w:rPr/>
      </w:pPr>
      <w:r>
        <w:rPr>
          <w:b/>
          <w:bCs/>
        </w:rPr>
        <w:t xml:space="preserve">Cost:  $ 4.000 MM       Market Value:  $3.896 MM   Carry Value:         $3.896 MM </w:t>
      </w:r>
    </w:p>
    <w:p>
      <w:pPr>
        <w:pStyle w:val="Normal"/>
        <w:numPr>
          <w:ilvl w:val="0"/>
          <w:numId w:val="0"/>
        </w:numPr>
        <w:tabs>
          <w:tab w:val="clear" w:pos="720"/>
          <w:tab w:val="left" w:pos="360" w:leader="none"/>
        </w:tabs>
        <w:ind w:hanging="0" w:start="360" w:end="0"/>
        <w:jc w:val="both"/>
        <w:rPr>
          <w:b/>
          <w:bCs/>
        </w:rPr>
      </w:pPr>
      <w:r>
        <w:rPr>
          <w:b/>
          <w:bCs/>
        </w:rPr>
      </w:r>
    </w:p>
    <w:p>
      <w:pPr>
        <w:pStyle w:val="Normal"/>
        <w:numPr>
          <w:ilvl w:val="0"/>
          <w:numId w:val="0"/>
        </w:numPr>
        <w:ind w:hanging="0" w:start="0"/>
        <w:rPr/>
      </w:pPr>
      <w:r>
        <w:rPr>
          <w:b/>
          <w:bCs/>
          <w:u w:val="single"/>
        </w:rPr>
        <w:t>DEVX Energy (Queen Sand Resources, Inc.)</w:t>
      </w:r>
      <w:r>
        <w:rPr/>
        <w:t xml:space="preserve">  -  </w:t>
      </w:r>
      <w:r>
        <w:rPr>
          <w:b/>
          <w:bCs/>
        </w:rPr>
        <w:t xml:space="preserve">EA  </w:t>
      </w:r>
      <w:r>
        <w:rPr/>
        <w:t xml:space="preserve"> (Equity – Common) JEDI  (Gross #’s)</w:t>
      </w:r>
    </w:p>
    <w:p>
      <w:pPr>
        <w:pStyle w:val="BodyText2"/>
        <w:numPr>
          <w:ilvl w:val="0"/>
          <w:numId w:val="8"/>
        </w:numPr>
        <w:tabs>
          <w:tab w:val="clear" w:pos="360"/>
          <w:tab w:val="left" w:pos="0" w:leader="none"/>
        </w:tabs>
        <w:ind w:hanging="720" w:start="720" w:end="0"/>
        <w:rPr/>
      </w:pPr>
      <w:r>
        <w:rPr>
          <w:rFonts w:eastAsia="Times" w:cs="Times" w:ascii="Times" w:hAnsi="Times"/>
          <w:b/>
          <w:bCs/>
          <w:color w:val="FF0000"/>
        </w:rPr>
        <w:t>FINAL REPORT</w:t>
      </w:r>
      <w:r>
        <w:rPr/>
        <w:t xml:space="preserve">    Remaining shares were sold. </w:t>
      </w:r>
    </w:p>
    <w:p>
      <w:pPr>
        <w:pStyle w:val="BodyText2"/>
        <w:numPr>
          <w:ilvl w:val="0"/>
          <w:numId w:val="0"/>
        </w:numPr>
        <w:ind w:hanging="0" w:start="360"/>
        <w:rPr>
          <w:b/>
          <w:bCs/>
        </w:rPr>
      </w:pPr>
      <w:r>
        <w:rPr>
          <w:b/>
          <w:bCs/>
        </w:rPr>
        <w:t>Cost:  $.888 MM     Market Value:  $0.00 MM      Carry Value:   $0.172 MM</w:t>
      </w:r>
    </w:p>
    <w:p>
      <w:pPr>
        <w:pStyle w:val="BodyText2"/>
        <w:numPr>
          <w:ilvl w:val="0"/>
          <w:numId w:val="0"/>
        </w:numPr>
        <w:ind w:hanging="0" w:start="360"/>
        <w:rPr>
          <w:b/>
          <w:bCs/>
        </w:rPr>
      </w:pPr>
      <w:r>
        <w:rPr>
          <w:b/>
          <w:bCs/>
        </w:rPr>
      </w:r>
    </w:p>
    <w:p>
      <w:pPr>
        <w:pStyle w:val="Normal"/>
        <w:numPr>
          <w:ilvl w:val="0"/>
          <w:numId w:val="0"/>
        </w:numPr>
        <w:ind w:hanging="0" w:start="0"/>
        <w:rPr>
          <w:b/>
          <w:bCs/>
          <w:u w:val="single"/>
        </w:rPr>
      </w:pPr>
      <w:r>
        <w:rPr>
          <w:b/>
          <w:bCs/>
          <w:u w:val="single"/>
        </w:rPr>
        <w:t xml:space="preserve">Sacramento Basin Exploration </w:t>
      </w:r>
      <w:r>
        <w:rPr>
          <w:b/>
          <w:bCs/>
        </w:rPr>
        <w:t xml:space="preserve">  -  EA</w:t>
      </w:r>
      <w:r>
        <w:rPr/>
        <w:t xml:space="preserve">  (50% W.I. &amp; a 40% N.R.I.)  JEDI II &amp; Balance Sheet (Net #’s)</w:t>
      </w:r>
    </w:p>
    <w:p>
      <w:pPr>
        <w:pStyle w:val="Normal"/>
        <w:numPr>
          <w:ilvl w:val="0"/>
          <w:numId w:val="8"/>
        </w:numPr>
        <w:tabs>
          <w:tab w:val="clear" w:pos="720"/>
          <w:tab w:val="left" w:pos="0" w:leader="none"/>
        </w:tabs>
        <w:ind w:hanging="720" w:start="720" w:end="0"/>
        <w:jc w:val="both"/>
        <w:rPr>
          <w:u w:val="single"/>
        </w:rPr>
      </w:pPr>
      <w:r>
        <w:rPr/>
        <w:t xml:space="preserve">No cash calls have been made and are unlikely until April-2001 based on the prospect area being located in a wet delta region that is only drilling accessible during the April – October period.    </w:t>
      </w:r>
    </w:p>
    <w:p>
      <w:pPr>
        <w:pStyle w:val="Heading9"/>
        <w:numPr>
          <w:ilvl w:val="0"/>
          <w:numId w:val="0"/>
        </w:numPr>
        <w:spacing w:lineRule="auto" w:line="240"/>
        <w:ind w:hanging="0" w:start="0"/>
        <w:rPr/>
      </w:pPr>
      <w:r>
        <w:rPr/>
        <w:t>Cost:  $.679 MM                 Market Value:  N/A          Carry Value:    $    *0.00 MM</w:t>
      </w:r>
    </w:p>
    <w:p>
      <w:pPr>
        <w:pStyle w:val="Normal"/>
        <w:numPr>
          <w:ilvl w:val="0"/>
          <w:numId w:val="0"/>
        </w:numPr>
        <w:ind w:hanging="0" w:start="0"/>
        <w:rPr/>
      </w:pPr>
      <w:r>
        <w:rPr/>
        <w:t xml:space="preserve">      </w:t>
      </w:r>
      <w:r>
        <w:rPr/>
        <w:t>*  Asset has been hedged through “Raptor.”</w:t>
      </w:r>
    </w:p>
    <w:p>
      <w:pPr>
        <w:pStyle w:val="Normal"/>
        <w:numPr>
          <w:ilvl w:val="0"/>
          <w:numId w:val="0"/>
        </w:numPr>
        <w:ind w:hanging="0" w:start="0"/>
        <w:rPr>
          <w:b/>
          <w:bCs/>
          <w:u w:val="single"/>
        </w:rPr>
      </w:pPr>
      <w:r>
        <w:rPr>
          <w:b/>
          <w:bCs/>
          <w:u w:val="single"/>
        </w:rPr>
      </w:r>
    </w:p>
    <w:p>
      <w:pPr>
        <w:pStyle w:val="Heading1"/>
        <w:ind w:hanging="0" w:start="0"/>
        <w:rPr/>
      </w:pPr>
      <w:r>
        <w:rPr/>
      </w:r>
    </w:p>
    <w:p>
      <w:pPr>
        <w:pStyle w:val="Heading3"/>
        <w:ind w:hanging="0" w:start="0"/>
        <w:rPr/>
      </w:pPr>
      <w:r>
        <w:rPr>
          <w:b/>
          <w:bCs/>
        </w:rPr>
        <w:t>WB Oil Company</w:t>
      </w:r>
      <w:r>
        <w:rPr>
          <w:u w:val="none"/>
        </w:rPr>
        <w:t xml:space="preserve">  -  </w:t>
      </w:r>
      <w:r>
        <w:rPr>
          <w:b/>
          <w:bCs/>
          <w:u w:val="none"/>
        </w:rPr>
        <w:t xml:space="preserve">EA  </w:t>
      </w:r>
      <w:r>
        <w:rPr>
          <w:u w:val="none"/>
        </w:rPr>
        <w:t>(Private Equity)   Balance Sheet  (Net #’s)</w:t>
      </w:r>
    </w:p>
    <w:p>
      <w:pPr>
        <w:pStyle w:val="Department"/>
        <w:numPr>
          <w:ilvl w:val="0"/>
          <w:numId w:val="9"/>
        </w:numPr>
        <w:tabs>
          <w:tab w:val="clear" w:pos="720"/>
          <w:tab w:val="left" w:pos="0" w:leader="none"/>
        </w:tabs>
        <w:ind w:hanging="720" w:start="720" w:end="0"/>
        <w:jc w:val="both"/>
        <w:rPr>
          <w:rFonts w:ascii="Times New Roman" w:hAnsi="Times New Roman" w:eastAsia="Times New Roman" w:cs="Times New Roman"/>
          <w:b/>
          <w:bCs/>
        </w:rPr>
      </w:pPr>
      <w:r>
        <w:rPr>
          <w:rFonts w:eastAsia="Times New Roman" w:cs="Times New Roman" w:ascii="Times New Roman" w:hAnsi="Times New Roman"/>
        </w:rPr>
        <w:t>Dissolution documents are being drawn up.  The EA exit strategy is sale of the interest.</w:t>
      </w:r>
    </w:p>
    <w:p>
      <w:pPr>
        <w:pStyle w:val="Department"/>
        <w:numPr>
          <w:ilvl w:val="0"/>
          <w:numId w:val="0"/>
        </w:numPr>
        <w:tabs>
          <w:tab w:val="clear" w:pos="720"/>
          <w:tab w:val="left" w:pos="360" w:leader="none"/>
        </w:tabs>
        <w:ind w:hanging="0" w:start="0"/>
        <w:jc w:val="both"/>
        <w:rPr>
          <w:rFonts w:ascii="Times New Roman" w:hAnsi="Times New Roman" w:eastAsia="Times New Roman" w:cs="Times New Roman"/>
          <w:b/>
          <w:bCs/>
        </w:rPr>
      </w:pPr>
      <w:r>
        <w:rPr>
          <w:rFonts w:eastAsia="Times New Roman" w:cs="Times New Roman" w:ascii="Times New Roman" w:hAnsi="Times New Roman"/>
        </w:rPr>
        <w:tab/>
      </w:r>
      <w:r>
        <w:rPr>
          <w:rFonts w:eastAsia="Times New Roman" w:cs="Times New Roman" w:ascii="Times New Roman" w:hAnsi="Times New Roman"/>
          <w:b/>
          <w:bCs/>
        </w:rPr>
        <w:t>Cost  $2.509MM        Market Value:  $1.360 MM        Carry Value:  * $1.360 MM</w:t>
      </w:r>
    </w:p>
    <w:p>
      <w:pPr>
        <w:pStyle w:val="Normal"/>
        <w:numPr>
          <w:ilvl w:val="0"/>
          <w:numId w:val="0"/>
        </w:numPr>
        <w:ind w:hanging="0" w:start="0"/>
        <w:rPr/>
      </w:pPr>
      <w:r>
        <w:rPr/>
        <w:t xml:space="preserve">      </w:t>
      </w:r>
      <w:r>
        <w:rPr/>
        <w:t>*  Asset has been hedged through “Raptor.”</w:t>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Normal"/>
        <w:numPr>
          <w:ilvl w:val="0"/>
          <w:numId w:val="0"/>
        </w:numPr>
        <w:tabs>
          <w:tab w:val="clear" w:pos="720"/>
          <w:tab w:val="left" w:pos="360" w:leader="none"/>
        </w:tabs>
        <w:ind w:hanging="0" w:start="360" w:end="0"/>
        <w:jc w:val="both"/>
        <w:rPr/>
      </w:pPr>
      <w:r>
        <w:rPr/>
      </w:r>
    </w:p>
    <w:p>
      <w:pPr>
        <w:pStyle w:val="Heading1"/>
        <w:ind w:hanging="0" w:start="0"/>
        <w:rPr/>
      </w:pPr>
      <w:r>
        <w:rPr/>
      </w:r>
    </w:p>
    <w:p>
      <w:pPr>
        <w:pStyle w:val="Normal"/>
        <w:rPr/>
      </w:pPr>
      <w:r>
        <w:rPr/>
        <w:t>L</w:t>
      </w:r>
    </w:p>
    <w:p>
      <w:pPr>
        <w:pStyle w:val="Heading1"/>
        <w:ind w:hanging="0" w:start="0"/>
        <w:rPr/>
      </w:pPr>
      <w:r>
        <w:rPr/>
        <w:t>OSS</w:t>
      </w:r>
    </w:p>
    <w:p>
      <w:pPr>
        <w:pStyle w:val="Normal"/>
        <w:rPr/>
      </w:pPr>
      <w:r>
        <w:rPr/>
      </w:r>
    </w:p>
    <w:p>
      <w:pPr>
        <w:pStyle w:val="Header"/>
        <w:tabs>
          <w:tab w:val="clear" w:pos="4320"/>
          <w:tab w:val="clear" w:pos="8640"/>
        </w:tabs>
        <w:rPr/>
      </w:pPr>
      <w:r>
        <w:rPr/>
      </w:r>
    </w:p>
    <w:p>
      <w:pPr>
        <w:pStyle w:val="Header"/>
        <w:tabs>
          <w:tab w:val="clear" w:pos="4320"/>
          <w:tab w:val="clear" w:pos="8640"/>
        </w:tabs>
        <w:rPr/>
      </w:pPr>
      <w:r>
        <w:rPr/>
        <w:t xml:space="preserve">No future cash flows projected and FMV of the asset has been written off.  Residual recovery possible.         </w:t>
      </w:r>
    </w:p>
    <w:p>
      <w:pPr>
        <w:pStyle w:val="Heading3"/>
        <w:ind w:hanging="0" w:start="0"/>
        <w:rPr>
          <w:b/>
          <w:bCs/>
        </w:rPr>
      </w:pPr>
      <w:r>
        <w:rPr>
          <w:b/>
          <w:bCs/>
        </w:rPr>
      </w:r>
    </w:p>
    <w:p>
      <w:pPr>
        <w:pStyle w:val="Normal"/>
        <w:rPr>
          <w:b/>
          <w:bCs/>
        </w:rPr>
      </w:pPr>
      <w:r>
        <w:rPr>
          <w:b/>
          <w:bCs/>
        </w:rPr>
      </w:r>
    </w:p>
    <w:p>
      <w:pPr>
        <w:pStyle w:val="Heading3"/>
        <w:ind w:hanging="0" w:start="0"/>
        <w:rPr/>
      </w:pPr>
      <w:r>
        <w:rPr>
          <w:b/>
          <w:bCs/>
        </w:rPr>
        <w:t>Crown Energy</w:t>
      </w:r>
      <w:r>
        <w:rPr>
          <w:u w:val="none"/>
        </w:rPr>
        <w:t xml:space="preserve">  -  </w:t>
      </w:r>
      <w:r>
        <w:rPr>
          <w:b/>
          <w:bCs/>
          <w:u w:val="none"/>
        </w:rPr>
        <w:t xml:space="preserve">EA  </w:t>
      </w:r>
      <w:r>
        <w:rPr>
          <w:u w:val="none"/>
        </w:rPr>
        <w:t xml:space="preserve">(Private Equity)      Balance Sheet </w:t>
      </w:r>
    </w:p>
    <w:p>
      <w:pPr>
        <w:pStyle w:val="BodyText"/>
        <w:numPr>
          <w:ilvl w:val="0"/>
          <w:numId w:val="10"/>
        </w:numPr>
        <w:tabs>
          <w:tab w:val="clear" w:pos="720"/>
          <w:tab w:val="left" w:pos="0" w:leader="none"/>
        </w:tabs>
        <w:ind w:hanging="720" w:start="720" w:end="0"/>
        <w:rPr>
          <w:b/>
          <w:bCs/>
        </w:rPr>
      </w:pPr>
      <w:r>
        <w:rPr/>
        <w:t>No major news since the last report.  The Company has been assigned a hearing date for its arbitration proceeding with MCNIC  Pipeline &amp; Processing (“MCNIC”).  The hearing dates are scheduled for Jul-23</w:t>
      </w:r>
      <w:r>
        <w:rPr>
          <w:vertAlign w:val="superscript"/>
        </w:rPr>
        <w:t>rd</w:t>
      </w:r>
      <w:r>
        <w:rPr/>
        <w:t xml:space="preserve"> through Aug-10</w:t>
      </w:r>
      <w:r>
        <w:rPr>
          <w:vertAlign w:val="superscript"/>
        </w:rPr>
        <w:t>th</w:t>
      </w:r>
      <w:r>
        <w:rPr/>
        <w:t xml:space="preserve">.  The parent of MCNIC is MCN Energy “(MCN”).  MCN and DTE Energy Company (Detroit Edison) merged in June-2000. </w:t>
      </w:r>
    </w:p>
    <w:p>
      <w:pPr>
        <w:pStyle w:val="Heading8"/>
        <w:numPr>
          <w:ilvl w:val="0"/>
          <w:numId w:val="0"/>
        </w:numPr>
        <w:ind w:hanging="0" w:start="0" w:end="0"/>
        <w:rPr/>
      </w:pPr>
      <w:r>
        <w:rPr/>
        <w:t>Cost:  $5.468 MM      Market Value:  $0.000 MM      Carry Value:    $0.00 MM</w:t>
      </w:r>
    </w:p>
    <w:p>
      <w:pPr>
        <w:pStyle w:val="Normal"/>
        <w:numPr>
          <w:ilvl w:val="0"/>
          <w:numId w:val="0"/>
        </w:numPr>
        <w:ind w:hanging="0" w:start="0"/>
        <w:rPr/>
      </w:pPr>
      <w:r>
        <w:rPr/>
      </w:r>
    </w:p>
    <w:p>
      <w:pPr>
        <w:pStyle w:val="Normal"/>
        <w:numPr>
          <w:ilvl w:val="0"/>
          <w:numId w:val="0"/>
        </w:numPr>
        <w:ind w:hanging="0" w:start="0"/>
        <w:jc w:val="both"/>
        <w:rPr/>
      </w:pPr>
      <w:r>
        <w:rPr>
          <w:b/>
          <w:bCs/>
          <w:u w:val="single"/>
        </w:rPr>
        <w:t>Ecogas Corporation</w:t>
      </w:r>
      <w:r>
        <w:rPr>
          <w:b/>
          <w:bCs/>
        </w:rPr>
        <w:t xml:space="preserve">  -  EA</w:t>
      </w:r>
      <w:r>
        <w:rPr/>
        <w:t xml:space="preserve"> </w:t>
      </w:r>
      <w:r>
        <w:rPr>
          <w:b/>
          <w:bCs/>
          <w:i/>
          <w:iCs/>
          <w:color w:val="FF0000"/>
        </w:rPr>
        <w:t xml:space="preserve">    </w:t>
      </w:r>
      <w:r>
        <w:rPr/>
        <w:t>(Private Equity &amp; Revolving Debt)  Balance Sheet  (Net #’s)</w:t>
      </w:r>
    </w:p>
    <w:p>
      <w:pPr>
        <w:pStyle w:val="Normal"/>
        <w:numPr>
          <w:ilvl w:val="0"/>
          <w:numId w:val="10"/>
        </w:numPr>
        <w:tabs>
          <w:tab w:val="clear" w:pos="720"/>
          <w:tab w:val="left" w:pos="0" w:leader="none"/>
        </w:tabs>
        <w:spacing w:lineRule="atLeast" w:line="240"/>
        <w:ind w:hanging="720" w:start="720" w:end="0"/>
        <w:jc w:val="both"/>
        <w:rPr>
          <w:color w:val="000000"/>
        </w:rPr>
      </w:pPr>
      <w:r>
        <w:rPr>
          <w:b/>
          <w:bCs/>
          <w:color w:val="FF0000"/>
        </w:rPr>
        <w:t>MOVED FROM TROUBLED.</w:t>
      </w:r>
      <w:r>
        <w:rPr/>
        <w:t xml:space="preserve">   The EA Restructuring Group is actively pursuing the sale of the last remaining piece of the Ecogas transaction, the Section 29 tax credits.  The original purchaser of the tax credits, Fidelity Investments, retained blocking power regarding a sale or change of control to Ecogas.  As a result of the change of control, the tax credits were required to be repurchased by Enron for $4.89 MM.  Enron does not plan to offer any guarantees or warranties with our sale of the tax credits and a liquidity discount to current carry value is likely.    </w:t>
      </w:r>
    </w:p>
    <w:p>
      <w:pPr>
        <w:pStyle w:val="Normal"/>
        <w:numPr>
          <w:ilvl w:val="0"/>
          <w:numId w:val="0"/>
        </w:numPr>
        <w:ind w:hanging="0" w:start="0" w:end="0"/>
        <w:jc w:val="both"/>
        <w:rPr>
          <w:b/>
          <w:bCs/>
        </w:rPr>
      </w:pPr>
      <w:r>
        <w:rPr>
          <w:b/>
          <w:bCs/>
        </w:rPr>
        <w:t>Cost:  $45.43 MM         Market Value:  $4.89 MM         Carry Value:    $4.89 MM</w:t>
      </w:r>
    </w:p>
    <w:p>
      <w:pPr>
        <w:pStyle w:val="Normal"/>
        <w:numPr>
          <w:ilvl w:val="0"/>
          <w:numId w:val="0"/>
        </w:numPr>
        <w:ind w:hanging="0" w:start="360" w:end="0"/>
        <w:rPr>
          <w:b/>
          <w:bCs/>
        </w:rPr>
      </w:pPr>
      <w:r>
        <w:rPr>
          <w:b/>
          <w:bCs/>
        </w:rPr>
        <w:t xml:space="preserve">(Carry Value represent tax credits only – all values associated with the debt &amp; equity = zero).  </w:t>
      </w:r>
    </w:p>
    <w:p>
      <w:pPr>
        <w:pStyle w:val="Normal"/>
        <w:numPr>
          <w:ilvl w:val="0"/>
          <w:numId w:val="0"/>
        </w:numPr>
        <w:ind w:hanging="0" w:start="0"/>
        <w:jc w:val="both"/>
        <w:rPr>
          <w:position w:val="-2"/>
        </w:rPr>
      </w:pPr>
      <w:r>
        <w:rPr>
          <w:position w:val="-2"/>
        </w:rPr>
        <w:t xml:space="preserve">      </w:t>
      </w:r>
      <w:r>
        <w:rPr>
          <w:position w:val="-2"/>
        </w:rPr>
        <w:t>Asset equity value (approximately $12.878 MM) was hedged through “Raptor.”</w:t>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Pr>
      <w:r>
        <w:rPr>
          <w:b/>
          <w:bCs/>
          <w:u w:val="single"/>
        </w:rPr>
        <w:t>Heartland Steel</w:t>
      </w:r>
      <w:r>
        <w:rPr>
          <w:b/>
          <w:bCs/>
        </w:rPr>
        <w:t xml:space="preserve">  -  EA</w:t>
      </w:r>
      <w:r>
        <w:rPr>
          <w:b/>
          <w:bCs/>
          <w:i/>
          <w:iCs/>
          <w:color w:val="FF0000"/>
        </w:rPr>
        <w:t xml:space="preserve">   </w:t>
      </w:r>
      <w:r>
        <w:rPr/>
        <w:t>(Senior Debt, Common Stock &amp; Warrants) Balance Sheet  (Net #’s)</w:t>
      </w:r>
    </w:p>
    <w:p>
      <w:pPr>
        <w:pStyle w:val="Normal"/>
        <w:numPr>
          <w:ilvl w:val="0"/>
          <w:numId w:val="10"/>
        </w:numPr>
        <w:tabs>
          <w:tab w:val="clear" w:pos="720"/>
          <w:tab w:val="left" w:pos="0" w:leader="none"/>
        </w:tabs>
        <w:ind w:hanging="720" w:start="720" w:end="0"/>
        <w:jc w:val="both"/>
        <w:rPr>
          <w:b/>
          <w:bCs/>
        </w:rPr>
      </w:pPr>
      <w:r>
        <w:rPr>
          <w:b/>
          <w:bCs/>
          <w:color w:val="FF0000"/>
        </w:rPr>
        <w:t>MOVED FROM TROUBLED.</w:t>
      </w:r>
      <w:r>
        <w:rPr/>
        <w:t xml:space="preserve">   Chapter 11 bankruptcy proceedings (filed Jan-24</w:t>
      </w:r>
      <w:r>
        <w:rPr>
          <w:vertAlign w:val="superscript"/>
        </w:rPr>
        <w:t>th</w:t>
      </w:r>
      <w:r>
        <w:rPr/>
        <w:t xml:space="preserve">) are continuing.  The plant is continuing to operate in a very limited manner. </w:t>
      </w:r>
    </w:p>
    <w:p>
      <w:pPr>
        <w:pStyle w:val="Normal"/>
        <w:numPr>
          <w:ilvl w:val="0"/>
          <w:numId w:val="0"/>
        </w:numPr>
        <w:ind w:hanging="0" w:start="0" w:end="0"/>
        <w:jc w:val="both"/>
        <w:rPr/>
      </w:pPr>
      <w:r>
        <w:rPr>
          <w:b/>
          <w:bCs/>
          <w:color w:val="000000"/>
        </w:rPr>
        <w:t>Cost</w:t>
      </w:r>
      <w:r>
        <w:rPr>
          <w:b/>
          <w:bCs/>
          <w:i/>
          <w:iCs/>
          <w:color w:val="000000"/>
        </w:rPr>
        <w:t>:</w:t>
      </w:r>
      <w:r>
        <w:rPr>
          <w:b/>
          <w:bCs/>
          <w:i/>
          <w:iCs/>
        </w:rPr>
        <w:t xml:space="preserve"> </w:t>
      </w:r>
      <w:r>
        <w:rPr>
          <w:b/>
          <w:bCs/>
        </w:rPr>
        <w:t xml:space="preserve">   $12.993 MM     Market Value:  $ 0.00 MM        Carry Value      * $     0.00 MM  </w:t>
      </w:r>
    </w:p>
    <w:p>
      <w:pPr>
        <w:pStyle w:val="Normal"/>
        <w:numPr>
          <w:ilvl w:val="0"/>
          <w:numId w:val="0"/>
        </w:numPr>
        <w:ind w:hanging="0" w:start="0"/>
        <w:rPr/>
      </w:pPr>
      <w:r>
        <w:rPr>
          <w:b/>
          <w:bCs/>
        </w:rPr>
        <w:tab/>
        <w:tab/>
        <w:tab/>
        <w:t xml:space="preserve">      (Transfer to Condor)                                          </w:t>
      </w:r>
      <w:r>
        <w:rPr>
          <w:b/>
          <w:bCs/>
          <w:color w:val="FF0000"/>
        </w:rPr>
        <w:t xml:space="preserve">    </w:t>
      </w:r>
      <w:r>
        <w:rPr>
          <w:b/>
          <w:bCs/>
          <w:color w:val="000000"/>
        </w:rPr>
        <w:t>$</w:t>
      </w:r>
      <w:r>
        <w:rPr>
          <w:b/>
          <w:bCs/>
          <w:color w:val="FF0000"/>
        </w:rPr>
        <w:t xml:space="preserve"> </w:t>
      </w:r>
      <w:r>
        <w:rPr>
          <w:b/>
          <w:bCs/>
          <w:color w:val="000000"/>
        </w:rPr>
        <w:t>14.754 MM</w:t>
      </w:r>
    </w:p>
    <w:p>
      <w:pPr>
        <w:pStyle w:val="Normal"/>
        <w:numPr>
          <w:ilvl w:val="0"/>
          <w:numId w:val="0"/>
        </w:numPr>
        <w:ind w:hanging="0" w:start="0"/>
        <w:jc w:val="both"/>
        <w:rPr/>
      </w:pPr>
      <w:r>
        <w:rPr>
          <w:b/>
          <w:bCs/>
        </w:rPr>
        <w:t xml:space="preserve">                                                </w:t>
      </w:r>
      <w:r>
        <w:rPr>
          <w:b/>
          <w:bCs/>
        </w:rPr>
        <w:t xml:space="preserve">(Transfer to EA CLO #I)                                        </w:t>
      </w:r>
      <w:r>
        <w:rPr>
          <w:b/>
          <w:bCs/>
          <w:color w:val="000000"/>
        </w:rPr>
        <w:t>$ 15.000 MM</w:t>
      </w:r>
    </w:p>
    <w:p>
      <w:pPr>
        <w:pStyle w:val="Normal"/>
        <w:numPr>
          <w:ilvl w:val="0"/>
          <w:numId w:val="0"/>
        </w:numPr>
        <w:ind w:hanging="0" w:start="0"/>
        <w:jc w:val="both"/>
        <w:rPr>
          <w:position w:val="-2"/>
        </w:rPr>
      </w:pPr>
      <w:r>
        <w:rPr>
          <w:position w:val="-2"/>
        </w:rPr>
        <w:t xml:space="preserve">      </w:t>
      </w:r>
      <w:r>
        <w:rPr>
          <w:position w:val="-2"/>
        </w:rPr>
        <w:t>*Asset has been hedged through “Raptor.”</w:t>
      </w:r>
    </w:p>
    <w:p>
      <w:pPr>
        <w:pStyle w:val="Normal"/>
        <w:numPr>
          <w:ilvl w:val="0"/>
          <w:numId w:val="0"/>
        </w:numPr>
        <w:ind w:hanging="0" w:start="0"/>
        <w:rPr>
          <w:position w:val="-2"/>
        </w:rPr>
      </w:pPr>
      <w:r>
        <w:rPr>
          <w:position w:val="-2"/>
        </w:rPr>
      </w:r>
    </w:p>
    <w:p>
      <w:pPr>
        <w:pStyle w:val="Heading3"/>
        <w:numPr>
          <w:ilvl w:val="0"/>
          <w:numId w:val="0"/>
        </w:numPr>
        <w:ind w:hanging="0" w:start="0"/>
        <w:rPr/>
      </w:pPr>
      <w:r>
        <w:rPr>
          <w:b/>
          <w:bCs/>
        </w:rPr>
        <w:t>Ice Drilling</w:t>
      </w:r>
      <w:r>
        <w:rPr/>
        <w:t xml:space="preserve"> </w:t>
      </w:r>
      <w:r>
        <w:rPr>
          <w:u w:val="none"/>
        </w:rPr>
        <w:t xml:space="preserve">  -  </w:t>
      </w:r>
      <w:r>
        <w:rPr>
          <w:b/>
          <w:bCs/>
          <w:u w:val="none"/>
        </w:rPr>
        <w:t xml:space="preserve">EA  </w:t>
      </w:r>
      <w:r>
        <w:rPr>
          <w:u w:val="none"/>
        </w:rPr>
        <w:t xml:space="preserve">(Term Loan with Warrants)   EnSerCo  </w:t>
      </w:r>
    </w:p>
    <w:p>
      <w:pPr>
        <w:pStyle w:val="Normal"/>
        <w:numPr>
          <w:ilvl w:val="0"/>
          <w:numId w:val="10"/>
        </w:numPr>
        <w:tabs>
          <w:tab w:val="clear" w:pos="720"/>
          <w:tab w:val="left" w:pos="0" w:leader="none"/>
        </w:tabs>
        <w:ind w:hanging="720" w:start="720" w:end="0"/>
        <w:jc w:val="both"/>
        <w:rPr>
          <w:b/>
          <w:bCs/>
        </w:rPr>
      </w:pPr>
      <w:r>
        <w:rPr>
          <w:color w:val="000000"/>
        </w:rPr>
        <w:t xml:space="preserve"> </w:t>
      </w:r>
      <w:r>
        <w:rPr>
          <w:b/>
          <w:bCs/>
          <w:color w:val="FF0000"/>
        </w:rPr>
        <w:t>MOVED FROM TROUBLED.</w:t>
      </w:r>
      <w:r>
        <w:rPr/>
        <w:t xml:space="preserve">   </w:t>
      </w:r>
      <w:r>
        <w:rPr>
          <w:color w:val="000000"/>
        </w:rPr>
        <w:t xml:space="preserve">No major updates since our last report.  Legal action against the guarantors to collect deficiencies of roughly C$1 MM continues.    </w:t>
      </w:r>
    </w:p>
    <w:p>
      <w:pPr>
        <w:pStyle w:val="Normal"/>
        <w:numPr>
          <w:ilvl w:val="0"/>
          <w:numId w:val="0"/>
        </w:numPr>
        <w:tabs>
          <w:tab w:val="clear" w:pos="720"/>
          <w:tab w:val="left" w:pos="360" w:leader="none"/>
        </w:tabs>
        <w:ind w:hanging="0" w:start="360" w:end="0"/>
        <w:jc w:val="both"/>
        <w:rPr>
          <w:b/>
          <w:bCs/>
        </w:rPr>
      </w:pPr>
      <w:r>
        <w:rPr>
          <w:b/>
          <w:bCs/>
          <w:color w:val="000000"/>
        </w:rPr>
        <w:t>C</w:t>
      </w:r>
      <w:r>
        <w:rPr>
          <w:b/>
          <w:bCs/>
        </w:rPr>
        <w:t xml:space="preserve">ost: </w:t>
      </w:r>
      <w:r>
        <w:rPr/>
        <w:t xml:space="preserve"> </w:t>
      </w:r>
      <w:r>
        <w:rPr>
          <w:b/>
          <w:bCs/>
        </w:rPr>
        <w:t xml:space="preserve">$ -      Market Value:  $ -     Carry Value:   $ - </w:t>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pPr>
      <w:r>
        <w:rPr>
          <w:b/>
          <w:bCs/>
          <w:u w:val="single"/>
        </w:rPr>
        <w:t>Kafus Industries, Ltd./ Canfibre</w:t>
      </w:r>
      <w:r>
        <w:rPr/>
        <w:t xml:space="preserve">   -  </w:t>
      </w:r>
      <w:r>
        <w:rPr>
          <w:b/>
          <w:bCs/>
        </w:rPr>
        <w:t xml:space="preserve">EA  </w:t>
      </w:r>
      <w:r>
        <w:rPr/>
        <w:t xml:space="preserve"> (Debt &amp; IPC’s)   Balance Sheet  (Net #’s)</w:t>
      </w:r>
    </w:p>
    <w:p>
      <w:pPr>
        <w:pStyle w:val="Normal"/>
        <w:numPr>
          <w:ilvl w:val="0"/>
          <w:numId w:val="10"/>
        </w:numPr>
        <w:tabs>
          <w:tab w:val="clear" w:pos="720"/>
          <w:tab w:val="left" w:pos="0" w:leader="none"/>
        </w:tabs>
        <w:ind w:hanging="720" w:start="765" w:end="0"/>
        <w:jc w:val="both"/>
        <w:rPr>
          <w:b/>
          <w:bCs/>
        </w:rPr>
      </w:pPr>
      <w:bookmarkStart w:id="0" w:name="OLE_LINK1"/>
      <w:r>
        <w:rPr/>
        <w:t>A member of the EA Restructuring team recently met with Berwind Financial (advisors to Canfibre/Kafus) regarding the sale of the Riverside, CA medium density fiberboard plant.  Total sale proceeds were broadly defined as between $2 MM and $8 MM.  Going concern (plant currently operating at around 45-50% of capacity) vs. total liquidation considerations will determine the final sales price.  A potential draw against an Enron $4.5 MM Letter of Credit remains a possibility upon the completion of the Lackawanna, NY medium density fiberboard (“MDF”) facility.   The draw must be requested prior to Jun-30-2001 and the facility must be fully operational and have met all production standards at the time of request.  Satisfaction of those requirements (via third-party validation) are viewed as unlikely</w:t>
      </w:r>
      <w:bookmarkEnd w:id="0"/>
      <w:r>
        <w:rPr/>
        <w:t>.</w:t>
      </w:r>
    </w:p>
    <w:p>
      <w:pPr>
        <w:pStyle w:val="Normal"/>
        <w:numPr>
          <w:ilvl w:val="0"/>
          <w:numId w:val="0"/>
        </w:numPr>
        <w:ind w:hanging="0" w:start="45" w:end="0"/>
        <w:jc w:val="both"/>
        <w:rPr/>
      </w:pPr>
      <w:r>
        <w:rPr>
          <w:b/>
          <w:bCs/>
        </w:rPr>
        <w:t>Cost:  $    0.800 MM     Market Value:  $  0.000 MM     Carry Value: $   0.00 MM  (Riverside)</w:t>
      </w:r>
    </w:p>
    <w:p>
      <w:pPr>
        <w:pStyle w:val="Normal"/>
        <w:numPr>
          <w:ilvl w:val="0"/>
          <w:numId w:val="0"/>
        </w:numPr>
        <w:ind w:hanging="0" w:start="0" w:end="0"/>
        <w:jc w:val="both"/>
        <w:rPr/>
      </w:pPr>
      <w:r>
        <w:rPr>
          <w:b/>
          <w:bCs/>
        </w:rPr>
        <w:t>Cost:  $  68.233 MM    Market Value:   $  0.000 MM     Carry Value: $   0.00 MM (Other Kafus)</w:t>
      </w:r>
    </w:p>
    <w:p>
      <w:pPr>
        <w:pStyle w:val="Normal"/>
        <w:numPr>
          <w:ilvl w:val="0"/>
          <w:numId w:val="0"/>
        </w:numPr>
        <w:tabs>
          <w:tab w:val="clear" w:pos="720"/>
          <w:tab w:val="left" w:pos="360" w:leader="none"/>
        </w:tabs>
        <w:ind w:hanging="0" w:start="360" w:end="0"/>
        <w:jc w:val="both"/>
        <w:rPr/>
      </w:pPr>
      <w:r>
        <w:rPr/>
        <w:tab/>
        <w:t xml:space="preserve">                                 </w:t>
      </w:r>
      <w:r>
        <w:rPr>
          <w:b/>
          <w:bCs/>
          <w:position w:val="-2"/>
        </w:rPr>
        <w:t xml:space="preserve">(Transfer to EA CLO Trust #1)                   </w:t>
      </w:r>
      <w:r>
        <w:rPr>
          <w:b/>
          <w:bCs/>
          <w:color w:val="000000"/>
          <w:position w:val="-2"/>
        </w:rPr>
        <w:t>$     60.00 MM</w:t>
      </w:r>
    </w:p>
    <w:p>
      <w:pPr>
        <w:pStyle w:val="Normal"/>
        <w:numPr>
          <w:ilvl w:val="0"/>
          <w:numId w:val="0"/>
        </w:numPr>
        <w:ind w:hanging="0" w:start="0"/>
        <w:rPr>
          <w:b/>
          <w:bCs/>
          <w:color w:val="000000"/>
          <w:position w:val="-2"/>
        </w:rPr>
      </w:pPr>
      <w:r>
        <w:rPr>
          <w:b/>
          <w:bCs/>
          <w:color w:val="000000"/>
          <w:position w:val="-2"/>
        </w:rPr>
      </w:r>
    </w:p>
    <w:p>
      <w:pPr>
        <w:pStyle w:val="Heading3"/>
        <w:numPr>
          <w:ilvl w:val="0"/>
          <w:numId w:val="0"/>
        </w:numPr>
        <w:ind w:hanging="0" w:start="0"/>
        <w:rPr>
          <w:b/>
          <w:bCs/>
        </w:rPr>
      </w:pPr>
      <w:r>
        <w:rPr>
          <w:b/>
          <w:bCs/>
        </w:rPr>
      </w:r>
    </w:p>
    <w:p>
      <w:pPr>
        <w:pStyle w:val="Normal"/>
        <w:numPr>
          <w:ilvl w:val="0"/>
          <w:numId w:val="0"/>
        </w:numPr>
        <w:ind w:hanging="0" w:start="0"/>
        <w:rPr>
          <w:b/>
          <w:bCs/>
        </w:rPr>
      </w:pPr>
      <w:r>
        <w:rPr>
          <w:b/>
          <w:bCs/>
        </w:rPr>
      </w:r>
    </w:p>
    <w:p>
      <w:pPr>
        <w:pStyle w:val="Normal"/>
        <w:rPr/>
      </w:pPr>
      <w:r>
        <w:rPr/>
        <w:t>L</w:t>
      </w:r>
    </w:p>
    <w:p>
      <w:pPr>
        <w:pStyle w:val="Heading1"/>
        <w:ind w:hanging="0" w:start="0"/>
        <w:rPr/>
      </w:pPr>
      <w:r>
        <w:rPr/>
        <w:t>OSS  -  continued</w:t>
      </w:r>
    </w:p>
    <w:p>
      <w:pPr>
        <w:pStyle w:val="Normal"/>
        <w:rPr/>
      </w:pPr>
      <w:r>
        <w:rPr/>
      </w:r>
    </w:p>
    <w:p>
      <w:pPr>
        <w:pStyle w:val="Heading3"/>
        <w:ind w:hanging="0" w:start="0"/>
        <w:rPr>
          <w:b/>
          <w:bCs/>
        </w:rPr>
      </w:pPr>
      <w:r>
        <w:rPr>
          <w:b/>
          <w:bCs/>
        </w:rPr>
      </w:r>
    </w:p>
    <w:p>
      <w:pPr>
        <w:pStyle w:val="Heading3"/>
        <w:ind w:hanging="0" w:start="0"/>
        <w:rPr>
          <w:b/>
          <w:bCs/>
        </w:rPr>
      </w:pPr>
      <w:r>
        <w:rPr>
          <w:b/>
          <w:bCs/>
        </w:rPr>
      </w:r>
    </w:p>
    <w:p>
      <w:pPr>
        <w:pStyle w:val="Heading3"/>
        <w:ind w:hanging="0" w:start="0"/>
        <w:rPr>
          <w:i/>
          <w:i/>
          <w:iCs/>
        </w:rPr>
      </w:pPr>
      <w:r>
        <w:rPr>
          <w:b/>
          <w:bCs/>
        </w:rPr>
        <w:t>Nakornthai Strip Mill (NSM) -Thailand</w:t>
      </w:r>
      <w:r>
        <w:rPr>
          <w:u w:val="none"/>
        </w:rPr>
        <w:t xml:space="preserve">  -  </w:t>
      </w:r>
      <w:r>
        <w:rPr>
          <w:b/>
          <w:bCs/>
          <w:u w:val="none"/>
        </w:rPr>
        <w:t xml:space="preserve">EA  </w:t>
      </w:r>
      <w:r>
        <w:rPr>
          <w:u w:val="none"/>
        </w:rPr>
        <w:t xml:space="preserve"> (Subordinated Notes w/Warrants)   Balance Sheet</w:t>
      </w:r>
    </w:p>
    <w:p>
      <w:pPr>
        <w:pStyle w:val="BodyText"/>
        <w:numPr>
          <w:ilvl w:val="0"/>
          <w:numId w:val="11"/>
        </w:numPr>
        <w:tabs>
          <w:tab w:val="clear" w:pos="720"/>
          <w:tab w:val="left" w:pos="0" w:leader="none"/>
        </w:tabs>
        <w:ind w:hanging="720" w:start="720" w:end="0"/>
        <w:rPr>
          <w:rFonts w:ascii="Times" w:hAnsi="Times" w:eastAsia="Times" w:cs="Times"/>
          <w:b/>
          <w:bCs/>
          <w:color w:val="000000"/>
        </w:rPr>
      </w:pPr>
      <w:r>
        <w:rPr>
          <w:rFonts w:eastAsia="Times" w:cs="Times" w:ascii="Times" w:hAnsi="Times"/>
          <w:color w:val="000000"/>
        </w:rPr>
        <w:t xml:space="preserve">No updates since the last report.  Bankruptcy proceedings are ongoing.  </w:t>
      </w:r>
    </w:p>
    <w:p>
      <w:pPr>
        <w:pStyle w:val="BodyText"/>
        <w:numPr>
          <w:ilvl w:val="0"/>
          <w:numId w:val="0"/>
        </w:numPr>
        <w:ind w:hanging="0" w:start="0" w:end="0"/>
        <w:rPr>
          <w:b/>
          <w:bCs/>
        </w:rPr>
      </w:pPr>
      <w:r>
        <w:rPr>
          <w:b/>
          <w:bCs/>
        </w:rPr>
        <w:t>Cost:  $31.308 MM        Carry Value:  $ -0  -</w:t>
      </w:r>
    </w:p>
    <w:p>
      <w:pPr>
        <w:pStyle w:val="BodyText"/>
        <w:numPr>
          <w:ilvl w:val="0"/>
          <w:numId w:val="0"/>
        </w:numPr>
        <w:tabs>
          <w:tab w:val="clear" w:pos="720"/>
          <w:tab w:val="left" w:pos="360" w:leader="none"/>
        </w:tabs>
        <w:ind w:hanging="0" w:start="0"/>
        <w:rPr>
          <w:b/>
          <w:bCs/>
          <w:caps/>
        </w:rPr>
      </w:pPr>
      <w:r>
        <w:rPr>
          <w:b/>
          <w:bCs/>
          <w:caps/>
        </w:rPr>
      </w:r>
    </w:p>
    <w:p>
      <w:pPr>
        <w:pStyle w:val="Normal"/>
        <w:numPr>
          <w:ilvl w:val="0"/>
          <w:numId w:val="0"/>
        </w:numPr>
        <w:ind w:hanging="0" w:start="0"/>
        <w:rPr/>
      </w:pPr>
      <w:r>
        <w:rPr>
          <w:b/>
          <w:bCs/>
          <w:u w:val="single"/>
        </w:rPr>
        <w:t>Transcoastal Marine Services</w:t>
      </w:r>
      <w:r>
        <w:rPr>
          <w:b/>
          <w:bCs/>
        </w:rPr>
        <w:t xml:space="preserve"> </w:t>
      </w:r>
      <w:r>
        <w:rPr/>
        <w:t xml:space="preserve">– </w:t>
      </w:r>
      <w:r>
        <w:rPr>
          <w:b/>
          <w:bCs/>
        </w:rPr>
        <w:t xml:space="preserve">EA  </w:t>
      </w:r>
      <w:r>
        <w:rPr/>
        <w:t xml:space="preserve"> (Subordinated Debt with Warrants)    JEDI II  </w:t>
      </w:r>
    </w:p>
    <w:p>
      <w:pPr>
        <w:pStyle w:val="Normal"/>
        <w:numPr>
          <w:ilvl w:val="0"/>
          <w:numId w:val="11"/>
        </w:numPr>
        <w:tabs>
          <w:tab w:val="clear" w:pos="720"/>
          <w:tab w:val="left" w:pos="0" w:leader="none"/>
        </w:tabs>
        <w:spacing w:lineRule="atLeast" w:line="240"/>
        <w:ind w:hanging="720" w:start="720" w:end="0"/>
        <w:jc w:val="both"/>
        <w:rPr/>
      </w:pPr>
      <w:r>
        <w:rPr>
          <w:color w:val="000000"/>
        </w:rPr>
        <w:t>The Company continues to liquidate related to its Chapter 7 bankruptcy filing.  The ENA Commercial group has been advised by outside legal counsel that “some” value for ENA and the CLO Trust should flow from the bankruptcy liquidation.</w:t>
      </w:r>
      <w:r>
        <w:rPr>
          <w:b/>
          <w:bCs/>
        </w:rPr>
        <w:t xml:space="preserve">   </w:t>
      </w:r>
    </w:p>
    <w:p>
      <w:pPr>
        <w:pStyle w:val="Heading8"/>
        <w:tabs>
          <w:tab w:val="clear" w:pos="720"/>
          <w:tab w:val="left" w:pos="360" w:leader="none"/>
        </w:tabs>
        <w:spacing w:lineRule="atLeast" w:line="240"/>
        <w:ind w:hanging="0" w:start="0"/>
        <w:rPr/>
      </w:pPr>
      <w:r>
        <w:rPr/>
        <w:tab/>
        <w:t>Cost:  $0.001 MM       Market Value:  $.000 MM          Carry Value:   $     .000 MM</w:t>
      </w:r>
    </w:p>
    <w:p>
      <w:pPr>
        <w:pStyle w:val="Normal"/>
        <w:tabs>
          <w:tab w:val="clear" w:pos="720"/>
          <w:tab w:val="left" w:pos="360" w:leader="none"/>
        </w:tabs>
        <w:ind w:start="360" w:end="0"/>
        <w:jc w:val="both"/>
        <w:rPr/>
      </w:pPr>
      <w:r>
        <w:rPr>
          <w:b/>
          <w:bCs/>
          <w:position w:val="-2"/>
        </w:rPr>
        <w:t xml:space="preserve">                                      </w:t>
      </w:r>
      <w:r>
        <w:rPr>
          <w:b/>
          <w:bCs/>
          <w:position w:val="-2"/>
        </w:rPr>
        <w:t xml:space="preserve">(Transfer to EA CLO Trust #1)                          </w:t>
      </w:r>
      <w:r>
        <w:rPr>
          <w:b/>
          <w:bCs/>
          <w:color w:val="FF0000"/>
          <w:position w:val="-2"/>
        </w:rPr>
        <w:t xml:space="preserve"> </w:t>
      </w:r>
      <w:r>
        <w:rPr>
          <w:b/>
          <w:bCs/>
          <w:color w:val="000000"/>
          <w:position w:val="-2"/>
        </w:rPr>
        <w:t>$  20.00 MM</w:t>
      </w:r>
    </w:p>
    <w:p>
      <w:pPr>
        <w:pStyle w:val="BodyText"/>
        <w:tabs>
          <w:tab w:val="clear" w:pos="720"/>
          <w:tab w:val="left" w:pos="360" w:leader="none"/>
        </w:tabs>
        <w:rPr>
          <w:b/>
          <w:bCs/>
          <w:caps/>
          <w:color w:val="000000"/>
          <w:position w:val="-2"/>
        </w:rPr>
      </w:pPr>
      <w:r>
        <w:rPr>
          <w:b/>
          <w:bCs/>
          <w:caps/>
          <w:color w:val="000000"/>
          <w:position w:val="-2"/>
        </w:rPr>
      </w:r>
    </w:p>
    <w:p>
      <w:pPr>
        <w:pStyle w:val="BodyText"/>
        <w:tabs>
          <w:tab w:val="clear" w:pos="720"/>
          <w:tab w:val="left" w:pos="360" w:leader="none"/>
        </w:tabs>
        <w:rPr>
          <w:b/>
          <w:bCs/>
          <w:caps/>
        </w:rPr>
      </w:pPr>
      <w:r>
        <w:rPr>
          <w:b/>
          <w:bCs/>
          <w:caps/>
        </w:rPr>
      </w:r>
    </w:p>
    <w:sectPr>
      <w:headerReference w:type="default" r:id="rId5"/>
      <w:headerReference w:type="first" r:id="rId6"/>
      <w:footerReference w:type="default" r:id="rId7"/>
      <w:footerReference w:type="first" r:id="rId8"/>
      <w:type w:val="nextPage"/>
      <w:pgSz w:w="12240" w:h="15840"/>
      <w:pgMar w:left="1800" w:right="1800" w:gutter="0" w:header="720" w:top="776"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Arial">
    <w:charset w:val="01"/>
    <w:family w:val="swiss"/>
    <w:pitch w:val="variable"/>
  </w:font>
  <w:font w:name="Tms Rmn">
    <w:altName w:val="Times New Roman"/>
    <w:charset w:val="01"/>
    <w:family w:val="roman"/>
    <w:pitch w:val="variable"/>
  </w:font>
  <w:font w:name="Times">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b/>
        <w:bCs/>
        <w:color w:val="FF0000"/>
        <w:sz w:val="24"/>
        <w:szCs w:val="24"/>
      </w:rPr>
    </w:pPr>
    <w:r>
      <w:rPr>
        <w:b/>
        <w:bCs/>
        <w:color w:val="FF0000"/>
        <w:sz w:val="24"/>
        <w:szCs w:val="24"/>
      </w:rPr>
      <w:t>CONFIDENTIAL</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b/>
        <w:bCs/>
        <w:color w:val="FF0000"/>
        <w:sz w:val="24"/>
        <w:szCs w:val="24"/>
      </w:rPr>
    </w:pPr>
    <w:r>
      <w:rPr>
        <w:b/>
        <w:bCs/>
        <w:color w:val="FF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b/>
        <w:bCs/>
        <w:sz w:val="24"/>
        <w:szCs w:val="24"/>
      </w:rPr>
    </w:pPr>
    <w:r>
      <w:rPr>
        <w:b/>
        <w:bCs/>
        <w:sz w:val="24"/>
        <w:szCs w:val="24"/>
      </w:rPr>
      <w:t xml:space="preserve">RISK ASSESSMENT &amp; CONTROL   </w:t>
    </w:r>
  </w:p>
  <w:p>
    <w:pPr>
      <w:pStyle w:val="Header"/>
      <w:jc w:val="center"/>
      <w:rPr>
        <w:b/>
        <w:bCs/>
        <w:sz w:val="24"/>
        <w:szCs w:val="24"/>
      </w:rPr>
    </w:pPr>
    <w:r>
      <w:rPr>
        <w:b/>
        <w:bCs/>
        <w:sz w:val="24"/>
        <w:szCs w:val="24"/>
      </w:rPr>
      <w:t>PORTFOLIO WATCH LIST-UPDATE AS OF 3/30/2001</w:t>
    </w:r>
  </w:p>
  <w:p>
    <w:pPr>
      <w:pStyle w:val="Header"/>
      <w:jc w:val="center"/>
      <w:rPr>
        <w:b/>
        <w:bCs/>
        <w:sz w:val="24"/>
        <w:szCs w:val="24"/>
      </w:rPr>
    </w:pPr>
    <w:r>
      <w:rPr>
        <w:b/>
        <w:bCs/>
        <w:sz w:val="24"/>
        <w:szCs w:val="24"/>
      </w:rPr>
      <w:t>VALUES ARE GROSS / NET TO ENRON AS INDICATED</w:t>
    </w:r>
  </w:p>
  <w:p>
    <w:pPr>
      <w:pStyle w:val="Header"/>
      <w:jc w:val="center"/>
      <w:rPr>
        <w:b/>
        <w:bCs/>
        <w:sz w:val="24"/>
        <w:szCs w:val="24"/>
      </w:rPr>
    </w:pPr>
    <w:r>
      <w:rPr>
        <w:b/>
        <w:bCs/>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lineRule="exact" w:line="456"/>
      <w:outlineLvl w:val="1"/>
    </w:pPr>
    <w:rPr>
      <w:b/>
      <w:bCs/>
      <w:position w:val="-2"/>
      <w:sz w:val="53"/>
      <w:szCs w:val="53"/>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b/>
      <w:bCs/>
      <w:color w:val="000000"/>
      <w:sz w:val="24"/>
      <w:szCs w:val="24"/>
    </w:rPr>
  </w:style>
  <w:style w:type="paragraph" w:styleId="Heading6">
    <w:name w:val="heading 6"/>
    <w:basedOn w:val="Normal"/>
    <w:next w:val="Normal"/>
    <w:qFormat/>
    <w:pPr>
      <w:keepNext w:val="true"/>
      <w:numPr>
        <w:ilvl w:val="5"/>
        <w:numId w:val="1"/>
      </w:numPr>
      <w:outlineLvl w:val="5"/>
    </w:pPr>
    <w:rPr>
      <w:b/>
      <w:bCs/>
      <w:sz w:val="32"/>
      <w:szCs w:val="32"/>
    </w:rPr>
  </w:style>
  <w:style w:type="paragraph" w:styleId="Heading7">
    <w:name w:val="heading 7"/>
    <w:basedOn w:val="Normal"/>
    <w:next w:val="Normal"/>
    <w:qFormat/>
    <w:pPr>
      <w:keepNext w:val="true"/>
      <w:numPr>
        <w:ilvl w:val="6"/>
        <w:numId w:val="1"/>
      </w:numPr>
      <w:tabs>
        <w:tab w:val="clear" w:pos="720"/>
        <w:tab w:val="left" w:pos="360" w:leader="none"/>
      </w:tabs>
      <w:ind w:hanging="0" w:start="360" w:end="0"/>
      <w:outlineLvl w:val="6"/>
    </w:pPr>
    <w:rPr>
      <w:b/>
      <w:bCs/>
    </w:rPr>
  </w:style>
  <w:style w:type="paragraph" w:styleId="Heading8">
    <w:name w:val="heading 8"/>
    <w:basedOn w:val="Normal"/>
    <w:next w:val="Normal"/>
    <w:qFormat/>
    <w:pPr>
      <w:keepNext w:val="true"/>
      <w:numPr>
        <w:ilvl w:val="7"/>
        <w:numId w:val="1"/>
      </w:numPr>
      <w:jc w:val="both"/>
      <w:outlineLvl w:val="7"/>
    </w:pPr>
    <w:rPr>
      <w:b/>
      <w:bCs/>
    </w:rPr>
  </w:style>
  <w:style w:type="paragraph" w:styleId="Heading9">
    <w:name w:val="heading 9"/>
    <w:basedOn w:val="Normal"/>
    <w:next w:val="Normal"/>
    <w:qFormat/>
    <w:pPr>
      <w:keepNext w:val="true"/>
      <w:numPr>
        <w:ilvl w:val="8"/>
        <w:numId w:val="1"/>
      </w:numPr>
      <w:spacing w:lineRule="atLeast" w:line="240"/>
      <w:ind w:firstLine="360" w:start="0" w:end="0"/>
      <w:jc w:val="both"/>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WW8Dropcap0">
    <w:name w:val="WW8Dropcap0"/>
    <w:qFormat/>
    <w:rPr>
      <w:sz w:val="53"/>
      <w:szCs w:val="53"/>
    </w:rPr>
  </w:style>
  <w:style w:type="character" w:styleId="WW8Dropcap1">
    <w:name w:val="WW8Dropcap1"/>
    <w:qFormat/>
    <w:rPr>
      <w:b/>
      <w:bCs/>
      <w:sz w:val="57"/>
      <w:szCs w:val="57"/>
    </w:rPr>
  </w:style>
  <w:style w:type="character" w:styleId="WW8Dropcap2">
    <w:name w:val="WW8Dropcap2"/>
    <w:qFormat/>
    <w:rPr>
      <w:b/>
      <w:bCs/>
      <w:sz w:val="59"/>
      <w:szCs w:val="59"/>
    </w:rPr>
  </w:style>
  <w:style w:type="character" w:styleId="WW8Dropcap3">
    <w:name w:val="WW8Dropcap3"/>
    <w:qFormat/>
    <w:rPr>
      <w:b/>
      <w:bCs/>
      <w:sz w:val="59"/>
      <w:szCs w:val="59"/>
    </w:rPr>
  </w:style>
  <w:style w:type="character" w:styleId="WW8Dropcap4">
    <w:name w:val="WW8Dropcap4"/>
    <w:qFormat/>
    <w:rPr>
      <w:sz w:val="53"/>
      <w:szCs w:val="53"/>
    </w:rPr>
  </w:style>
  <w:style w:type="character" w:styleId="WW8Dropcap5">
    <w:name w:val="WW8Dropcap5"/>
    <w:qFormat/>
    <w:rPr>
      <w:sz w:val="53"/>
      <w:szCs w:val="53"/>
    </w:rPr>
  </w:style>
  <w:style w:type="character" w:styleId="WW8Dropcap6">
    <w:name w:val="WW8Dropcap6"/>
    <w:qFormat/>
    <w:rPr>
      <w:sz w:val="59"/>
      <w:szCs w:val="59"/>
    </w:rPr>
  </w:style>
  <w:style w:type="character" w:styleId="WW8Dropcap7">
    <w:name w:val="WW8Dropcap7"/>
    <w:qFormat/>
    <w:rPr>
      <w:sz w:val="59"/>
      <w:szCs w:val="59"/>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FootnoteText">
    <w:name w:val="footnote text"/>
    <w:basedOn w:val="Normal"/>
    <w:pPr/>
    <w:rPr/>
  </w:style>
  <w:style w:type="paragraph" w:styleId="BodyText2">
    <w:name w:val="Body Text 2"/>
    <w:basedOn w:val="Normal"/>
    <w:qFormat/>
    <w:pPr>
      <w:tabs>
        <w:tab w:val="clear" w:pos="720"/>
        <w:tab w:val="left" w:pos="360" w:leader="none"/>
      </w:tabs>
      <w:ind w:hanging="0" w:start="360" w:end="0"/>
      <w:jc w:val="both"/>
    </w:pPr>
    <w:rPr/>
  </w:style>
  <w:style w:type="paragraph" w:styleId="BodyTextIndent2">
    <w:name w:val="Body Text Indent 2"/>
    <w:basedOn w:val="Normal"/>
    <w:qFormat/>
    <w:pPr>
      <w:spacing w:lineRule="atLeast" w:line="240"/>
      <w:ind w:hanging="0" w:start="360" w:end="0"/>
    </w:pPr>
    <w:rPr>
      <w:color w:val="000000"/>
    </w:rPr>
  </w:style>
  <w:style w:type="paragraph" w:styleId="BodyTextIndent3">
    <w:name w:val="Body Text Indent 3"/>
    <w:basedOn w:val="Normal"/>
    <w:qFormat/>
    <w:pPr>
      <w:spacing w:lineRule="atLeast" w:line="240"/>
      <w:ind w:hanging="0" w:start="360" w:end="0"/>
      <w:jc w:val="both"/>
    </w:pPr>
    <w:rPr>
      <w:i/>
      <w:iCs/>
    </w:rPr>
  </w:style>
  <w:style w:type="paragraph" w:styleId="Department">
    <w:name w:val="Department"/>
    <w:basedOn w:val="Normal"/>
    <w:qFormat/>
    <w:pPr/>
    <w:rPr>
      <w:rFonts w:ascii="Arial" w:hAnsi="Arial" w:eastAsia="Arial" w:cs="Arial"/>
    </w:rPr>
  </w:style>
  <w:style w:type="paragraph" w:styleId="WW-BodyText2">
    <w:name w:val="WW-Body Text 2"/>
    <w:basedOn w:val="Normal"/>
    <w:qFormat/>
    <w:pPr>
      <w:tabs>
        <w:tab w:val="clear" w:pos="720"/>
        <w:tab w:val="left" w:pos="360" w:leader="none"/>
      </w:tabs>
      <w:ind w:hanging="0" w:start="360" w:end="0"/>
      <w:jc w:val="both"/>
    </w:pPr>
    <w:rPr/>
  </w:style>
  <w:style w:type="paragraph" w:styleId="Body">
    <w:name w:val="Body"/>
    <w:basedOn w:val="Normal"/>
    <w:qFormat/>
    <w:pPr>
      <w:ind w:hanging="0" w:start="72" w:end="0"/>
    </w:pPr>
    <w:rPr>
      <w:rFonts w:ascii="Arial" w:hAnsi="Arial" w:eastAsia="Arial" w:cs="Arial"/>
      <w:color w:val="000080"/>
    </w:rPr>
  </w:style>
  <w:style w:type="paragraph" w:styleId="TOC1">
    <w:name w:val="toc 1"/>
    <w:basedOn w:val="Normal"/>
    <w:next w:val="Normal"/>
    <w:pPr>
      <w:spacing w:before="120" w:after="120"/>
    </w:pPr>
    <w:rPr>
      <w:b/>
      <w:bCs/>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 w:val="18"/>
      <w:szCs w:val="18"/>
    </w:rPr>
  </w:style>
  <w:style w:type="paragraph" w:styleId="TOC5">
    <w:name w:val="toc 5"/>
    <w:basedOn w:val="Normal"/>
    <w:next w:val="Normal"/>
    <w:pPr>
      <w:ind w:hanging="0" w:start="800" w:end="0"/>
    </w:pPr>
    <w:rPr>
      <w:sz w:val="18"/>
      <w:szCs w:val="18"/>
    </w:rPr>
  </w:style>
  <w:style w:type="paragraph" w:styleId="TOC6">
    <w:name w:val="toc 6"/>
    <w:basedOn w:val="Normal"/>
    <w:next w:val="Normal"/>
    <w:pPr>
      <w:ind w:hanging="0" w:start="1000" w:end="0"/>
    </w:pPr>
    <w:rPr>
      <w:sz w:val="18"/>
      <w:szCs w:val="18"/>
    </w:rPr>
  </w:style>
  <w:style w:type="paragraph" w:styleId="TOC7">
    <w:name w:val="toc 7"/>
    <w:basedOn w:val="Normal"/>
    <w:next w:val="Normal"/>
    <w:pPr>
      <w:ind w:hanging="0" w:start="1200" w:end="0"/>
    </w:pPr>
    <w:rPr>
      <w:sz w:val="18"/>
      <w:szCs w:val="18"/>
    </w:rPr>
  </w:style>
  <w:style w:type="paragraph" w:styleId="TOC8">
    <w:name w:val="toc 8"/>
    <w:basedOn w:val="Normal"/>
    <w:next w:val="Normal"/>
    <w:pPr>
      <w:ind w:hanging="0" w:start="1400" w:end="0"/>
    </w:pPr>
    <w:rPr>
      <w:sz w:val="18"/>
      <w:szCs w:val="18"/>
    </w:rPr>
  </w:style>
  <w:style w:type="paragraph" w:styleId="TOC9">
    <w:name w:val="toc 9"/>
    <w:basedOn w:val="Normal"/>
    <w:next w:val="Normal"/>
    <w:pPr>
      <w:ind w:hanging="0" w:start="1600" w:end="0"/>
    </w:pPr>
    <w:rPr>
      <w:sz w:val="18"/>
      <w:szCs w:val="18"/>
    </w:rPr>
  </w:style>
  <w:style w:type="paragraph" w:styleId="WW-BodyText21">
    <w:name w:val="WW-Body Text 21"/>
    <w:basedOn w:val="Normal"/>
    <w:qFormat/>
    <w:pPr>
      <w:tabs>
        <w:tab w:val="clear" w:pos="720"/>
        <w:tab w:val="left" w:pos="360" w:leader="none"/>
      </w:tabs>
      <w:ind w:hanging="360" w:start="360" w:end="0"/>
      <w:jc w:val="both"/>
    </w:pPr>
    <w:rPr/>
  </w:style>
  <w:style w:type="paragraph" w:styleId="WW-BodyText22">
    <w:name w:val="WW-Body Text 22"/>
    <w:basedOn w:val="Normal"/>
    <w:qFormat/>
    <w:pPr>
      <w:ind w:hanging="0" w:start="2160" w:end="0"/>
    </w:pPr>
    <w:rPr>
      <w:rFonts w:ascii="Arial" w:hAnsi="Arial" w:eastAsia="Arial" w:cs="Arial"/>
      <w:sz w:val="24"/>
      <w:szCs w:val="24"/>
    </w:rPr>
  </w:style>
  <w:style w:type="paragraph" w:styleId="WW-BodyText23">
    <w:name w:val="WW-Body Text 23"/>
    <w:basedOn w:val="Normal"/>
    <w:qFormat/>
    <w:pPr>
      <w:tabs>
        <w:tab w:val="clear" w:pos="720"/>
        <w:tab w:val="left" w:pos="1440" w:leader="none"/>
      </w:tabs>
      <w:ind w:hanging="720" w:start="1080" w:end="0"/>
      <w:jc w:val="both"/>
    </w:pPr>
    <w:rPr/>
  </w:style>
  <w:style w:type="paragraph" w:styleId="BodyText3">
    <w:name w:val="Body Text 3"/>
    <w:basedOn w:val="Normal"/>
    <w:qFormat/>
    <w:pPr>
      <w:jc w:val="both"/>
    </w:pPr>
    <w:rPr>
      <w:sz w:val="24"/>
      <w:szCs w:val="24"/>
    </w:rPr>
  </w:style>
  <w:style w:type="paragraph" w:styleId="WW-BodyText24">
    <w:name w:val="WW-Body Text 24"/>
    <w:basedOn w:val="Normal"/>
    <w:qFormat/>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2001-03-26T21:38:00Z</dcterms:created>
  <dc:creator>kpower</dc:creator>
  <dc:description/>
  <dc:language>en-CA</dc:language>
  <cp:lastModifiedBy>kpower</cp:lastModifiedBy>
  <cp:lastPrinted>2001-04-03T14:15:00Z</cp:lastPrinted>
  <dcterms:modified xsi:type="dcterms:W3CDTF">2001-04-03T17:02:00Z</dcterms:modified>
  <cp:revision>43</cp:revision>
  <dc:subject/>
  <dc:title>ECT NORTH AMERICA</dc:title>
</cp:coreProperties>
</file>