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bCs/>
        </w:rPr>
      </w:pPr>
      <w:r>
        <w:rPr>
          <w:b/>
          <w:bCs/>
        </w:rPr>
        <w:t>UNITED STATES OF AMERICA</w:t>
      </w:r>
    </w:p>
    <w:p>
      <w:pPr>
        <w:pStyle w:val="Normal"/>
        <w:jc w:val="center"/>
        <w:rPr>
          <w:b/>
          <w:bCs/>
        </w:rPr>
      </w:pPr>
      <w:r>
        <w:rPr>
          <w:b/>
          <w:bCs/>
        </w:rPr>
        <w:t>BEFORE THE</w:t>
      </w:r>
    </w:p>
    <w:p>
      <w:pPr>
        <w:pStyle w:val="Normal"/>
        <w:jc w:val="center"/>
        <w:rPr>
          <w:b/>
          <w:bCs/>
        </w:rPr>
      </w:pPr>
      <w:r>
        <w:rPr>
          <w:b/>
          <w:bCs/>
        </w:rPr>
        <w:t>FEDERAL ENERGY REGULATORY COMMISSION</w:t>
      </w:r>
    </w:p>
    <w:p>
      <w:pPr>
        <w:pStyle w:val="Normal"/>
        <w:jc w:val="center"/>
        <w:rPr>
          <w:b/>
          <w:bCs/>
        </w:rPr>
      </w:pPr>
      <w:r>
        <w:rPr>
          <w:b/>
          <w:bCs/>
        </w:rPr>
      </w:r>
    </w:p>
    <w:p>
      <w:pPr>
        <w:pStyle w:val="Normal"/>
        <w:jc w:val="center"/>
        <w:rPr>
          <w:b/>
          <w:bCs/>
        </w:rPr>
      </w:pPr>
      <w:r>
        <w:rPr>
          <w:b/>
          <w:bCs/>
        </w:rPr>
      </w:r>
    </w:p>
    <w:p>
      <w:pPr>
        <w:pStyle w:val="Normal"/>
        <w:jc w:val="both"/>
        <w:rPr/>
      </w:pPr>
      <w:r>
        <w:rPr/>
        <w:t>__________________________________________</w:t>
        <w:tab/>
        <w:t xml:space="preserve"> </w:t>
      </w:r>
    </w:p>
    <w:p>
      <w:pPr>
        <w:pStyle w:val="Normal"/>
        <w:jc w:val="both"/>
        <w:rPr/>
      </w:pPr>
      <w:r>
        <w:rPr/>
        <w:tab/>
        <w:tab/>
        <w:tab/>
        <w:tab/>
        <w:tab/>
        <w:tab/>
        <w:tab/>
        <w:t>)</w:t>
      </w:r>
    </w:p>
    <w:p>
      <w:pPr>
        <w:pStyle w:val="Normal"/>
        <w:jc w:val="both"/>
        <w:rPr/>
      </w:pPr>
      <w:r>
        <w:rPr/>
        <w:t>San Diego Gas &amp; Electric Company</w:t>
        <w:tab/>
        <w:tab/>
        <w:t xml:space="preserve"> </w:t>
        <w:tab/>
        <w:t>)</w:t>
      </w:r>
    </w:p>
    <w:p>
      <w:pPr>
        <w:pStyle w:val="Normal"/>
        <w:jc w:val="both"/>
        <w:rPr/>
      </w:pPr>
      <w:r>
        <w:rPr/>
        <w:t xml:space="preserve">                                                </w:t>
      </w:r>
      <w:r>
        <w:rPr/>
        <w:t xml:space="preserve">Complainant               </w:t>
        <w:tab/>
        <w:t>)</w:t>
      </w:r>
    </w:p>
    <w:p>
      <w:pPr>
        <w:pStyle w:val="Normal"/>
        <w:ind w:firstLine="720" w:start="720" w:end="0"/>
        <w:jc w:val="both"/>
        <w:rPr/>
      </w:pPr>
      <w:r>
        <w:rPr/>
        <w:t>v.</w:t>
        <w:tab/>
        <w:tab/>
        <w:tab/>
        <w:tab/>
        <w:tab/>
        <w:t>)</w:t>
        <w:tab/>
        <w:t xml:space="preserve">Docket No.  EL00-95-012     </w:t>
      </w:r>
    </w:p>
    <w:p>
      <w:pPr>
        <w:pStyle w:val="Normal"/>
        <w:ind w:firstLine="720" w:start="720" w:end="0"/>
        <w:jc w:val="both"/>
        <w:rPr/>
      </w:pPr>
      <w:r>
        <w:rPr/>
        <w:tab/>
        <w:tab/>
        <w:tab/>
        <w:tab/>
        <w:tab/>
        <w:t>)</w:t>
        <w:tab/>
        <w:tab/>
        <w:t xml:space="preserve">          </w:t>
      </w:r>
    </w:p>
    <w:p>
      <w:pPr>
        <w:pStyle w:val="Normal"/>
        <w:jc w:val="both"/>
        <w:rPr/>
      </w:pPr>
      <w:r>
        <w:rPr/>
        <w:t>Sellers of Energy and Ancillary Services Into</w:t>
        <w:tab/>
        <w:t>)</w:t>
        <w:tab/>
        <w:tab/>
        <w:tab/>
      </w:r>
    </w:p>
    <w:p>
      <w:pPr>
        <w:pStyle w:val="Normal"/>
        <w:jc w:val="both"/>
        <w:rPr/>
      </w:pPr>
      <w:r>
        <w:rPr/>
        <w:t>Markets Operated by the California Independent</w:t>
        <w:tab/>
        <w:t>)</w:t>
      </w:r>
    </w:p>
    <w:p>
      <w:pPr>
        <w:pStyle w:val="Normal"/>
        <w:jc w:val="both"/>
        <w:rPr/>
      </w:pPr>
      <w:r>
        <w:rPr/>
        <w:t xml:space="preserve">System Operator and the California Power </w:t>
        <w:tab/>
        <w:tab/>
        <w:t>)</w:t>
      </w:r>
    </w:p>
    <w:p>
      <w:pPr>
        <w:pStyle w:val="Normal"/>
        <w:jc w:val="both"/>
        <w:rPr/>
      </w:pPr>
      <w:r>
        <w:rPr/>
        <w:t>Exchange.</w:t>
        <w:tab/>
        <w:tab/>
        <w:tab/>
        <w:tab/>
        <w:tab/>
        <w:tab/>
        <w:t>)</w:t>
      </w:r>
    </w:p>
    <w:p>
      <w:pPr>
        <w:pStyle w:val="Normal"/>
        <w:jc w:val="both"/>
        <w:rPr/>
      </w:pPr>
      <w:r>
        <w:rPr/>
        <w:tab/>
        <w:tab/>
        <w:tab/>
        <w:tab/>
        <w:t>Respondents</w:t>
        <w:tab/>
        <w:tab/>
        <w:t>)</w:t>
      </w:r>
    </w:p>
    <w:p>
      <w:pPr>
        <w:pStyle w:val="Normal"/>
        <w:jc w:val="both"/>
        <w:rPr/>
      </w:pPr>
      <w:r>
        <w:rPr/>
        <w:t>__________________________________________)</w:t>
      </w:r>
    </w:p>
    <w:p>
      <w:pPr>
        <w:pStyle w:val="Normal"/>
        <w:jc w:val="both"/>
        <w:rPr/>
      </w:pPr>
      <w:r>
        <w:rPr/>
        <w:tab/>
        <w:tab/>
        <w:tab/>
        <w:tab/>
        <w:tab/>
        <w:tab/>
        <w:tab/>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rPr/>
      </w:pPr>
      <w:r>
        <w:rPr/>
      </w:r>
    </w:p>
    <w:p>
      <w:pPr>
        <w:pStyle w:val="Normal"/>
        <w:tabs>
          <w:tab w:val="clear" w:pos="720"/>
          <w:tab w:val="center" w:pos="4680" w:leader="none"/>
        </w:tabs>
        <w:jc w:val="center"/>
        <w:rPr>
          <w:b/>
          <w:bCs/>
        </w:rPr>
      </w:pPr>
      <w:r>
        <w:rPr>
          <w:b/>
          <w:bCs/>
        </w:rPr>
        <w:t>COMMENTS OF THE WESTERN POWER TRADING FORUM ON STAFF RECOMMENDATION ON MARKET MONITORING AND MITIGATION</w:t>
      </w:r>
    </w:p>
    <w:p>
      <w:pPr>
        <w:pStyle w:val="Normal"/>
        <w:tabs>
          <w:tab w:val="clear" w:pos="720"/>
          <w:tab w:val="center" w:pos="4680" w:leader="none"/>
        </w:tabs>
        <w:jc w:val="center"/>
        <w:rPr>
          <w:color w:val="000000"/>
        </w:rPr>
      </w:pPr>
      <w:r>
        <w:rPr>
          <w:b/>
          <w:bCs/>
        </w:rPr>
        <w:t>FOR THE CALIFORNIA WHOLESALE ELECTRIC MARKET</w:t>
      </w:r>
    </w:p>
    <w:p>
      <w:pPr>
        <w:pStyle w:val="Normal"/>
        <w:spacing w:lineRule="auto" w:line="480"/>
        <w:jc w:val="both"/>
        <w:rPr>
          <w:color w:val="000000"/>
        </w:rPr>
      </w:pPr>
      <w:r>
        <w:rPr>
          <w:color w:val="000000"/>
        </w:rPr>
      </w:r>
    </w:p>
    <w:p>
      <w:pPr>
        <w:pStyle w:val="Normal"/>
        <w:ind w:firstLine="1440" w:start="3600" w:end="0"/>
        <w:jc w:val="both"/>
        <w:rPr>
          <w:color w:val="000000"/>
        </w:rPr>
      </w:pPr>
      <w:r>
        <w:rPr>
          <w:color w:val="000000"/>
        </w:rPr>
      </w:r>
    </w:p>
    <w:p>
      <w:pPr>
        <w:pStyle w:val="Normal"/>
        <w:ind w:firstLine="1440" w:start="3600" w:end="0"/>
        <w:jc w:val="both"/>
        <w:rPr/>
      </w:pPr>
      <w:r>
        <w:rPr/>
      </w:r>
    </w:p>
    <w:p>
      <w:pPr>
        <w:pStyle w:val="Normal"/>
        <w:ind w:firstLine="1440" w:start="3600" w:end="0"/>
        <w:jc w:val="both"/>
        <w:rPr/>
      </w:pPr>
      <w:r>
        <w:rPr/>
      </w:r>
    </w:p>
    <w:p>
      <w:pPr>
        <w:pStyle w:val="Normal"/>
        <w:ind w:firstLine="1440" w:start="3600" w:end="0"/>
        <w:jc w:val="both"/>
        <w:rPr/>
      </w:pPr>
      <w:r>
        <w:rPr/>
      </w:r>
    </w:p>
    <w:p>
      <w:pPr>
        <w:pStyle w:val="Normal"/>
        <w:ind w:firstLine="1440" w:start="3600" w:end="0"/>
        <w:jc w:val="both"/>
        <w:rPr/>
      </w:pPr>
      <w:r>
        <w:rPr/>
      </w:r>
    </w:p>
    <w:p>
      <w:pPr>
        <w:pStyle w:val="Normal"/>
        <w:ind w:firstLine="1440" w:start="3600" w:end="0"/>
        <w:jc w:val="both"/>
        <w:rPr/>
      </w:pPr>
      <w:r>
        <w:rPr/>
      </w:r>
    </w:p>
    <w:p>
      <w:pPr>
        <w:pStyle w:val="Normal"/>
        <w:ind w:firstLine="1440" w:start="3600" w:end="0"/>
        <w:jc w:val="both"/>
        <w:rPr/>
      </w:pPr>
      <w:r>
        <w:rPr/>
      </w:r>
    </w:p>
    <w:p>
      <w:pPr>
        <w:pStyle w:val="Normal"/>
        <w:ind w:firstLine="1440" w:start="3600" w:end="0"/>
        <w:jc w:val="both"/>
        <w:rPr/>
      </w:pPr>
      <w:r>
        <w:rPr/>
        <w:t>Daniel W. Douglass</w:t>
      </w:r>
    </w:p>
    <w:p>
      <w:pPr>
        <w:pStyle w:val="Normal"/>
        <w:ind w:firstLine="1440" w:start="3600" w:end="0"/>
        <w:jc w:val="both"/>
        <w:rPr/>
      </w:pPr>
      <w:r>
        <w:rPr/>
        <w:t>Arter &amp; Hadden LLP</w:t>
      </w:r>
    </w:p>
    <w:p>
      <w:pPr>
        <w:pStyle w:val="Normal"/>
        <w:ind w:firstLine="1440" w:start="3600" w:end="0"/>
        <w:jc w:val="both"/>
        <w:rPr/>
      </w:pPr>
      <w:r>
        <w:rPr/>
        <w:t>5959 Topanga Canyon Blvd.  Suite 244</w:t>
      </w:r>
    </w:p>
    <w:p>
      <w:pPr>
        <w:pStyle w:val="Normal"/>
        <w:ind w:firstLine="1440" w:start="3600" w:end="0"/>
        <w:jc w:val="both"/>
        <w:rPr/>
      </w:pPr>
      <w:r>
        <w:rPr/>
        <w:t>Woodland Hills, CA 91367</w:t>
      </w:r>
    </w:p>
    <w:p>
      <w:pPr>
        <w:pStyle w:val="Normal"/>
        <w:ind w:firstLine="1440" w:start="3600" w:end="0"/>
        <w:jc w:val="both"/>
        <w:rPr/>
      </w:pPr>
      <w:r>
        <w:rPr/>
        <w:t>Telephone (818) 596-2201</w:t>
      </w:r>
    </w:p>
    <w:p>
      <w:pPr>
        <w:pStyle w:val="Normal"/>
        <w:ind w:firstLine="5040" w:end="0"/>
        <w:jc w:val="both"/>
        <w:rPr/>
      </w:pPr>
      <w:r>
        <w:rPr/>
        <w:t>Facsimile   (818) 346-6502</w:t>
      </w:r>
    </w:p>
    <w:p>
      <w:pPr>
        <w:pStyle w:val="Normal"/>
        <w:ind w:firstLine="5040" w:end="0"/>
        <w:jc w:val="both"/>
        <w:rPr/>
      </w:pPr>
      <w:r>
        <w:rPr/>
      </w:r>
    </w:p>
    <w:p>
      <w:pPr>
        <w:pStyle w:val="Normal"/>
        <w:ind w:firstLine="5040" w:end="0"/>
        <w:jc w:val="both"/>
        <w:rPr/>
      </w:pPr>
      <w:r>
        <w:rPr/>
      </w:r>
    </w:p>
    <w:p>
      <w:pPr>
        <w:pStyle w:val="Normal"/>
        <w:ind w:firstLine="5040" w:end="0"/>
        <w:jc w:val="both"/>
        <w:rPr/>
      </w:pPr>
      <w:r>
        <w:rPr/>
      </w:r>
    </w:p>
    <w:p>
      <w:pPr>
        <w:pStyle w:val="Normal"/>
        <w:jc w:val="both"/>
        <w:rPr/>
      </w:pPr>
      <w:r>
        <w:rPr/>
        <w:t>March 22, 2001</w:t>
      </w:r>
      <w:r>
        <w:br w:type="page"/>
      </w:r>
    </w:p>
    <w:p>
      <w:pPr>
        <w:pStyle w:val="Normal"/>
        <w:jc w:val="center"/>
        <w:rPr>
          <w:b/>
          <w:bCs/>
        </w:rPr>
      </w:pPr>
      <w:r>
        <w:rPr>
          <w:b/>
          <w:bCs/>
        </w:rPr>
        <w:t>UNITED STATES OF AMERICA</w:t>
      </w:r>
    </w:p>
    <w:p>
      <w:pPr>
        <w:pStyle w:val="Normal"/>
        <w:jc w:val="center"/>
        <w:rPr>
          <w:b/>
          <w:bCs/>
        </w:rPr>
      </w:pPr>
      <w:r>
        <w:rPr>
          <w:b/>
          <w:bCs/>
        </w:rPr>
        <w:t>BEFORE THE</w:t>
      </w:r>
    </w:p>
    <w:p>
      <w:pPr>
        <w:pStyle w:val="Normal"/>
        <w:jc w:val="center"/>
        <w:rPr>
          <w:b/>
          <w:bCs/>
        </w:rPr>
      </w:pPr>
      <w:r>
        <w:rPr>
          <w:b/>
          <w:bCs/>
        </w:rPr>
        <w:t>FEDERAL ENERGY REGULATORY COMMISSION</w:t>
      </w:r>
    </w:p>
    <w:p>
      <w:pPr>
        <w:pStyle w:val="Normal"/>
        <w:jc w:val="center"/>
        <w:rPr>
          <w:b/>
          <w:bCs/>
        </w:rPr>
      </w:pPr>
      <w:r>
        <w:rPr>
          <w:b/>
          <w:bCs/>
        </w:rPr>
      </w:r>
    </w:p>
    <w:p>
      <w:pPr>
        <w:pStyle w:val="Normal"/>
        <w:jc w:val="center"/>
        <w:rPr>
          <w:b/>
          <w:bCs/>
        </w:rPr>
      </w:pPr>
      <w:r>
        <w:rPr>
          <w:b/>
          <w:bCs/>
        </w:rPr>
      </w:r>
    </w:p>
    <w:p>
      <w:pPr>
        <w:pStyle w:val="Normal"/>
        <w:jc w:val="center"/>
        <w:rPr>
          <w:b/>
          <w:bCs/>
        </w:rPr>
      </w:pPr>
      <w:r>
        <w:rPr>
          <w:b/>
          <w:bCs/>
        </w:rPr>
      </w:r>
    </w:p>
    <w:p>
      <w:pPr>
        <w:pStyle w:val="Normal"/>
        <w:jc w:val="both"/>
        <w:rPr/>
      </w:pPr>
      <w:r>
        <w:rPr/>
        <w:t>__________________________________________</w:t>
        <w:tab/>
        <w:t xml:space="preserve"> </w:t>
      </w:r>
    </w:p>
    <w:p>
      <w:pPr>
        <w:pStyle w:val="Normal"/>
        <w:jc w:val="both"/>
        <w:rPr/>
      </w:pPr>
      <w:r>
        <w:rPr/>
        <w:tab/>
        <w:tab/>
        <w:tab/>
        <w:tab/>
        <w:tab/>
        <w:tab/>
        <w:tab/>
        <w:t>)</w:t>
      </w:r>
    </w:p>
    <w:p>
      <w:pPr>
        <w:pStyle w:val="Normal"/>
        <w:jc w:val="both"/>
        <w:rPr/>
      </w:pPr>
      <w:r>
        <w:rPr/>
        <w:t>San Diego Gas &amp; Electric Company</w:t>
        <w:tab/>
        <w:tab/>
        <w:t xml:space="preserve"> </w:t>
        <w:tab/>
        <w:t>)</w:t>
      </w:r>
    </w:p>
    <w:p>
      <w:pPr>
        <w:pStyle w:val="Normal"/>
        <w:jc w:val="both"/>
        <w:rPr/>
      </w:pPr>
      <w:r>
        <w:rPr/>
        <w:t xml:space="preserve">                                                </w:t>
      </w:r>
      <w:r>
        <w:rPr/>
        <w:t xml:space="preserve">Complainant               </w:t>
        <w:tab/>
        <w:t>)</w:t>
      </w:r>
    </w:p>
    <w:p>
      <w:pPr>
        <w:pStyle w:val="Normal"/>
        <w:ind w:firstLine="720" w:start="720" w:end="0"/>
        <w:jc w:val="both"/>
        <w:rPr/>
      </w:pPr>
      <w:r>
        <w:rPr/>
        <w:t>v.</w:t>
        <w:tab/>
        <w:tab/>
        <w:tab/>
        <w:tab/>
        <w:tab/>
        <w:t>)</w:t>
        <w:tab/>
        <w:t xml:space="preserve">Docket No.  EL00-95-012     </w:t>
      </w:r>
    </w:p>
    <w:p>
      <w:pPr>
        <w:pStyle w:val="Normal"/>
        <w:ind w:firstLine="720" w:start="720" w:end="0"/>
        <w:jc w:val="both"/>
        <w:rPr/>
      </w:pPr>
      <w:r>
        <w:rPr/>
        <w:tab/>
        <w:tab/>
        <w:tab/>
        <w:tab/>
        <w:tab/>
        <w:t>)</w:t>
        <w:tab/>
        <w:tab/>
        <w:t xml:space="preserve">          </w:t>
      </w:r>
    </w:p>
    <w:p>
      <w:pPr>
        <w:pStyle w:val="Normal"/>
        <w:jc w:val="both"/>
        <w:rPr/>
      </w:pPr>
      <w:r>
        <w:rPr/>
        <w:t>Sellers of Energy and Ancillary Services Into</w:t>
        <w:tab/>
        <w:t>)</w:t>
        <w:tab/>
        <w:tab/>
        <w:tab/>
      </w:r>
    </w:p>
    <w:p>
      <w:pPr>
        <w:pStyle w:val="Normal"/>
        <w:jc w:val="both"/>
        <w:rPr/>
      </w:pPr>
      <w:r>
        <w:rPr/>
        <w:t>Markets Operated by the California Independent</w:t>
        <w:tab/>
        <w:t>)</w:t>
      </w:r>
    </w:p>
    <w:p>
      <w:pPr>
        <w:pStyle w:val="Normal"/>
        <w:jc w:val="both"/>
        <w:rPr/>
      </w:pPr>
      <w:r>
        <w:rPr/>
        <w:t xml:space="preserve">System Operator and the California Power </w:t>
        <w:tab/>
        <w:tab/>
        <w:t>)</w:t>
      </w:r>
    </w:p>
    <w:p>
      <w:pPr>
        <w:pStyle w:val="Normal"/>
        <w:jc w:val="both"/>
        <w:rPr/>
      </w:pPr>
      <w:r>
        <w:rPr/>
        <w:t>Exchange.</w:t>
        <w:tab/>
        <w:tab/>
        <w:tab/>
        <w:tab/>
        <w:tab/>
        <w:tab/>
        <w:t>)</w:t>
      </w:r>
    </w:p>
    <w:p>
      <w:pPr>
        <w:pStyle w:val="Normal"/>
        <w:jc w:val="both"/>
        <w:rPr/>
      </w:pPr>
      <w:r>
        <w:rPr/>
        <w:tab/>
        <w:tab/>
        <w:tab/>
        <w:tab/>
        <w:t>Respondents</w:t>
        <w:tab/>
        <w:tab/>
        <w:t>)</w:t>
      </w:r>
    </w:p>
    <w:p>
      <w:pPr>
        <w:pStyle w:val="Normal"/>
        <w:jc w:val="both"/>
        <w:rPr/>
      </w:pPr>
      <w:r>
        <w:rPr/>
        <w:t>__________________________________________)</w:t>
      </w:r>
    </w:p>
    <w:p>
      <w:pPr>
        <w:pStyle w:val="Normal"/>
        <w:jc w:val="both"/>
        <w:rPr/>
      </w:pPr>
      <w:r>
        <w:rPr/>
        <w:tab/>
        <w:tab/>
        <w:tab/>
        <w:tab/>
        <w:tab/>
        <w:tab/>
        <w:tab/>
      </w:r>
    </w:p>
    <w:p>
      <w:pPr>
        <w:pStyle w:val="Normal"/>
        <w:jc w:val="both"/>
        <w:rPr/>
      </w:pPr>
      <w:r>
        <w:rPr/>
      </w:r>
    </w:p>
    <w:p>
      <w:pPr>
        <w:pStyle w:val="Normal"/>
        <w:rPr/>
      </w:pPr>
      <w:r>
        <w:rPr/>
      </w:r>
    </w:p>
    <w:p>
      <w:pPr>
        <w:pStyle w:val="Normal"/>
        <w:tabs>
          <w:tab w:val="clear" w:pos="720"/>
          <w:tab w:val="center" w:pos="4680" w:leader="none"/>
        </w:tabs>
        <w:jc w:val="center"/>
        <w:rPr>
          <w:b/>
          <w:bCs/>
        </w:rPr>
      </w:pPr>
      <w:r>
        <w:rPr>
          <w:b/>
          <w:bCs/>
        </w:rPr>
        <w:t>COMMENTS OF THE WESTERN POWER TRADING FORUM ON STAFF RECOMMENDATION ON MARKET MONITORING AND MITIGATION</w:t>
      </w:r>
    </w:p>
    <w:p>
      <w:pPr>
        <w:pStyle w:val="Normal"/>
        <w:spacing w:lineRule="auto" w:line="480"/>
        <w:jc w:val="center"/>
        <w:rPr>
          <w:color w:val="000000"/>
          <w:u w:val="single"/>
        </w:rPr>
      </w:pPr>
      <w:r>
        <w:rPr>
          <w:b/>
          <w:bCs/>
        </w:rPr>
        <w:t>FOR THE CALIFORNIA WHOLESALE ELECTRIC MARKET</w:t>
      </w:r>
    </w:p>
    <w:p>
      <w:pPr>
        <w:pStyle w:val="Normal"/>
        <w:spacing w:lineRule="auto" w:line="480"/>
        <w:jc w:val="center"/>
        <w:rPr>
          <w:color w:val="000000"/>
          <w:u w:val="single"/>
        </w:rPr>
      </w:pPr>
      <w:r>
        <w:rPr>
          <w:color w:val="000000"/>
          <w:u w:val="single"/>
        </w:rPr>
      </w:r>
    </w:p>
    <w:p>
      <w:pPr>
        <w:pStyle w:val="Normal"/>
        <w:spacing w:lineRule="auto" w:line="480"/>
        <w:jc w:val="center"/>
        <w:rPr>
          <w:color w:val="000000"/>
          <w:u w:val="single"/>
        </w:rPr>
      </w:pPr>
      <w:r>
        <w:rPr>
          <w:b/>
          <w:bCs/>
          <w:color w:val="000000"/>
        </w:rPr>
        <w:t xml:space="preserve">I.  </w:t>
      </w:r>
      <w:r>
        <w:rPr>
          <w:b/>
          <w:bCs/>
          <w:color w:val="000000"/>
          <w:u w:val="single"/>
        </w:rPr>
        <w:t>Introduction</w:t>
      </w:r>
    </w:p>
    <w:p>
      <w:pPr>
        <w:pStyle w:val="Normal"/>
        <w:spacing w:lineRule="auto" w:line="480"/>
        <w:ind w:firstLine="720" w:end="0"/>
        <w:jc w:val="both"/>
        <w:rPr/>
      </w:pPr>
      <w:r>
        <w:rPr/>
        <w:t>The Western Power Trading Forum (“WPTF”), pursuant to Rules 212 and 213 of the Commission’s Rules of Practice and Procedure,</w:t>
      </w:r>
      <w:r>
        <w:rPr>
          <w:sz w:val="20"/>
          <w:szCs w:val="20"/>
        </w:rPr>
        <w:t xml:space="preserve"> </w:t>
      </w:r>
      <w:r>
        <w:rPr/>
        <w:t>18 C.F.R. §§ 385.212 and 385.213 (2000). hereby files its comments with regard to</w:t>
      </w:r>
      <w:r>
        <w:rPr>
          <w:color w:val="000000"/>
        </w:rPr>
        <w:t xml:space="preserve"> the Federal Energy Regulatory Commission (“Commission”) </w:t>
      </w:r>
      <w:r>
        <w:rPr>
          <w:i/>
          <w:iCs/>
          <w:color w:val="000000"/>
        </w:rPr>
        <w:t>Staff Recommendation On Prospective Market Monitoring and Mitigation For The California Wholesale Electric Power Market</w:t>
      </w:r>
      <w:r>
        <w:rPr>
          <w:color w:val="000000"/>
        </w:rPr>
        <w:t xml:space="preserve"> (March 2001), hereinafter referred as the “Staff Report.”  The Staff Report is evaluated in the context of standard principles of economic analysis.  Central observations are presented in section II, additional comments are offered in section III, and concluding thoughts in section IV.</w:t>
      </w:r>
    </w:p>
    <w:p>
      <w:pPr>
        <w:pStyle w:val="Normal"/>
        <w:numPr>
          <w:ilvl w:val="0"/>
          <w:numId w:val="2"/>
        </w:numPr>
        <w:tabs>
          <w:tab w:val="clear" w:pos="720"/>
          <w:tab w:val="left" w:pos="0" w:leader="none"/>
        </w:tabs>
        <w:spacing w:lineRule="auto" w:line="480"/>
        <w:ind w:hanging="720" w:start="720" w:end="0"/>
        <w:jc w:val="center"/>
        <w:rPr>
          <w:b/>
          <w:bCs/>
          <w:color w:val="000000"/>
          <w:u w:val="single"/>
        </w:rPr>
      </w:pPr>
      <w:r>
        <w:rPr>
          <w:b/>
          <w:bCs/>
          <w:color w:val="000000"/>
          <w:u w:val="single"/>
        </w:rPr>
        <w:t>Central Observations</w:t>
      </w:r>
    </w:p>
    <w:p>
      <w:pPr>
        <w:pStyle w:val="Normal"/>
        <w:numPr>
          <w:ilvl w:val="0"/>
          <w:numId w:val="2"/>
        </w:numPr>
        <w:tabs>
          <w:tab w:val="clear" w:pos="720"/>
          <w:tab w:val="left" w:pos="0" w:leader="none"/>
        </w:tabs>
        <w:ind w:hanging="360" w:start="1440" w:end="0"/>
        <w:jc w:val="both"/>
        <w:rPr/>
      </w:pPr>
      <w:r>
        <w:rPr>
          <w:b/>
          <w:bCs/>
          <w:color w:val="000000"/>
          <w:u w:val="single"/>
        </w:rPr>
        <w:t>The definition of marginal cost offered in the Staff Report is incorrect, in that it includes only cost components that are directly measurable</w:t>
      </w:r>
      <w:r>
        <w:rPr>
          <w:rStyle w:val="FootnoteReference"/>
          <w:b/>
          <w:bCs/>
          <w:color w:val="000000"/>
        </w:rPr>
        <w:footnoteReference w:id="2"/>
      </w:r>
      <w:r>
        <w:rPr>
          <w:rStyle w:val="FootnoteCharacters"/>
          <w:b/>
          <w:bCs/>
          <w:color w:val="000000"/>
        </w:rPr>
        <w:t xml:space="preserve"> </w:t>
      </w:r>
      <w:r>
        <w:rPr>
          <w:rStyle w:val="FootnoteCharacters"/>
          <w:color w:val="000000"/>
        </w:rPr>
        <w:t>1</w:t>
      </w:r>
      <w:r>
        <w:rPr>
          <w:color w:val="000000"/>
        </w:rPr>
        <w:t xml:space="preserve">  </w:t>
      </w:r>
    </w:p>
    <w:p>
      <w:pPr>
        <w:pStyle w:val="Normal"/>
        <w:ind w:start="720" w:end="0"/>
        <w:jc w:val="both"/>
        <w:rPr>
          <w:color w:val="000000"/>
        </w:rPr>
      </w:pPr>
      <w:r>
        <w:rPr>
          <w:color w:val="000000"/>
        </w:rPr>
      </w:r>
    </w:p>
    <w:p>
      <w:pPr>
        <w:pStyle w:val="Normal"/>
        <w:spacing w:lineRule="auto" w:line="480"/>
        <w:ind w:firstLine="720" w:end="0"/>
        <w:jc w:val="both"/>
        <w:rPr>
          <w:color w:val="000000"/>
        </w:rPr>
      </w:pPr>
      <w:r>
        <w:rPr>
          <w:color w:val="000000"/>
        </w:rPr>
        <w:t>This definition would yield calculations of marginal cost that are biased downward, and thus inefficiently low, because it excludes four important cost dimensions:</w:t>
      </w:r>
    </w:p>
    <w:p>
      <w:pPr>
        <w:pStyle w:val="Normal"/>
        <w:numPr>
          <w:ilvl w:val="0"/>
          <w:numId w:val="3"/>
        </w:numPr>
        <w:tabs>
          <w:tab w:val="clear" w:pos="720"/>
          <w:tab w:val="left" w:pos="0" w:leader="none"/>
        </w:tabs>
        <w:ind w:hanging="360" w:start="1440" w:end="0"/>
        <w:jc w:val="both"/>
        <w:rPr/>
      </w:pPr>
      <w:r>
        <w:rPr>
          <w:b/>
          <w:bCs/>
          <w:color w:val="000000"/>
        </w:rPr>
        <w:t>The risk of nonpayment, or the interest cost of late payment, is significant, as demonstrated by the evolution of events in the California market since summer 2000</w:t>
      </w:r>
      <w:r>
        <w:rPr>
          <w:color w:val="000000"/>
        </w:rPr>
        <w:t xml:space="preserve">. </w:t>
      </w:r>
    </w:p>
    <w:p>
      <w:pPr>
        <w:pStyle w:val="Normal"/>
        <w:ind w:start="720" w:end="0"/>
        <w:jc w:val="both"/>
        <w:rPr>
          <w:color w:val="000000"/>
        </w:rPr>
      </w:pPr>
      <w:r>
        <w:rPr>
          <w:color w:val="000000"/>
        </w:rPr>
      </w:r>
    </w:p>
    <w:p>
      <w:pPr>
        <w:pStyle w:val="Normal"/>
        <w:spacing w:lineRule="auto" w:line="480"/>
        <w:ind w:firstLine="720" w:end="0"/>
        <w:jc w:val="both"/>
        <w:rPr>
          <w:color w:val="000000"/>
        </w:rPr>
      </w:pPr>
      <w:r>
        <w:rPr>
          <w:color w:val="000000"/>
        </w:rPr>
        <w:t xml:space="preserve"> </w:t>
      </w:r>
      <w:r>
        <w:rPr>
          <w:color w:val="000000"/>
        </w:rPr>
        <w:t>Moreover, several public officials have advocated partial nonpayment for past deliveries by power producers—arguing that they should be “part of the solution”—and recent refund orders by FERC have exacerbated this risk.  This nonpayment risk is not directly measurable in the sense that natural gas prices can be ascertained.  It is, however, a real economic cost of doing business in California; and there can be no guarantee that future crises will not introduce nonpayment (or late payment) risks in other states as well.  Since this prospective nonpayment risk applies to each sale, it is a clear component of marginal cost, which can be estimated with capital asset pricing models and similar tools.</w:t>
      </w:r>
    </w:p>
    <w:p>
      <w:pPr>
        <w:pStyle w:val="Normal"/>
        <w:spacing w:lineRule="auto" w:line="480"/>
        <w:jc w:val="both"/>
        <w:rPr>
          <w:color w:val="000000"/>
        </w:rPr>
      </w:pPr>
      <w:r>
        <w:rPr>
          <w:color w:val="000000"/>
        </w:rPr>
      </w:r>
    </w:p>
    <w:p>
      <w:pPr>
        <w:pStyle w:val="Normal"/>
        <w:numPr>
          <w:ilvl w:val="0"/>
          <w:numId w:val="4"/>
        </w:numPr>
        <w:tabs>
          <w:tab w:val="clear" w:pos="720"/>
          <w:tab w:val="left" w:pos="0" w:leader="none"/>
        </w:tabs>
        <w:ind w:hanging="360" w:start="1440" w:end="0"/>
        <w:jc w:val="both"/>
        <w:rPr/>
      </w:pPr>
      <w:r>
        <w:rPr>
          <w:b/>
          <w:bCs/>
          <w:color w:val="000000"/>
        </w:rPr>
        <w:t>Since generating units cannot be operated efficiently 8760 hours per year, choices must be made with respect to the economic scheduling of maintenance outages or other downtime</w:t>
      </w:r>
      <w:r>
        <w:rPr>
          <w:color w:val="000000"/>
        </w:rPr>
        <w:t xml:space="preserve">.  </w:t>
      </w:r>
    </w:p>
    <w:p>
      <w:pPr>
        <w:pStyle w:val="Normal"/>
        <w:ind w:start="720" w:end="0"/>
        <w:jc w:val="both"/>
        <w:rPr>
          <w:color w:val="000000"/>
        </w:rPr>
      </w:pPr>
      <w:r>
        <w:rPr>
          <w:color w:val="000000"/>
        </w:rPr>
      </w:r>
    </w:p>
    <w:p>
      <w:pPr>
        <w:pStyle w:val="Normal"/>
        <w:spacing w:lineRule="auto" w:line="480"/>
        <w:ind w:firstLine="720" w:end="0"/>
        <w:jc w:val="both"/>
        <w:rPr>
          <w:color w:val="000000"/>
        </w:rPr>
      </w:pPr>
      <w:r>
        <w:rPr>
          <w:color w:val="000000"/>
        </w:rPr>
        <w:t xml:space="preserve">This means that production and sales in one time period carry some opportunity cost in terms of forgone production and sales in other time periods.  This is not “manipulation.” It is the allocation of generating capacity to time periods when it is valued more highly by consumers, that is, when prices are relatively high so that electricity is relatively valuable on the margin.  Accordingly, this serves the interests of consumers; but the opportunity cost over time of production in a given time period, like the risk of nonpayment, cannot be measured directly.  The Staff Report recognizes (page 12) an analogous opportunity cost, “measured as the foregone revenue from other markets in which the owner could have participated.”  If this kind of opportunity cost is relevant geographically, it is wholly unclear as to why it should be considered irrelevant dynamically, that is, over time.  </w:t>
      </w:r>
    </w:p>
    <w:p>
      <w:pPr>
        <w:pStyle w:val="Normal"/>
        <w:spacing w:lineRule="auto" w:line="480"/>
        <w:ind w:firstLine="720" w:end="0"/>
        <w:jc w:val="both"/>
        <w:rPr/>
      </w:pPr>
      <w:r>
        <w:rPr>
          <w:color w:val="000000"/>
        </w:rPr>
        <w:t>The Staff Report asserts (page 12) that if the producer is bidding in a real-time market, “opportunities to sell in other markets generally no longer exist.”  But that assertion cannot be correct, since the producer still must choose among real-time markets, and a choice to sell in one imposes an opportunity cost of selling in another.  The discussion in the Staff Report thus assumes this away by stating that the, “owner is bidding in a real-time market”; but that premise shunts aside the relevant business choice and the true marginal cost attendant upon it</w:t>
      </w:r>
      <w:r>
        <w:rPr>
          <w:rStyle w:val="FootnoteReference"/>
          <w:color w:val="000000"/>
        </w:rPr>
        <w:footnoteReference w:customMarkFollows="1" w:id="3"/>
        <w:t>.</w:t>
      </w:r>
      <w:r>
        <w:rPr>
          <w:rStyle w:val="FootnoteCharacters"/>
          <w:color w:val="000000"/>
        </w:rPr>
        <w:t xml:space="preserve"> 2</w:t>
      </w:r>
      <w:r>
        <w:rPr>
          <w:color w:val="000000"/>
        </w:rPr>
        <w:t xml:space="preserve">  In any event, the allocation problem over time remains relevant.</w:t>
      </w:r>
    </w:p>
    <w:p>
      <w:pPr>
        <w:pStyle w:val="Normal"/>
        <w:spacing w:lineRule="auto" w:line="480"/>
        <w:ind w:firstLine="720" w:end="0"/>
        <w:jc w:val="both"/>
        <w:rPr>
          <w:color w:val="000000"/>
        </w:rPr>
      </w:pPr>
      <w:r>
        <w:rPr>
          <w:color w:val="000000"/>
        </w:rPr>
      </w:r>
    </w:p>
    <w:p>
      <w:pPr>
        <w:pStyle w:val="Normal"/>
        <w:numPr>
          <w:ilvl w:val="0"/>
          <w:numId w:val="5"/>
        </w:numPr>
        <w:tabs>
          <w:tab w:val="clear" w:pos="720"/>
          <w:tab w:val="left" w:pos="0" w:leader="none"/>
        </w:tabs>
        <w:ind w:hanging="360" w:start="1440" w:end="0"/>
        <w:jc w:val="both"/>
        <w:rPr/>
      </w:pPr>
      <w:r>
        <w:rPr>
          <w:b/>
          <w:bCs/>
          <w:color w:val="000000"/>
        </w:rPr>
        <w:t>Competitive market prices for power will contain a premium for producer investment and maintenance in optimal reliability, just as higher quality goods in any market command higher prices</w:t>
      </w:r>
      <w:r>
        <w:rPr>
          <w:color w:val="000000"/>
        </w:rPr>
        <w:t>.</w:t>
      </w:r>
    </w:p>
    <w:p>
      <w:pPr>
        <w:pStyle w:val="Normal"/>
        <w:ind w:start="720" w:end="0"/>
        <w:jc w:val="both"/>
        <w:rPr>
          <w:color w:val="000000"/>
        </w:rPr>
      </w:pPr>
      <w:r>
        <w:rPr>
          <w:color w:val="000000"/>
        </w:rPr>
        <w:t xml:space="preserve">  </w:t>
      </w:r>
    </w:p>
    <w:p>
      <w:pPr>
        <w:pStyle w:val="Normal"/>
        <w:spacing w:lineRule="auto" w:line="480"/>
        <w:ind w:firstLine="720" w:end="0"/>
        <w:jc w:val="both"/>
        <w:rPr/>
      </w:pPr>
      <w:r>
        <w:rPr>
          <w:color w:val="000000"/>
        </w:rPr>
        <w:t xml:space="preserve">Aggregate market behavior by consumers establishes the benefits and costs of marginal quality improvements—capacity reliability in the context of the electric power market—and thus yields an equilibrium level of quality, which in this context is reliability.  In markets in which quality is difficult for consumers to measure </w:t>
      </w:r>
      <w:r>
        <w:rPr>
          <w:i/>
          <w:iCs/>
          <w:color w:val="000000"/>
        </w:rPr>
        <w:t>ex ante</w:t>
      </w:r>
      <w:r>
        <w:rPr>
          <w:color w:val="000000"/>
        </w:rPr>
        <w:t>, market prices will rise to induce trustworthy investment in optimal quality by producers, yielding accounting “profits” seemingly high, but which actually are competitive returns in the relevant economic context</w:t>
      </w:r>
      <w:r>
        <w:rPr>
          <w:rStyle w:val="FootnoteReference"/>
          <w:color w:val="000000"/>
        </w:rPr>
        <w:footnoteReference w:customMarkFollows="1" w:id="4"/>
        <w:t>.</w:t>
      </w:r>
      <w:r>
        <w:rPr>
          <w:rStyle w:val="FootnoteCharacters"/>
          <w:color w:val="000000"/>
        </w:rPr>
        <w:t xml:space="preserve"> 3</w:t>
      </w:r>
      <w:r>
        <w:rPr>
          <w:color w:val="000000"/>
        </w:rPr>
        <w:t xml:space="preserve">  This price premium is difficult to measure directly, and thus is unlikely to be considered a relevant component of marginal cost in standard regulatory procedures and institutions. </w:t>
      </w:r>
    </w:p>
    <w:p>
      <w:pPr>
        <w:pStyle w:val="Normal"/>
        <w:spacing w:lineRule="auto" w:line="480"/>
        <w:ind w:firstLine="720" w:end="0"/>
        <w:jc w:val="both"/>
        <w:rPr>
          <w:color w:val="000000"/>
        </w:rPr>
      </w:pPr>
      <w:r>
        <w:rPr>
          <w:color w:val="000000"/>
        </w:rPr>
      </w:r>
    </w:p>
    <w:p>
      <w:pPr>
        <w:pStyle w:val="Normal"/>
        <w:numPr>
          <w:ilvl w:val="0"/>
          <w:numId w:val="6"/>
        </w:numPr>
        <w:tabs>
          <w:tab w:val="clear" w:pos="720"/>
          <w:tab w:val="left" w:pos="0" w:leader="none"/>
        </w:tabs>
        <w:ind w:hanging="360" w:start="1440" w:end="0"/>
        <w:jc w:val="both"/>
        <w:rPr/>
      </w:pPr>
      <w:r>
        <w:rPr>
          <w:b/>
          <w:bCs/>
          <w:color w:val="000000"/>
        </w:rPr>
        <w:t>Sales in a given market impose a risk of mandated future sales into that market, even if such future required sales prove uneconomic</w:t>
      </w:r>
      <w:r>
        <w:rPr>
          <w:color w:val="000000"/>
        </w:rPr>
        <w:t xml:space="preserve">.  </w:t>
      </w:r>
    </w:p>
    <w:p>
      <w:pPr>
        <w:pStyle w:val="Normal"/>
        <w:ind w:start="720" w:end="0"/>
        <w:jc w:val="both"/>
        <w:rPr>
          <w:color w:val="000000"/>
        </w:rPr>
      </w:pPr>
      <w:r>
        <w:rPr>
          <w:color w:val="000000"/>
        </w:rPr>
      </w:r>
    </w:p>
    <w:p>
      <w:pPr>
        <w:pStyle w:val="Normal"/>
        <w:spacing w:lineRule="auto" w:line="480"/>
        <w:ind w:firstLine="720" w:end="0"/>
        <w:jc w:val="both"/>
        <w:rPr>
          <w:color w:val="000000"/>
        </w:rPr>
      </w:pPr>
      <w:r>
        <w:rPr>
          <w:color w:val="000000"/>
        </w:rPr>
        <w:t>This problem, again difficult to measure directly, is a relevant component of marginal cost, and the discussion above on the nonpayment phenomenon is largely applicable to this risk as well.</w:t>
      </w:r>
    </w:p>
    <w:p>
      <w:pPr>
        <w:pStyle w:val="Normal"/>
        <w:spacing w:lineRule="auto" w:line="480"/>
        <w:jc w:val="both"/>
        <w:rPr>
          <w:color w:val="000000"/>
        </w:rPr>
      </w:pPr>
      <w:r>
        <w:rPr>
          <w:color w:val="000000"/>
        </w:rPr>
      </w:r>
    </w:p>
    <w:p>
      <w:pPr>
        <w:pStyle w:val="Normal"/>
        <w:numPr>
          <w:ilvl w:val="0"/>
          <w:numId w:val="7"/>
        </w:numPr>
        <w:tabs>
          <w:tab w:val="clear" w:pos="720"/>
          <w:tab w:val="left" w:pos="0" w:leader="none"/>
        </w:tabs>
        <w:ind w:hanging="360" w:start="1440" w:end="0"/>
        <w:jc w:val="both"/>
        <w:rPr/>
      </w:pPr>
      <w:r>
        <w:rPr>
          <w:b/>
          <w:bCs/>
          <w:color w:val="000000"/>
          <w:u w:val="single"/>
        </w:rPr>
        <w:t>The proposed mitigation approach outlined in the Staff Report is inconsistent with the interests of consumers</w:t>
      </w:r>
      <w:r>
        <w:rPr>
          <w:b/>
          <w:bCs/>
          <w:color w:val="000000"/>
        </w:rPr>
        <w:t xml:space="preserve">.  </w:t>
      </w:r>
    </w:p>
    <w:p>
      <w:pPr>
        <w:pStyle w:val="Normal"/>
        <w:ind w:start="720" w:end="0"/>
        <w:jc w:val="both"/>
        <w:rPr>
          <w:b/>
          <w:bCs/>
          <w:color w:val="000000"/>
        </w:rPr>
      </w:pPr>
      <w:r>
        <w:rPr>
          <w:b/>
          <w:bCs/>
          <w:color w:val="000000"/>
        </w:rPr>
      </w:r>
    </w:p>
    <w:p>
      <w:pPr>
        <w:pStyle w:val="Normal"/>
        <w:spacing w:lineRule="auto" w:line="480"/>
        <w:ind w:firstLine="720" w:end="0"/>
        <w:jc w:val="both"/>
        <w:rPr/>
      </w:pPr>
      <w:r>
        <w:rPr>
          <w:color w:val="000000"/>
        </w:rPr>
        <w:t>This adverse outcome obtains in substantial part because the Staff Report fails to provide a rigorous definition of the interests of consumers.  This failure is important, because the implicit premise in the Staff Report—that the interests of consumers are served by low (“mitigated”) electricity prices—is incorrect.  Consumers are interested not in a low price for any given good alone, but instead in a low price for the aggregate consumption basket of all goods considered collectively.  This means that consumers are interested in efficient prices for all goods, that is, competitive prices that clear markets in the short run, and prices that equal marginal cost in the long run.  That is why the Staff Report (page 22) endorses prices equal to, “the marginal cost of the highest-priced PGA unit called upon to run,” rather than the marginal cost of each generating unit</w:t>
      </w:r>
      <w:r>
        <w:rPr>
          <w:rStyle w:val="FootnoteReference"/>
          <w:color w:val="000000"/>
        </w:rPr>
        <w:footnoteReference w:customMarkFollows="1" w:id="5"/>
        <w:t>.</w:t>
      </w:r>
      <w:r>
        <w:rPr>
          <w:rStyle w:val="FootnoteCharacters"/>
          <w:color w:val="000000"/>
        </w:rPr>
        <w:t xml:space="preserve"> 4</w:t>
      </w:r>
      <w:r>
        <w:rPr>
          <w:color w:val="000000"/>
        </w:rPr>
        <w:t xml:space="preserve">  If each unit were to receive only its marginal cost, average electricity prices faced by consumers would be lower than marginal cost for the market as a whole; prices for electric power would be inefficiently low, too many scarce resources would be used in the production of electric power, and so prices for all other goods as a group would be too high. </w:t>
      </w:r>
      <w:r>
        <w:rPr>
          <w:b/>
          <w:bCs/>
          <w:color w:val="000000"/>
        </w:rPr>
        <w:t>[This needs to be explained more fully.]</w:t>
      </w:r>
      <w:r>
        <w:rPr>
          <w:color w:val="000000"/>
        </w:rPr>
        <w:t xml:space="preserve"> This set of circumstances by definition would be inefficient because the aggregate value of the total consumption basket would be smaller than possible, thus eroding the interests of consumers</w:t>
      </w:r>
      <w:r>
        <w:rPr>
          <w:rStyle w:val="FootnoteReference"/>
          <w:color w:val="000000"/>
        </w:rPr>
        <w:footnoteReference w:customMarkFollows="1" w:id="6"/>
        <w:t>.</w:t>
      </w:r>
      <w:r>
        <w:rPr>
          <w:rStyle w:val="FootnoteCharacters"/>
          <w:color w:val="000000"/>
        </w:rPr>
        <w:t xml:space="preserve"> 5</w:t>
      </w:r>
      <w:r>
        <w:rPr>
          <w:color w:val="000000"/>
        </w:rPr>
        <w:t xml:space="preserve">  That the Staff Report endorses payment at the marginal cost of the highest-priced unit suggests recognition of this principle.</w:t>
      </w:r>
    </w:p>
    <w:p>
      <w:pPr>
        <w:pStyle w:val="Normal"/>
        <w:spacing w:lineRule="auto" w:line="480"/>
        <w:jc w:val="both"/>
        <w:rPr>
          <w:color w:val="000000"/>
        </w:rPr>
      </w:pPr>
      <w:r>
        <w:rPr>
          <w:color w:val="000000"/>
        </w:rPr>
        <w:tab/>
        <w:t>But the Staff Report then (page 22) immediately calls for price mitigation in the form of price averaging for all generating units at a “confidential price based on [each unit’s] marginal costs…”  By averaging such individual prices into a “mitigated” market price, this would harm consumers by yielding prices lower than market marginal cost.</w:t>
      </w:r>
    </w:p>
    <w:p>
      <w:pPr>
        <w:pStyle w:val="Normal"/>
        <w:spacing w:lineRule="auto" w:line="480"/>
        <w:jc w:val="both"/>
        <w:rPr>
          <w:color w:val="000000"/>
        </w:rPr>
      </w:pPr>
      <w:r>
        <w:rPr>
          <w:color w:val="000000"/>
        </w:rPr>
      </w:r>
    </w:p>
    <w:p>
      <w:pPr>
        <w:pStyle w:val="Normal"/>
        <w:numPr>
          <w:ilvl w:val="0"/>
          <w:numId w:val="8"/>
        </w:numPr>
        <w:tabs>
          <w:tab w:val="clear" w:pos="720"/>
          <w:tab w:val="left" w:pos="0" w:leader="none"/>
        </w:tabs>
        <w:ind w:hanging="360" w:start="1440" w:end="0"/>
        <w:jc w:val="both"/>
        <w:rPr/>
      </w:pPr>
      <w:r>
        <w:rPr>
          <w:b/>
          <w:bCs/>
          <w:color w:val="000000"/>
          <w:u w:val="single"/>
        </w:rPr>
        <w:t>Even the measurable components of marginal cost are likely to be biased downward in the Staff Report definition</w:t>
      </w:r>
      <w:r>
        <w:rPr>
          <w:b/>
          <w:bCs/>
          <w:color w:val="000000"/>
        </w:rPr>
        <w:t>.</w:t>
      </w:r>
    </w:p>
    <w:p>
      <w:pPr>
        <w:pStyle w:val="Normal"/>
        <w:ind w:start="720" w:end="0"/>
        <w:jc w:val="both"/>
        <w:rPr>
          <w:b/>
          <w:bCs/>
          <w:color w:val="000000"/>
        </w:rPr>
      </w:pPr>
      <w:r>
        <w:rPr>
          <w:b/>
          <w:bCs/>
          <w:color w:val="000000"/>
        </w:rPr>
      </w:r>
    </w:p>
    <w:p>
      <w:pPr>
        <w:pStyle w:val="Normal"/>
        <w:spacing w:lineRule="auto" w:line="480"/>
        <w:ind w:firstLine="720" w:end="0"/>
        <w:jc w:val="both"/>
        <w:rPr/>
      </w:pPr>
      <w:r>
        <w:rPr>
          <w:color w:val="000000"/>
        </w:rPr>
        <w:t>This is particularly true if the prices of such important inputs as natural gas are likely to be bid upward as demands increase.  To the extent that this phenomenon occurs, attempts by individual producers to increase output in the aggregate (or collectively) will drive up input prices, thus shifting marginal cost functions upward.  Under such conditions, the competitive supply function no longer is the sum of the individual producers’ marginal cost functions; instead, supply would rise more steeply (i.e., would be less elastic) than market marginal cost.  Since the Staff Report (page 22) calls for “a standing, confidential price” based on (</w:t>
      </w:r>
      <w:r>
        <w:rPr>
          <w:i/>
          <w:iCs/>
          <w:color w:val="000000"/>
        </w:rPr>
        <w:t>ex ante</w:t>
      </w:r>
      <w:r>
        <w:rPr>
          <w:color w:val="000000"/>
        </w:rPr>
        <w:t>) marginal cost for each generating unit, the dynamic effect upon input prices and thus upon true marginal cost is ignored</w:t>
      </w:r>
      <w:r>
        <w:rPr>
          <w:rStyle w:val="FootnoteReference"/>
          <w:color w:val="000000"/>
        </w:rPr>
        <w:footnoteReference w:customMarkFollows="1" w:id="7"/>
        <w:t>.</w:t>
      </w:r>
      <w:r>
        <w:rPr>
          <w:rStyle w:val="FootnoteCharacters"/>
          <w:color w:val="000000"/>
        </w:rPr>
        <w:t xml:space="preserve"> 6</w:t>
      </w:r>
    </w:p>
    <w:p>
      <w:pPr>
        <w:pStyle w:val="Normal"/>
        <w:spacing w:lineRule="auto" w:line="480"/>
        <w:jc w:val="both"/>
        <w:rPr>
          <w:rStyle w:val="FootnoteCharacters"/>
          <w:color w:val="000000"/>
        </w:rPr>
      </w:pPr>
      <w:r>
        <w:rPr/>
      </w:r>
    </w:p>
    <w:p>
      <w:pPr>
        <w:pStyle w:val="Normal"/>
        <w:numPr>
          <w:ilvl w:val="0"/>
          <w:numId w:val="9"/>
        </w:numPr>
        <w:tabs>
          <w:tab w:val="clear" w:pos="720"/>
          <w:tab w:val="left" w:pos="0" w:leader="none"/>
        </w:tabs>
        <w:ind w:hanging="360" w:start="1440" w:end="0"/>
        <w:jc w:val="both"/>
        <w:rPr/>
      </w:pPr>
      <w:r>
        <w:rPr>
          <w:b/>
          <w:bCs/>
          <w:color w:val="000000"/>
          <w:u w:val="single"/>
        </w:rPr>
        <w:t>The Staff Report offers no operational definition of “market power” or indicator of its presence, and the “physical” and “economic” withholding hypotheses are flawed</w:t>
      </w:r>
      <w:r>
        <w:rPr>
          <w:b/>
          <w:bCs/>
          <w:color w:val="000000"/>
        </w:rPr>
        <w:t>.</w:t>
      </w:r>
    </w:p>
    <w:p>
      <w:pPr>
        <w:pStyle w:val="Normal"/>
        <w:ind w:start="720" w:end="0"/>
        <w:jc w:val="both"/>
        <w:rPr>
          <w:b/>
          <w:bCs/>
          <w:color w:val="000000"/>
        </w:rPr>
      </w:pPr>
      <w:r>
        <w:rPr>
          <w:b/>
          <w:bCs/>
          <w:color w:val="000000"/>
        </w:rPr>
      </w:r>
    </w:p>
    <w:p>
      <w:pPr>
        <w:pStyle w:val="Normal"/>
        <w:spacing w:lineRule="auto" w:line="480"/>
        <w:ind w:firstLine="720" w:end="0"/>
        <w:jc w:val="both"/>
        <w:rPr/>
      </w:pPr>
      <w:r>
        <w:rPr>
          <w:color w:val="000000"/>
        </w:rPr>
        <w:t>The definition of market power offered (page 10) is, “the ability of one or more suppliers to raise the market price above the competitive level…”  Since, “the competitive level” of prices can be high—indeed, higher than marginal cost—under wholly plausible conditions, the Staff Report definition is not operationally useful in the absence of a methodology with which to measure competitive prices.  Even if actual or prospective marginal cost were measured correctly, we still would lack a measure of the competitive price because the latter can exceed marginal cost in the short run</w:t>
      </w:r>
      <w:r>
        <w:rPr>
          <w:rStyle w:val="FootnoteReference"/>
          <w:color w:val="000000"/>
        </w:rPr>
        <w:footnoteReference w:customMarkFollows="1" w:id="8"/>
        <w:t>.</w:t>
      </w:r>
      <w:r>
        <w:rPr>
          <w:rStyle w:val="FootnoteCharacters"/>
          <w:color w:val="000000"/>
        </w:rPr>
        <w:t xml:space="preserve"> 7</w:t>
      </w:r>
      <w:r>
        <w:rPr>
          <w:color w:val="000000"/>
        </w:rPr>
        <w:t xml:space="preserve">  </w:t>
      </w:r>
    </w:p>
    <w:p>
      <w:pPr>
        <w:pStyle w:val="Normal"/>
        <w:spacing w:lineRule="auto" w:line="480"/>
        <w:ind w:firstLine="720" w:end="0"/>
        <w:jc w:val="both"/>
        <w:rPr/>
      </w:pPr>
      <w:r>
        <w:rPr>
          <w:color w:val="000000"/>
        </w:rPr>
        <w:t>Consider a market that is constrained in terms of available capacity in the short run.  This means that at the capacity constraint, the competitive market supply function becomes vertical, because the constraint means that no more output per time period can be produced.  If the demand curve intersects supply in this vertical region, price will exceed marginal cost even under perfectly competitive conditions</w:t>
      </w:r>
      <w:r>
        <w:rPr>
          <w:rStyle w:val="FootnoteReference"/>
          <w:color w:val="000000"/>
        </w:rPr>
        <w:footnoteReference w:customMarkFollows="1" w:id="9"/>
        <w:t>.</w:t>
      </w:r>
      <w:r>
        <w:rPr>
          <w:rStyle w:val="FootnoteCharacters"/>
          <w:color w:val="000000"/>
        </w:rPr>
        <w:t xml:space="preserve"> 8</w:t>
      </w:r>
    </w:p>
    <w:p>
      <w:pPr>
        <w:pStyle w:val="Normal"/>
        <w:spacing w:lineRule="auto" w:line="480"/>
        <w:jc w:val="both"/>
        <w:rPr/>
      </w:pPr>
      <w:r>
        <w:rPr>
          <w:rStyle w:val="FootnoteCharacters"/>
          <w:color w:val="000000"/>
        </w:rPr>
        <w:tab/>
      </w:r>
      <w:r>
        <w:rPr>
          <w:color w:val="000000"/>
        </w:rPr>
        <w:t xml:space="preserve">The Staff Report attempts to circumvent this problem by offering the detection of “physical” or “economic” withholding of production capacity as potential evidence of market power.  With respect to physical withholding, the Staff Report refers (page 12) to “operable” generating capacity; but to say that a unit is “operable” is not to say that it is efficient to operate in a given time period or under given market conditions, and the Staff Report offers no methodology with which to distinguish between efficient and inefficient withholding of “operable” units.  </w:t>
      </w:r>
    </w:p>
    <w:p>
      <w:pPr>
        <w:pStyle w:val="Normal"/>
        <w:spacing w:lineRule="auto" w:line="480"/>
        <w:ind w:firstLine="720" w:end="0"/>
        <w:jc w:val="both"/>
        <w:rPr>
          <w:color w:val="000000"/>
        </w:rPr>
      </w:pPr>
      <w:r>
        <w:rPr>
          <w:color w:val="000000"/>
        </w:rPr>
        <w:t xml:space="preserve">Moreover, the “physical withholding” model is curious, in that the price effects of such withholding by a producer would accrue largely to the benefit of that producer’s competitors; that is why it is an basic axiom of economic analysis that collusive agreements to withhold production are unstable.  The “physical withholding” argument in the Staff Report assumes that such behavior serves the interests of the respective producer, but that is incorrect; each producer is interested in withholding by his competitors so that he can enjoy the resulting benefits of higher prices.  The physical withholding argument breaks down analytically because it does not answer the crucial question of which producer(s) will withhold capacity; and in any event it offers no evidence that such withholding actually has occurred.  </w:t>
      </w:r>
    </w:p>
    <w:p>
      <w:pPr>
        <w:pStyle w:val="Normal"/>
        <w:spacing w:lineRule="auto" w:line="480"/>
        <w:jc w:val="both"/>
        <w:rPr/>
      </w:pPr>
      <w:r>
        <w:rPr>
          <w:color w:val="000000"/>
        </w:rPr>
        <w:tab/>
        <w:t>The “economic withholding” argument is weaker still, in that it posits that high prices resulting from the exercise of market power are evidence of the exercise of market power, unless the high prices result from factors other than the exercise of market power</w:t>
      </w:r>
      <w:r>
        <w:rPr>
          <w:rStyle w:val="FootnoteReference"/>
          <w:color w:val="000000"/>
        </w:rPr>
        <w:footnoteReference w:customMarkFollows="1" w:id="10"/>
        <w:t>.</w:t>
      </w:r>
      <w:r>
        <w:rPr>
          <w:rStyle w:val="FootnoteCharacters"/>
          <w:color w:val="000000"/>
        </w:rPr>
        <w:t xml:space="preserve"> 9</w:t>
      </w:r>
      <w:r>
        <w:rPr>
          <w:color w:val="000000"/>
        </w:rPr>
        <w:t xml:space="preserve">  That summary description of the argument in the Staff Report is not a mere caricature, and the Staff Report offers no methodology with which to make the relevant distinctions.</w:t>
      </w:r>
    </w:p>
    <w:p>
      <w:pPr>
        <w:pStyle w:val="Normal"/>
        <w:spacing w:lineRule="auto" w:line="480"/>
        <w:ind w:firstLine="720" w:end="0"/>
        <w:jc w:val="both"/>
        <w:rPr/>
      </w:pPr>
      <w:r>
        <w:rPr>
          <w:color w:val="000000"/>
        </w:rPr>
        <w:t xml:space="preserve">The upshot of this analysis in the Staff Report is that we have no criteria with which to determine or measure the “market power” against which the mitigation policy would be directed.  Accordingly, efforts to mitigate purported future “market power” inevitably will be </w:t>
      </w:r>
      <w:r>
        <w:rPr>
          <w:i/>
          <w:iCs/>
          <w:color w:val="000000"/>
        </w:rPr>
        <w:t>ad hoc</w:t>
      </w:r>
      <w:r>
        <w:rPr>
          <w:color w:val="000000"/>
        </w:rPr>
        <w:t>, driven by explicit political perceptions and complaints that electricity prices in some ambiguous sense are “too high”  and by implicit—but important—demands on the part of numerous interest groups for wealth redistribution through regulation.  To the extent that such high future prices result from competitive market forces, the “mitigation” advocated in the Staff Report will yield adverse effects for the market in general and for consumers in particular.</w:t>
      </w:r>
    </w:p>
    <w:p>
      <w:pPr>
        <w:pStyle w:val="Normal"/>
        <w:spacing w:lineRule="auto" w:line="480"/>
        <w:jc w:val="both"/>
        <w:rPr>
          <w:color w:val="000000"/>
        </w:rPr>
      </w:pPr>
      <w:r>
        <w:rPr>
          <w:color w:val="000000"/>
        </w:rPr>
      </w:r>
    </w:p>
    <w:p>
      <w:pPr>
        <w:pStyle w:val="Normal"/>
        <w:numPr>
          <w:ilvl w:val="0"/>
          <w:numId w:val="10"/>
        </w:numPr>
        <w:tabs>
          <w:tab w:val="clear" w:pos="720"/>
          <w:tab w:val="left" w:pos="0" w:leader="none"/>
        </w:tabs>
        <w:ind w:hanging="360" w:start="1440" w:end="0"/>
        <w:jc w:val="both"/>
        <w:rPr/>
      </w:pPr>
      <w:r>
        <w:rPr>
          <w:b/>
          <w:bCs/>
          <w:color w:val="000000"/>
          <w:u w:val="single"/>
        </w:rPr>
        <w:t>In its discussion of the market conditions justifying the imposition of its price mitigation proposal, the Staff Report acknowledges implicitly—but clearly—the absence of market power or of its exercise in the California market</w:t>
      </w:r>
      <w:r>
        <w:rPr>
          <w:b/>
          <w:bCs/>
          <w:color w:val="000000"/>
        </w:rPr>
        <w:t>.</w:t>
      </w:r>
      <w:r>
        <w:rPr>
          <w:color w:val="000000"/>
        </w:rPr>
        <w:t xml:space="preserve"> </w:t>
      </w:r>
    </w:p>
    <w:p>
      <w:pPr>
        <w:pStyle w:val="Normal"/>
        <w:ind w:start="720" w:end="0"/>
        <w:jc w:val="both"/>
        <w:rPr>
          <w:color w:val="000000"/>
        </w:rPr>
      </w:pPr>
      <w:r>
        <w:rPr>
          <w:color w:val="000000"/>
        </w:rPr>
      </w:r>
    </w:p>
    <w:p>
      <w:pPr>
        <w:pStyle w:val="Normal"/>
        <w:spacing w:lineRule="auto" w:line="480"/>
        <w:ind w:firstLine="720" w:end="0"/>
        <w:jc w:val="both"/>
        <w:rPr/>
      </w:pPr>
      <w:r>
        <w:rPr>
          <w:color w:val="000000"/>
        </w:rPr>
        <w:t>The Staff Report assumes in several places that (highly) inelastic demand—demand highly unresponsive to price changes—provides one central justification for the price mitigation proposal</w:t>
      </w:r>
      <w:r>
        <w:rPr>
          <w:rStyle w:val="FootnoteReference"/>
          <w:color w:val="000000"/>
        </w:rPr>
        <w:footnoteReference w:customMarkFollows="1" w:id="11"/>
        <w:t>.</w:t>
      </w:r>
      <w:r>
        <w:rPr>
          <w:rStyle w:val="FootnoteCharacters"/>
          <w:color w:val="000000"/>
        </w:rPr>
        <w:t xml:space="preserve"> 10</w:t>
      </w:r>
      <w:r>
        <w:rPr>
          <w:color w:val="000000"/>
        </w:rPr>
        <w:t xml:space="preserve">  But it is a well-known axiom of standard microeconomic analysis that producers exercising market power will not operate on the inelastic region of the demand curve.  This is true because if demand is inelastic—a given percent change in price yields a smaller percent change in the quantity demanded—an increase in price results in an increase in total consumer spending.  (In the context of the electric power market, an increase in price would result in a larger bill.)  The higher price would reduce consumption as well, by however small an amount, so that total production cost would fall.  Therefore, the producer could increase profits by raising the price, thus increasing revenues and reducing costs.  </w:t>
      </w:r>
    </w:p>
    <w:p>
      <w:pPr>
        <w:pStyle w:val="Normal"/>
        <w:spacing w:lineRule="auto" w:line="480"/>
        <w:ind w:firstLine="720" w:end="0"/>
        <w:jc w:val="both"/>
        <w:rPr>
          <w:color w:val="000000"/>
        </w:rPr>
      </w:pPr>
      <w:r>
        <w:rPr>
          <w:color w:val="000000"/>
        </w:rPr>
        <w:t>In plainer English: If consumers really have few alternatives and so face great difficulty in reducing consumption appreciably, producers with market power would exploit that situation by raising prices even more until consumers are forced economically to reduce consumption.  The assumption in the Staff Report that the prices likely to be charged during a future stage 3 crisis are not sufficiently high to induce such a greater consumer response is a tacit admission that market power is not present or not being exercised.</w:t>
      </w:r>
    </w:p>
    <w:p>
      <w:pPr>
        <w:pStyle w:val="Normal"/>
        <w:spacing w:lineRule="auto" w:line="480"/>
        <w:ind w:firstLine="720" w:end="0"/>
        <w:jc w:val="both"/>
        <w:rPr/>
      </w:pPr>
      <w:r>
        <w:rPr>
          <w:color w:val="000000"/>
        </w:rPr>
        <w:t>In short, the assumed presence of market power can be correct only if demand is observed to be elastic at the prices being charged; accordingly, the assumption in the Staff Report of inelastic demand (during a stage 3 crisis) amounts to a recognition of the absence of market power</w:t>
      </w:r>
      <w:r>
        <w:rPr>
          <w:rStyle w:val="FootnoteReference"/>
          <w:color w:val="000000"/>
        </w:rPr>
        <w:footnoteReference w:customMarkFollows="1" w:id="12"/>
        <w:t>.</w:t>
      </w:r>
      <w:r>
        <w:rPr>
          <w:rStyle w:val="FootnoteCharacters"/>
          <w:color w:val="000000"/>
        </w:rPr>
        <w:t xml:space="preserve"> 11</w:t>
      </w:r>
      <w:r>
        <w:rPr>
          <w:color w:val="000000"/>
        </w:rPr>
        <w:t xml:space="preserve">  Note that competitive markets may operate on either the elastic or inelastic portions of the demand curve (or at the point of unitary elasticity), while markets subject to market power on the part of suppliers will operate only on the elastic portion.</w:t>
      </w:r>
    </w:p>
    <w:p>
      <w:pPr>
        <w:pStyle w:val="Normal"/>
        <w:spacing w:lineRule="auto" w:line="480"/>
        <w:jc w:val="both"/>
        <w:rPr>
          <w:color w:val="000000"/>
        </w:rPr>
      </w:pPr>
      <w:r>
        <w:rPr>
          <w:color w:val="000000"/>
        </w:rPr>
      </w:r>
    </w:p>
    <w:p>
      <w:pPr>
        <w:pStyle w:val="Normal"/>
        <w:numPr>
          <w:ilvl w:val="0"/>
          <w:numId w:val="11"/>
        </w:numPr>
        <w:tabs>
          <w:tab w:val="clear" w:pos="720"/>
          <w:tab w:val="left" w:pos="0" w:leader="none"/>
        </w:tabs>
        <w:ind w:hanging="360" w:start="1440" w:end="0"/>
        <w:jc w:val="both"/>
        <w:rPr/>
      </w:pPr>
      <w:r>
        <w:rPr>
          <w:b/>
          <w:bCs/>
          <w:color w:val="000000"/>
          <w:u w:val="single"/>
        </w:rPr>
        <w:t>The “temporary” force of the mitigation proposal presented in the Staff Report is highly unrealistic, in part because it shunts adverse expectations effects aside</w:t>
      </w:r>
      <w:r>
        <w:rPr>
          <w:b/>
          <w:bCs/>
          <w:color w:val="000000"/>
        </w:rPr>
        <w:t>.</w:t>
      </w:r>
      <w:r>
        <w:rPr>
          <w:color w:val="000000"/>
        </w:rPr>
        <w:t xml:space="preserve"> </w:t>
      </w:r>
    </w:p>
    <w:p>
      <w:pPr>
        <w:pStyle w:val="Normal"/>
        <w:ind w:start="720" w:end="0"/>
        <w:jc w:val="both"/>
        <w:rPr>
          <w:color w:val="000000"/>
        </w:rPr>
      </w:pPr>
      <w:r>
        <w:rPr>
          <w:color w:val="000000"/>
        </w:rPr>
      </w:r>
    </w:p>
    <w:p>
      <w:pPr>
        <w:pStyle w:val="Normal"/>
        <w:spacing w:lineRule="auto" w:line="480"/>
        <w:ind w:firstLine="720" w:end="0"/>
        <w:jc w:val="both"/>
        <w:rPr/>
      </w:pPr>
      <w:r>
        <w:rPr>
          <w:color w:val="000000"/>
        </w:rPr>
        <w:t>The Staff Report (pages 19-20), “strongly recommends that the price mitigation be in place only for a defined and limited period” because, “the marketplace needs confidence that a credible timetable is in place for the removal of this regulatory constraints (</w:t>
      </w:r>
      <w:r>
        <w:rPr>
          <w:i/>
          <w:iCs/>
          <w:color w:val="000000"/>
        </w:rPr>
        <w:t>sic</w:t>
      </w:r>
      <w:r>
        <w:rPr>
          <w:color w:val="000000"/>
        </w:rPr>
        <w:t xml:space="preserve">) to competitive markets.  Simply put, the price mitigation must be limited enough in scope and term that it will not serve as a crutch to delay needed long-term improvements.”  </w:t>
      </w:r>
    </w:p>
    <w:p>
      <w:pPr>
        <w:pStyle w:val="Normal"/>
        <w:spacing w:lineRule="auto" w:line="480"/>
        <w:ind w:firstLine="720" w:end="0"/>
        <w:jc w:val="both"/>
        <w:rPr>
          <w:color w:val="000000"/>
        </w:rPr>
      </w:pPr>
      <w:r>
        <w:rPr>
          <w:color w:val="000000"/>
        </w:rPr>
        <w:t xml:space="preserve">But if the mitigation proposal serves as an important constraint upon prices, there is little reason to believe that the political pressures yielding such regulatory intervention will ease over the foreseeable future, in particular because “mitigation” — price controls masquerading as a brake on market power — is likely to yield adverse expectations effects in terms of future investment in expanded production capacity.  </w:t>
      </w:r>
    </w:p>
    <w:p>
      <w:pPr>
        <w:pStyle w:val="Normal"/>
        <w:spacing w:lineRule="auto" w:line="480"/>
        <w:ind w:firstLine="720" w:end="0"/>
        <w:jc w:val="both"/>
        <w:rPr/>
      </w:pPr>
      <w:r>
        <w:rPr>
          <w:color w:val="000000"/>
        </w:rPr>
        <w:t>This is particularly true if the regulatory methodology uses measures of marginal cost that are biased downward, and — inevitably — traditional indices of economic returns based upon accounting data and historical cost rather than economic opportunity cost.  To say, as the Staff Report does (page 28), that, “the proposed mitigation must be viewed as a temporary measure” and that, “market participants should have the certainty that the provisions of the proposal will be phased out over time, on a schedule known in advance…” is to beg the essential question</w:t>
      </w:r>
      <w:r>
        <w:rPr>
          <w:rStyle w:val="FootnoteReference"/>
          <w:color w:val="000000"/>
        </w:rPr>
        <w:footnoteReference w:customMarkFollows="1" w:id="13"/>
        <w:t>.</w:t>
      </w:r>
      <w:r>
        <w:rPr>
          <w:rStyle w:val="FootnoteCharacters"/>
          <w:color w:val="000000"/>
        </w:rPr>
        <w:t xml:space="preserve"> 12</w:t>
      </w:r>
      <w:r>
        <w:rPr>
          <w:color w:val="000000"/>
        </w:rPr>
        <w:t xml:space="preserve">  How, precisely, is such “certainty” to be engendered?  More to the point, the Staff Report does not delve into the essential tradeoff between the erosion of market power — if one assumes solely for discussion purposes that it is important — and the need to preserve efficient incentives for investment in expanded capacity.</w:t>
      </w:r>
    </w:p>
    <w:p>
      <w:pPr>
        <w:pStyle w:val="Normal"/>
        <w:spacing w:lineRule="auto" w:line="480"/>
        <w:jc w:val="both"/>
        <w:rPr>
          <w:color w:val="000000"/>
        </w:rPr>
      </w:pPr>
      <w:r>
        <w:rPr>
          <w:color w:val="000000"/>
        </w:rPr>
      </w:r>
    </w:p>
    <w:p>
      <w:pPr>
        <w:pStyle w:val="Normal"/>
        <w:numPr>
          <w:ilvl w:val="0"/>
          <w:numId w:val="12"/>
        </w:numPr>
        <w:tabs>
          <w:tab w:val="clear" w:pos="720"/>
          <w:tab w:val="left" w:pos="0" w:leader="none"/>
        </w:tabs>
        <w:ind w:hanging="360" w:start="1440" w:end="0"/>
        <w:jc w:val="both"/>
        <w:rPr/>
      </w:pPr>
      <w:r>
        <w:rPr>
          <w:b/>
          <w:bCs/>
          <w:color w:val="000000"/>
          <w:u w:val="single"/>
        </w:rPr>
        <w:t>The Staff Report ignores the possibility that the mitigation process—which essentially is the imposition of price controls on marginal production—might drive up prices for infra-marginal production</w:t>
      </w:r>
      <w:r>
        <w:rPr>
          <w:b/>
          <w:bCs/>
          <w:color w:val="000000"/>
        </w:rPr>
        <w:t>.</w:t>
      </w:r>
      <w:r>
        <w:rPr>
          <w:color w:val="000000"/>
        </w:rPr>
        <w:t xml:space="preserve">  </w:t>
      </w:r>
    </w:p>
    <w:p>
      <w:pPr>
        <w:pStyle w:val="Normal"/>
        <w:ind w:start="720" w:end="0"/>
        <w:jc w:val="both"/>
        <w:rPr>
          <w:color w:val="000000"/>
        </w:rPr>
      </w:pPr>
      <w:r>
        <w:rPr>
          <w:color w:val="000000"/>
        </w:rPr>
      </w:r>
    </w:p>
    <w:p>
      <w:pPr>
        <w:pStyle w:val="Normal"/>
        <w:spacing w:lineRule="auto" w:line="480"/>
        <w:ind w:firstLine="720" w:end="0"/>
        <w:jc w:val="both"/>
        <w:rPr>
          <w:color w:val="000000"/>
        </w:rPr>
      </w:pPr>
      <w:r>
        <w:rPr>
          <w:color w:val="000000"/>
        </w:rPr>
        <w:t xml:space="preserve">Markets always have powerful incentives to bid prices up (or down) to market-clearing levels.  Since the prices for the kWh sold under a mitigation process would be averaged in with all other prices, market forces will tend to drive average prices toward the market-clearing level by bidding up the prices of kWh not subject to mitigation.  This effect is separate from the consequences of  a bias in the definition and measurement of marginal cost; instead, it results from the fact that electrons cannot be distinguished in a price dimension, so that customers would receive a bundle of electric power services at a price reflecting some weighted average of several prices.  To the extent that this average price does not clear the market, individual choice behavior on the part of both consumers and producers will tend to drive the market toward the market-clearing price by raising the prices of kWh not subject to mitigation.  </w:t>
      </w:r>
    </w:p>
    <w:p>
      <w:pPr>
        <w:pStyle w:val="Normal"/>
        <w:spacing w:lineRule="auto" w:line="480"/>
        <w:ind w:firstLine="720" w:end="0"/>
        <w:jc w:val="both"/>
        <w:rPr/>
      </w:pPr>
      <w:r>
        <w:rPr>
          <w:color w:val="000000"/>
        </w:rPr>
        <w:t>This is precisely the process that was observed under the 1978 Natural Gas Policy Act, which created numerous price categories for identical units of natural gas, which then in turn were mixed together in pipelines; the price controls on “old” gas and other categories drove prices for deregulated “new” and “deep” gas up sharply</w:t>
      </w:r>
      <w:r>
        <w:rPr>
          <w:rStyle w:val="FootnoteReference"/>
          <w:color w:val="000000"/>
        </w:rPr>
        <w:footnoteReference w:customMarkFollows="1" w:id="14"/>
        <w:t>.</w:t>
      </w:r>
      <w:r>
        <w:rPr>
          <w:rStyle w:val="FootnoteCharacters"/>
          <w:color w:val="000000"/>
        </w:rPr>
        <w:t xml:space="preserve"> 13</w:t>
      </w:r>
      <w:r>
        <w:rPr>
          <w:color w:val="000000"/>
        </w:rPr>
        <w:t xml:space="preserve">  Such ancillary effects of government controls are a major reason that the scope of regulatory authority tends to increase, as a means of dealing with market efforts to avoid the constraints and inefficiencies created by the regulations.  That is only one reason among many that the likelihood that the mitigation system proposed in the Staff Report will be “surgical” and short-lived (page 21) is small.</w:t>
      </w:r>
    </w:p>
    <w:p>
      <w:pPr>
        <w:pStyle w:val="Normal"/>
        <w:spacing w:lineRule="auto" w:line="480"/>
        <w:jc w:val="both"/>
        <w:rPr>
          <w:color w:val="000000"/>
        </w:rPr>
      </w:pPr>
      <w:r>
        <w:rPr>
          <w:color w:val="000000"/>
        </w:rPr>
      </w:r>
    </w:p>
    <w:p>
      <w:pPr>
        <w:pStyle w:val="Normal"/>
        <w:spacing w:lineRule="auto" w:line="480"/>
        <w:jc w:val="center"/>
        <w:rPr>
          <w:color w:val="000000"/>
          <w:u w:val="single"/>
        </w:rPr>
      </w:pPr>
      <w:r>
        <w:rPr>
          <w:b/>
          <w:bCs/>
          <w:color w:val="000000"/>
        </w:rPr>
        <w:t xml:space="preserve">III.  </w:t>
      </w:r>
      <w:r>
        <w:rPr>
          <w:b/>
          <w:bCs/>
          <w:color w:val="000000"/>
          <w:u w:val="single"/>
        </w:rPr>
        <w:t>Additional Comments</w:t>
      </w:r>
    </w:p>
    <w:p>
      <w:pPr>
        <w:pStyle w:val="Normal"/>
        <w:spacing w:lineRule="auto" w:line="480"/>
        <w:ind w:firstLine="720" w:end="0"/>
        <w:jc w:val="both"/>
        <w:rPr/>
      </w:pPr>
      <w:r>
        <w:rPr/>
        <w:t>The Staff Report noted that following the January 23 technical conference, parties filed comments and reply comments with regard to their recommendations.  The general themes raised in the Staff Report regarding measures to monitor and mitigate market power, including certain proposals made by the ISO and the ISO’s Market Surveillance Committee, are summarized below, with comments from WPTF.</w:t>
      </w:r>
    </w:p>
    <w:p>
      <w:pPr>
        <w:pStyle w:val="Normal"/>
        <w:spacing w:lineRule="auto" w:line="480"/>
        <w:ind w:firstLine="720" w:end="0"/>
        <w:jc w:val="both"/>
        <w:rPr/>
      </w:pPr>
      <w:r>
        <w:rPr>
          <w:b/>
          <w:bCs/>
        </w:rPr>
        <w:t xml:space="preserve">A.  </w:t>
      </w:r>
      <w:r>
        <w:rPr>
          <w:b/>
          <w:bCs/>
          <w:u w:val="single"/>
        </w:rPr>
        <w:t>Forward contracting requirements yield inefficient risk allocations</w:t>
      </w:r>
    </w:p>
    <w:p>
      <w:pPr>
        <w:pStyle w:val="Normal"/>
        <w:spacing w:lineRule="auto" w:line="480"/>
        <w:ind w:firstLine="720" w:end="0"/>
        <w:jc w:val="both"/>
        <w:rPr/>
      </w:pPr>
      <w:r>
        <w:rPr/>
        <w:t xml:space="preserve">Both the ISO and the ISO's Market Surveillance Committee (“MSC”) would require all generators and marketers within California to offer forward contracts for much (e.g., 70 percent) of their capacity at a cost-based price </w:t>
      </w:r>
      <w:r>
        <w:rPr>
          <w:color w:val="000000"/>
        </w:rPr>
        <w:t>(page 7).  However, proposals mandating that given percentages of capacity (or production) be offered under contract are likely to yield an inefficient allocation of risk.  Such contracting emerging from the operation of market forces allocates the risks inherent in uncertainties about future demand and cost conditions, and there is little reason to believe that regulatory mandates would improve resource allocation, that is, yield net benefits for consumers.</w:t>
      </w:r>
    </w:p>
    <w:p>
      <w:pPr>
        <w:pStyle w:val="Normal"/>
        <w:spacing w:lineRule="auto" w:line="480"/>
        <w:jc w:val="both"/>
        <w:rPr>
          <w:color w:val="000000"/>
        </w:rPr>
      </w:pPr>
      <w:r>
        <w:rPr>
          <w:color w:val="000000"/>
        </w:rPr>
      </w:r>
    </w:p>
    <w:p>
      <w:pPr>
        <w:pStyle w:val="Normal"/>
        <w:numPr>
          <w:ilvl w:val="0"/>
          <w:numId w:val="13"/>
        </w:numPr>
        <w:tabs>
          <w:tab w:val="clear" w:pos="720"/>
          <w:tab w:val="left" w:pos="0" w:leader="none"/>
        </w:tabs>
        <w:ind w:hanging="360" w:start="1440" w:end="0"/>
        <w:jc w:val="both"/>
        <w:rPr>
          <w:b/>
          <w:bCs/>
          <w:color w:val="000000"/>
          <w:u w:val="single"/>
        </w:rPr>
      </w:pPr>
      <w:r>
        <w:rPr>
          <w:b/>
          <w:bCs/>
          <w:color w:val="000000"/>
          <w:u w:val="single"/>
        </w:rPr>
        <w:t>Standing bid requirements for excess capacity will distort the allocation of capacity.</w:t>
      </w:r>
    </w:p>
    <w:p>
      <w:pPr>
        <w:pStyle w:val="Normal"/>
        <w:ind w:start="720" w:end="0"/>
        <w:jc w:val="both"/>
        <w:rPr>
          <w:b/>
          <w:bCs/>
          <w:color w:val="000000"/>
          <w:u w:val="single"/>
        </w:rPr>
      </w:pPr>
      <w:r>
        <w:rPr>
          <w:b/>
          <w:bCs/>
          <w:color w:val="000000"/>
          <w:u w:val="single"/>
        </w:rPr>
      </w:r>
    </w:p>
    <w:p>
      <w:pPr>
        <w:pStyle w:val="Normal"/>
        <w:spacing w:lineRule="auto" w:line="480"/>
        <w:jc w:val="both"/>
        <w:rPr>
          <w:color w:val="000000"/>
        </w:rPr>
      </w:pPr>
      <w:r>
        <w:rPr>
          <w:color w:val="000000"/>
        </w:rPr>
        <w:tab/>
        <w:t xml:space="preserve">The ISO’s MSC suggests that generators be required to submit standing bids into the real-time energy market for all capacity not scheduled in the forward markets (page 8).  As suggested above, a requirement that all power not offered under contract be bid in the spot market is likely to distort the allocation of capacity over time.  A requirement that all capacity available and not scheduled be offered (page 21) is likely to create inefficiencies in terms of the allocation of capacity over time. </w:t>
      </w:r>
      <w:r>
        <w:rPr>
          <w:b/>
          <w:bCs/>
          <w:color w:val="000000"/>
        </w:rPr>
        <w:t>[such as?]</w:t>
      </w:r>
    </w:p>
    <w:p>
      <w:pPr>
        <w:pStyle w:val="Normal"/>
        <w:spacing w:lineRule="auto" w:line="480"/>
        <w:jc w:val="both"/>
        <w:rPr>
          <w:color w:val="000000"/>
        </w:rPr>
      </w:pPr>
      <w:r>
        <w:rPr>
          <w:color w:val="000000"/>
        </w:rPr>
      </w:r>
    </w:p>
    <w:p>
      <w:pPr>
        <w:pStyle w:val="Normal"/>
        <w:spacing w:lineRule="auto" w:line="480"/>
        <w:jc w:val="both"/>
        <w:rPr/>
      </w:pPr>
      <w:r>
        <w:rPr>
          <w:color w:val="000000"/>
        </w:rPr>
        <w:tab/>
      </w:r>
      <w:r>
        <w:rPr>
          <w:b/>
          <w:bCs/>
          <w:color w:val="000000"/>
        </w:rPr>
        <w:t>C.  [subject heading]</w:t>
      </w:r>
    </w:p>
    <w:p>
      <w:pPr>
        <w:pStyle w:val="Normal"/>
        <w:spacing w:lineRule="auto" w:line="480"/>
        <w:ind w:firstLine="720" w:end="0"/>
        <w:jc w:val="both"/>
        <w:rPr/>
      </w:pPr>
      <w:r>
        <w:rPr>
          <w:color w:val="000000"/>
        </w:rPr>
        <w:t xml:space="preserve">(page 10) The Staff Report suggests but does not state explicitly that one potential adverse effect of efforts to reduce “market power” through divestiture orders and the like is higher average (and thus total) cost, because scale economies are likely to exist at the unit and/or firm level, and because geographic diversification of sales is likely to be efficient as a means of hedging against regional economic downturns. </w:t>
      </w:r>
      <w:r>
        <w:rPr>
          <w:b/>
          <w:bCs/>
          <w:color w:val="000000"/>
        </w:rPr>
        <w:t>[Am not sure what our point here is.  It needs to be fleshed out.]</w:t>
      </w:r>
    </w:p>
    <w:p>
      <w:pPr>
        <w:pStyle w:val="Normal"/>
        <w:spacing w:lineRule="auto" w:line="480"/>
        <w:ind w:firstLine="720" w:end="0"/>
        <w:jc w:val="both"/>
        <w:rPr>
          <w:b/>
          <w:bCs/>
          <w:color w:val="000000"/>
        </w:rPr>
      </w:pPr>
      <w:r>
        <w:rPr>
          <w:b/>
          <w:bCs/>
          <w:color w:val="000000"/>
        </w:rPr>
      </w:r>
    </w:p>
    <w:p>
      <w:pPr>
        <w:pStyle w:val="Normal"/>
        <w:spacing w:lineRule="auto" w:line="480"/>
        <w:ind w:firstLine="720" w:end="0"/>
        <w:jc w:val="both"/>
        <w:rPr>
          <w:color w:val="000000"/>
        </w:rPr>
      </w:pPr>
      <w:r>
        <w:rPr>
          <w:b/>
          <w:bCs/>
          <w:color w:val="000000"/>
        </w:rPr>
        <w:t xml:space="preserve">D. </w:t>
      </w:r>
      <w:r>
        <w:rPr>
          <w:b/>
          <w:bCs/>
          <w:color w:val="000000"/>
          <w:u w:val="single"/>
        </w:rPr>
        <w:t>The presence of transmission constraints affects the market-clearing price.</w:t>
      </w:r>
    </w:p>
    <w:p>
      <w:pPr>
        <w:pStyle w:val="Normal"/>
        <w:spacing w:lineRule="auto" w:line="480"/>
        <w:ind w:firstLine="720" w:end="0"/>
        <w:jc w:val="both"/>
        <w:rPr>
          <w:color w:val="000000"/>
        </w:rPr>
      </w:pPr>
      <w:r>
        <w:rPr>
          <w:color w:val="000000"/>
        </w:rPr>
        <w:t xml:space="preserve">As noted by the Staff Report (page 11), the presence of transmission constraints affects the market-clearing price, but does not increase the purported market power of, “generators whose strategic location allows them to benefit from the presence of transmission constraints.”  Since transmission is a complementary activity from the viewpoint of the power generator, the latter’s interest is served by an efficient amount of transmission capacity.  </w:t>
      </w:r>
    </w:p>
    <w:p>
      <w:pPr>
        <w:pStyle w:val="Normal"/>
        <w:spacing w:lineRule="auto" w:line="480"/>
        <w:ind w:firstLine="720" w:end="0"/>
        <w:jc w:val="both"/>
        <w:rPr/>
      </w:pPr>
      <w:r>
        <w:rPr>
          <w:color w:val="000000"/>
        </w:rPr>
        <w:t>If the Staff argument is that transmission constraints reduce competition from alternative power suppliers, then that implies that it is the power supplier rather than the owner of the transmission grid that benefits from the transmission constraints; but that would be correct only because of regulatory decisions.  Even if the power supplier owns the transmission grid, no additional “market power” would be created, because fixed proportionality characterizes power production and power transmission: Each kWh generated must be transmitted</w:t>
      </w:r>
      <w:r>
        <w:rPr>
          <w:rStyle w:val="FootnoteReference"/>
          <w:color w:val="000000"/>
        </w:rPr>
        <w:footnoteReference w:customMarkFollows="1" w:id="15"/>
        <w:t>.</w:t>
      </w:r>
      <w:r>
        <w:rPr>
          <w:rStyle w:val="FootnoteCharacters"/>
          <w:color w:val="000000"/>
        </w:rPr>
        <w:t xml:space="preserve"> 14</w:t>
      </w:r>
      <w:r>
        <w:rPr>
          <w:color w:val="000000"/>
        </w:rPr>
        <w:t xml:space="preserve">  It is axiomatic that under conditions of fixed proportionality, all available market power can be exploited at one end of the market.  Transmission constraints may create market power for the owner of the transmission grid, but it cannot do so for the power supplier.</w:t>
      </w:r>
    </w:p>
    <w:p>
      <w:pPr>
        <w:pStyle w:val="Normal"/>
        <w:spacing w:lineRule="auto" w:line="480"/>
        <w:jc w:val="both"/>
        <w:rPr>
          <w:color w:val="000000"/>
        </w:rPr>
      </w:pPr>
      <w:r>
        <w:rPr>
          <w:color w:val="000000"/>
        </w:rPr>
      </w:r>
    </w:p>
    <w:p>
      <w:pPr>
        <w:pStyle w:val="Normal"/>
        <w:spacing w:lineRule="auto" w:line="480"/>
        <w:jc w:val="both"/>
        <w:rPr>
          <w:color w:val="000000"/>
        </w:rPr>
      </w:pPr>
      <w:r>
        <w:rPr>
          <w:color w:val="000000"/>
        </w:rPr>
        <w:tab/>
      </w:r>
      <w:r>
        <w:rPr>
          <w:b/>
          <w:bCs/>
          <w:color w:val="000000"/>
        </w:rPr>
        <w:t xml:space="preserve">E.  </w:t>
      </w:r>
      <w:r>
        <w:rPr>
          <w:b/>
          <w:bCs/>
          <w:color w:val="000000"/>
          <w:u w:val="single"/>
        </w:rPr>
        <w:t>Barriers to entry are not properly considered</w:t>
      </w:r>
      <w:r>
        <w:rPr>
          <w:b/>
          <w:bCs/>
          <w:color w:val="000000"/>
        </w:rPr>
        <w:t>.</w:t>
      </w:r>
    </w:p>
    <w:p>
      <w:pPr>
        <w:pStyle w:val="Normal"/>
        <w:spacing w:lineRule="auto" w:line="480"/>
        <w:jc w:val="both"/>
        <w:rPr>
          <w:color w:val="000000"/>
        </w:rPr>
      </w:pPr>
      <w:r>
        <w:rPr>
          <w:color w:val="000000"/>
        </w:rPr>
        <w:tab/>
        <w:t xml:space="preserve">The concept of “barriers to entry” is introduced but not explained or allowed to influence the analysis (page 13).  Properly defined, entry barriers must be costs borne by new entrants not borne by existing producers, even in the form of opportunity costs.  Thus, for example, large capital costs cannot be an entry barrier because both existing and new competitors must bear them.  Nor can scale economies be classified properly as an entry barrier.  Accordingly, neither siting problems for new plants nor “financial barriers” are entry barriers; if no other suitable sites exist, for example, the opportunity cost of holding an existing site would rise for the current producer, and the concept of a “financial barrier” ignores the opportunity cost of owning generation capital.  </w:t>
      </w:r>
    </w:p>
    <w:p>
      <w:pPr>
        <w:pStyle w:val="Normal"/>
        <w:spacing w:lineRule="auto" w:line="480"/>
        <w:ind w:firstLine="720" w:end="0"/>
        <w:jc w:val="both"/>
        <w:rPr/>
      </w:pPr>
      <w:r>
        <w:rPr>
          <w:color w:val="000000"/>
        </w:rPr>
        <w:t xml:space="preserve">The Staff Report offers a </w:t>
      </w:r>
      <w:r>
        <w:rPr>
          <w:i/>
          <w:iCs/>
          <w:color w:val="000000"/>
        </w:rPr>
        <w:t>non sequitur</w:t>
      </w:r>
      <w:r>
        <w:rPr>
          <w:color w:val="000000"/>
        </w:rPr>
        <w:t xml:space="preserve"> (page 19) when it argues that, “if high prices above a certain level that should induce new entry are sustained for longer periods and new supplies are not able to enter in time to discipline the short term price levels, some form of market price mitigation may be needed to address the impact of prices that reflect market power, i.e., prices over competitive levels that are sustained for a significant period of time.”  The time required for entry, whether increased because of regulatory constraints or other factors, is distinct from the presence of market power; and the persistence of “high” prices, defined in  light of whatever criterion, is the result of competitive forces under these conditions.  In short, high prices that persist because of time-consuming entry do not provide a “market power ” rationale for price mitigation, that is, controls.  Moreover, this discussion in the Staff Report shunts aside the adverse effects of controls in terms of inducing entry.  Furthermore, it is inconsistent to call for price mitigation—price controls—while simultaneously arguing that investment incentives not be eroded (page 21).</w:t>
      </w:r>
    </w:p>
    <w:p>
      <w:pPr>
        <w:pStyle w:val="Normal"/>
        <w:spacing w:lineRule="auto" w:line="480"/>
        <w:jc w:val="both"/>
        <w:rPr>
          <w:color w:val="000000"/>
        </w:rPr>
      </w:pPr>
      <w:r>
        <w:rPr>
          <w:color w:val="000000"/>
        </w:rPr>
      </w:r>
    </w:p>
    <w:p>
      <w:pPr>
        <w:pStyle w:val="Normal"/>
        <w:spacing w:lineRule="auto" w:line="480"/>
        <w:jc w:val="both"/>
        <w:rPr>
          <w:color w:val="000000"/>
        </w:rPr>
      </w:pPr>
      <w:r>
        <w:rPr>
          <w:color w:val="000000"/>
        </w:rPr>
        <w:tab/>
      </w:r>
      <w:r>
        <w:rPr>
          <w:b/>
          <w:bCs/>
          <w:color w:val="000000"/>
        </w:rPr>
        <w:t>F.  [heading]</w:t>
      </w:r>
    </w:p>
    <w:p>
      <w:pPr>
        <w:pStyle w:val="Normal"/>
        <w:spacing w:lineRule="auto" w:line="480"/>
        <w:jc w:val="both"/>
        <w:rPr>
          <w:color w:val="000000"/>
        </w:rPr>
      </w:pPr>
      <w:r>
        <w:rPr>
          <w:color w:val="000000"/>
        </w:rPr>
        <w:tab/>
        <w:t xml:space="preserve">The Staff Report refers to the “rationing effect of prices on demand,” (page 25) but does not explain which of two basic definitions are relevant.  One rationing function of market-clearing prices is to reduce the quantity demanded to the quantity available.  Another is to allocate the available supplies among competing demanders.  These are very different, and have different attendant implications.  </w:t>
      </w:r>
      <w:r>
        <w:rPr>
          <w:b/>
          <w:bCs/>
          <w:color w:val="000000"/>
        </w:rPr>
        <w:t>[For example…]</w:t>
      </w:r>
    </w:p>
    <w:p>
      <w:pPr>
        <w:pStyle w:val="Normal"/>
        <w:spacing w:lineRule="auto" w:line="480"/>
        <w:jc w:val="both"/>
        <w:rPr>
          <w:color w:val="000000"/>
        </w:rPr>
      </w:pPr>
      <w:r>
        <w:rPr>
          <w:color w:val="000000"/>
        </w:rPr>
      </w:r>
    </w:p>
    <w:p>
      <w:pPr>
        <w:pStyle w:val="Normal"/>
        <w:spacing w:lineRule="auto" w:line="480"/>
        <w:jc w:val="both"/>
        <w:rPr>
          <w:color w:val="000000"/>
        </w:rPr>
      </w:pPr>
      <w:r>
        <w:rPr>
          <w:color w:val="000000"/>
        </w:rPr>
        <w:tab/>
      </w:r>
      <w:r>
        <w:rPr>
          <w:b/>
          <w:bCs/>
          <w:color w:val="000000"/>
        </w:rPr>
        <w:t>G.  [heading]</w:t>
      </w:r>
    </w:p>
    <w:p>
      <w:pPr>
        <w:pStyle w:val="Normal"/>
        <w:spacing w:lineRule="auto" w:line="480"/>
        <w:jc w:val="both"/>
        <w:rPr>
          <w:color w:val="000000"/>
        </w:rPr>
      </w:pPr>
      <w:r>
        <w:rPr>
          <w:color w:val="000000"/>
        </w:rPr>
        <w:tab/>
        <w:t xml:space="preserve">The premise that demanders “are unable to respond” to high prices is curious (page 26).  In precisely what sense are they “unable to respond”?  Is there an electricity user who cannot reduce overall or peak consumption even a bit?  </w:t>
      </w:r>
      <w:r>
        <w:rPr>
          <w:b/>
          <w:bCs/>
          <w:color w:val="000000"/>
        </w:rPr>
        <w:t>[flesh out]</w:t>
      </w:r>
    </w:p>
    <w:p>
      <w:pPr>
        <w:pStyle w:val="Normal"/>
        <w:spacing w:lineRule="auto" w:line="480"/>
        <w:jc w:val="both"/>
        <w:rPr>
          <w:color w:val="000000"/>
        </w:rPr>
      </w:pPr>
      <w:r>
        <w:rPr>
          <w:color w:val="000000"/>
        </w:rPr>
      </w:r>
    </w:p>
    <w:p>
      <w:pPr>
        <w:pStyle w:val="Normal"/>
        <w:spacing w:lineRule="auto" w:line="480"/>
        <w:jc w:val="both"/>
        <w:rPr>
          <w:color w:val="000000"/>
        </w:rPr>
      </w:pPr>
      <w:r>
        <w:rPr>
          <w:color w:val="000000"/>
        </w:rPr>
        <w:tab/>
      </w:r>
      <w:r>
        <w:rPr>
          <w:b/>
          <w:bCs/>
          <w:color w:val="000000"/>
        </w:rPr>
        <w:t>H.  [heading]</w:t>
      </w:r>
    </w:p>
    <w:p>
      <w:pPr>
        <w:pStyle w:val="Normal"/>
        <w:spacing w:lineRule="auto" w:line="480"/>
        <w:jc w:val="both"/>
        <w:rPr>
          <w:color w:val="000000"/>
        </w:rPr>
      </w:pPr>
      <w:r>
        <w:rPr>
          <w:color w:val="000000"/>
        </w:rPr>
        <w:tab/>
        <w:t xml:space="preserve">The discussion (page 27) seems to argue that mandated contracting would reduce the ability of suppliers to exercise market power.  But that cannot be correct: If market power exists, one would expect contractual terms to reflect it. </w:t>
      </w:r>
      <w:r>
        <w:rPr>
          <w:b/>
          <w:bCs/>
          <w:color w:val="000000"/>
        </w:rPr>
        <w:t>[flesh out]</w:t>
      </w:r>
    </w:p>
    <w:p>
      <w:pPr>
        <w:pStyle w:val="Normal"/>
        <w:spacing w:lineRule="auto" w:line="480"/>
        <w:jc w:val="both"/>
        <w:rPr>
          <w:color w:val="000000"/>
        </w:rPr>
      </w:pPr>
      <w:r>
        <w:rPr>
          <w:color w:val="000000"/>
        </w:rPr>
      </w:r>
    </w:p>
    <w:p>
      <w:pPr>
        <w:pStyle w:val="Normal"/>
        <w:spacing w:lineRule="auto" w:line="480"/>
        <w:jc w:val="both"/>
        <w:rPr>
          <w:color w:val="000000"/>
        </w:rPr>
      </w:pPr>
      <w:r>
        <w:rPr>
          <w:color w:val="000000"/>
        </w:rPr>
        <w:tab/>
      </w:r>
      <w:r>
        <w:rPr>
          <w:b/>
          <w:bCs/>
          <w:color w:val="000000"/>
        </w:rPr>
        <w:t>I.  [heading]</w:t>
      </w:r>
    </w:p>
    <w:p>
      <w:pPr>
        <w:pStyle w:val="Normal"/>
        <w:spacing w:lineRule="auto" w:line="480"/>
        <w:jc w:val="both"/>
        <w:rPr>
          <w:color w:val="000000"/>
        </w:rPr>
      </w:pPr>
      <w:r>
        <w:rPr>
          <w:color w:val="000000"/>
        </w:rPr>
        <w:tab/>
        <w:t>The Staff Report should make the basic point that a blackout driven by price controls — which must be the case — drives the true price of electricity above the (high) price that would clear the market in the absence of the controls (page 27).  This is axiomatic, because the reduction in the availability of electricity increases its marginal value.</w:t>
      </w:r>
    </w:p>
    <w:p>
      <w:pPr>
        <w:pStyle w:val="Normal"/>
        <w:spacing w:lineRule="auto" w:line="480"/>
        <w:jc w:val="both"/>
        <w:rPr>
          <w:color w:val="000000"/>
        </w:rPr>
      </w:pPr>
      <w:r>
        <w:rPr>
          <w:color w:val="000000"/>
        </w:rPr>
      </w:r>
    </w:p>
    <w:p>
      <w:pPr>
        <w:pStyle w:val="Normal"/>
        <w:spacing w:lineRule="auto" w:line="480"/>
        <w:jc w:val="center"/>
        <w:rPr>
          <w:color w:val="000000"/>
          <w:u w:val="single"/>
        </w:rPr>
      </w:pPr>
      <w:r>
        <w:rPr>
          <w:b/>
          <w:bCs/>
          <w:color w:val="000000"/>
        </w:rPr>
        <w:t xml:space="preserve">IV. </w:t>
      </w:r>
      <w:r>
        <w:rPr>
          <w:b/>
          <w:bCs/>
          <w:color w:val="000000"/>
          <w:u w:val="single"/>
        </w:rPr>
        <w:t>Conclusion</w:t>
      </w:r>
    </w:p>
    <w:p>
      <w:pPr>
        <w:pStyle w:val="Normal"/>
        <w:spacing w:lineRule="auto" w:line="480"/>
        <w:ind w:firstLine="720" w:end="0"/>
        <w:jc w:val="both"/>
        <w:rPr>
          <w:color w:val="000000"/>
        </w:rPr>
      </w:pPr>
      <w:r>
        <w:rPr>
          <w:color w:val="000000"/>
        </w:rPr>
        <w:t>The problem that the Staff Report addresses—market power on the part of electricity producers — is poorly defined, and cannot be distinguished in the Staff Report framework from high prices yielded by competitive conditions.  The price mitigation solution is based upon a poor definition of marginal cost, and is likely if implemented to yield inefficient outcomes in the short run and distorted investment incentives in the long run.</w:t>
      </w:r>
    </w:p>
    <w:p>
      <w:pPr>
        <w:pStyle w:val="Normal"/>
        <w:ind w:firstLine="5040" w:end="0"/>
        <w:jc w:val="both"/>
        <w:rPr/>
      </w:pPr>
      <w:r>
        <w:rPr/>
        <w:t>Respectfully submitted,</w:t>
      </w:r>
    </w:p>
    <w:p>
      <w:pPr>
        <w:pStyle w:val="Normal"/>
        <w:ind w:firstLine="5040" w:end="0"/>
        <w:jc w:val="both"/>
        <w:rPr/>
      </w:pPr>
      <w:r>
        <w:rPr/>
      </w:r>
    </w:p>
    <w:p>
      <w:pPr>
        <w:pStyle w:val="Normal"/>
        <w:ind w:firstLine="5040" w:end="0"/>
        <w:jc w:val="both"/>
        <w:rPr/>
      </w:pPr>
      <w:r>
        <w:rPr/>
      </w:r>
    </w:p>
    <w:p>
      <w:pPr>
        <w:pStyle w:val="Normal"/>
        <w:ind w:firstLine="5040" w:end="0"/>
        <w:jc w:val="both"/>
        <w:rPr/>
      </w:pPr>
      <w:r>
        <w:rPr/>
        <w:t>ARTER &amp; HADDEN, LLP</w:t>
      </w:r>
    </w:p>
    <w:p>
      <w:pPr>
        <w:pStyle w:val="Normal"/>
        <w:ind w:firstLine="5040" w:end="0"/>
        <w:jc w:val="both"/>
        <w:rPr/>
      </w:pPr>
      <w:r>
        <w:rPr/>
      </w:r>
    </w:p>
    <w:p>
      <w:pPr>
        <w:pStyle w:val="Normal"/>
        <w:ind w:firstLine="5040" w:end="0"/>
        <w:jc w:val="both"/>
        <w:rPr/>
      </w:pPr>
      <w:r>
        <w:rPr/>
      </w:r>
    </w:p>
    <w:p>
      <w:pPr>
        <w:pStyle w:val="Normal"/>
        <w:ind w:firstLine="5040" w:end="0"/>
        <w:jc w:val="both"/>
        <w:rPr/>
      </w:pPr>
      <w:r>
        <w:rPr/>
      </w:r>
    </w:p>
    <w:p>
      <w:pPr>
        <w:pStyle w:val="Normal"/>
        <w:ind w:firstLine="5040" w:end="0"/>
        <w:jc w:val="both"/>
        <w:rPr/>
      </w:pPr>
      <w:r>
        <w:rPr/>
        <w:t>_______________________________</w:t>
      </w:r>
    </w:p>
    <w:p>
      <w:pPr>
        <w:pStyle w:val="Normal"/>
        <w:ind w:firstLine="1440" w:start="3600" w:end="0"/>
        <w:jc w:val="both"/>
        <w:rPr/>
      </w:pPr>
      <w:r>
        <w:rPr/>
        <w:t>Daniel W. Douglass</w:t>
      </w:r>
    </w:p>
    <w:p>
      <w:pPr>
        <w:pStyle w:val="Normal"/>
        <w:ind w:firstLine="1440" w:start="3600" w:end="0"/>
        <w:jc w:val="both"/>
        <w:rPr/>
      </w:pPr>
      <w:r>
        <w:rPr/>
      </w:r>
    </w:p>
    <w:p>
      <w:pPr>
        <w:pStyle w:val="Normal"/>
        <w:ind w:firstLine="1440" w:start="3600" w:end="0"/>
        <w:jc w:val="both"/>
        <w:rPr/>
      </w:pPr>
      <w:r>
        <w:rPr/>
        <w:t>Arter &amp; Hadden LLP</w:t>
      </w:r>
    </w:p>
    <w:p>
      <w:pPr>
        <w:pStyle w:val="Normal"/>
        <w:ind w:firstLine="1440" w:start="3600" w:end="0"/>
        <w:jc w:val="both"/>
        <w:rPr/>
      </w:pPr>
      <w:r>
        <w:rPr/>
        <w:t>5959 Topanga Canyon Blvd.  Suite 244</w:t>
      </w:r>
    </w:p>
    <w:p>
      <w:pPr>
        <w:pStyle w:val="Normal"/>
        <w:ind w:firstLine="1440" w:start="3600" w:end="0"/>
        <w:jc w:val="both"/>
        <w:rPr/>
      </w:pPr>
      <w:r>
        <w:rPr/>
        <w:t>Woodland Hills, CA 91367</w:t>
      </w:r>
    </w:p>
    <w:p>
      <w:pPr>
        <w:pStyle w:val="Normal"/>
        <w:ind w:firstLine="1440" w:start="3600" w:end="0"/>
        <w:jc w:val="both"/>
        <w:rPr/>
      </w:pPr>
      <w:r>
        <w:rPr/>
        <w:t>Telephone (818) 596-2201</w:t>
      </w:r>
    </w:p>
    <w:p>
      <w:pPr>
        <w:pStyle w:val="Normal"/>
        <w:ind w:firstLine="5040" w:end="0"/>
        <w:jc w:val="both"/>
        <w:rPr/>
      </w:pPr>
      <w:r>
        <w:rPr/>
        <w:t>Facsimile   (818) 346-6502</w:t>
      </w:r>
    </w:p>
    <w:p>
      <w:pPr>
        <w:pStyle w:val="Normal"/>
        <w:ind w:firstLine="5040" w:end="0"/>
        <w:jc w:val="both"/>
        <w:rPr/>
      </w:pPr>
      <w:r>
        <w:rPr/>
      </w:r>
    </w:p>
    <w:p>
      <w:pPr>
        <w:pStyle w:val="Normal"/>
        <w:ind w:firstLine="5040" w:end="0"/>
        <w:jc w:val="both"/>
        <w:rPr/>
      </w:pPr>
      <w:r>
        <w:rPr/>
        <w:t>Attorneys for the</w:t>
      </w:r>
    </w:p>
    <w:p>
      <w:pPr>
        <w:pStyle w:val="Normal"/>
        <w:ind w:firstLine="5040" w:end="0"/>
        <w:jc w:val="both"/>
        <w:rPr/>
      </w:pPr>
      <w:r>
        <w:rPr/>
        <w:t>WESTERN POWER TRADING FORUM</w:t>
      </w:r>
    </w:p>
    <w:p>
      <w:pPr>
        <w:pStyle w:val="Normal"/>
        <w:ind w:firstLine="5040" w:end="0"/>
        <w:jc w:val="both"/>
        <w:rPr/>
      </w:pPr>
      <w:r>
        <w:rPr/>
      </w:r>
    </w:p>
    <w:p>
      <w:pPr>
        <w:pStyle w:val="Normal"/>
        <w:jc w:val="both"/>
        <w:rPr/>
      </w:pPr>
      <w:r>
        <w:rPr/>
        <w:t>March 22, 2001</w:t>
      </w:r>
      <w:r>
        <w:br w:type="page"/>
      </w:r>
    </w:p>
    <w:p>
      <w:pPr>
        <w:pStyle w:val="Heading1"/>
        <w:ind w:hanging="0" w:start="0"/>
        <w:rPr/>
      </w:pPr>
      <w:r>
        <w:rPr/>
        <w:t>CERTIFICATE OF SERVICE</w:t>
      </w:r>
    </w:p>
    <w:p>
      <w:pPr>
        <w:pStyle w:val="Normal"/>
        <w:ind w:firstLine="720" w:end="0"/>
        <w:jc w:val="both"/>
        <w:rPr/>
      </w:pPr>
      <w:r>
        <w:rPr/>
      </w:r>
    </w:p>
    <w:p>
      <w:pPr>
        <w:pStyle w:val="Normal"/>
        <w:spacing w:lineRule="auto" w:line="360"/>
        <w:ind w:firstLine="720" w:end="0"/>
        <w:jc w:val="both"/>
        <w:rPr/>
      </w:pPr>
      <w:r>
        <w:rPr/>
        <w:t>I hereby certify that I have this day served the foregoing document upon the following persons designated on the official service list compiled by the Secretary in Docket Nos. EL00-95-012</w:t>
      </w:r>
      <w:r>
        <w:rPr>
          <w:b/>
          <w:bCs/>
        </w:rPr>
        <w:t xml:space="preserve"> </w:t>
      </w:r>
      <w:r>
        <w:rPr/>
        <w:t>in accordance with the requirements of Rule 2010 of the Commission’s Rules of Practice and Procedure, 18 C.F.R. §385.2010 (1997).</w:t>
      </w:r>
    </w:p>
    <w:p>
      <w:pPr>
        <w:pStyle w:val="Normal"/>
        <w:spacing w:lineRule="auto" w:line="360"/>
        <w:ind w:firstLine="720" w:end="0"/>
        <w:jc w:val="both"/>
        <w:rPr/>
      </w:pPr>
      <w:r>
        <w:rPr/>
        <w:t>Dated at Woodland Hills, California on this 22</w:t>
      </w:r>
      <w:r>
        <w:rPr>
          <w:vertAlign w:val="superscript"/>
        </w:rPr>
        <w:t>nd</w:t>
      </w:r>
      <w:r>
        <w:rPr>
          <w:position w:val="6"/>
        </w:rPr>
        <w:t xml:space="preserve"> </w:t>
      </w:r>
      <w:r>
        <w:rPr/>
        <w:t>day of March, 2001.</w:t>
      </w:r>
    </w:p>
    <w:p>
      <w:pPr>
        <w:pStyle w:val="Normal"/>
        <w:spacing w:lineRule="exact" w:line="480"/>
        <w:jc w:val="both"/>
        <w:rPr/>
      </w:pPr>
      <w:r>
        <w:rPr/>
        <w:tab/>
        <w:tab/>
        <w:tab/>
        <w:tab/>
        <w:tab/>
        <w:tab/>
        <w:tab/>
        <w:tab/>
        <w:tab/>
        <w:tab/>
        <w:tab/>
        <w:tab/>
        <w:tab/>
        <w:tab/>
        <w:tab/>
        <w:tab/>
        <w:tab/>
        <w:tab/>
        <w:t>_________________________________</w:t>
      </w:r>
    </w:p>
    <w:p>
      <w:pPr>
        <w:pStyle w:val="BodyText2"/>
        <w:ind w:start="3600" w:end="0"/>
        <w:rPr/>
      </w:pPr>
      <w:r>
        <w:rPr/>
        <w:t xml:space="preserve">       </w:t>
      </w:r>
      <w:r>
        <w:rPr/>
        <w:t>Michelle Dangott</w:t>
      </w:r>
    </w:p>
    <w:sectPr>
      <w:footerReference w:type="default" r:id="rId2"/>
      <w:footerReference w:type="first" r:id="rId3"/>
      <w:footnotePr>
        <w:numFmt w:val="decimal"/>
      </w:footnotePr>
      <w:type w:val="nextPage"/>
      <w:pgSz w:w="12240" w:h="15840"/>
      <w:pgMar w:left="1440" w:right="1440" w:gutter="0" w:header="0" w:top="1440" w:footer="432" w:bottom="1440"/>
      <w:pgNumType w:start="0" w:fmt="decimal"/>
      <w:formProt w:val="false"/>
      <w:titlePg/>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Liberation Sans">
    <w:altName w:val="Arial"/>
    <w:charset w:val="01" w:characterSet="utf-8"/>
    <w:family w:val="swiss"/>
    <w:pitch w:val="variable"/>
  </w:font>
  <w:font w:name="TmsRmn">
    <w:altName w:val="Times New Roman"/>
    <w:charset w:val="01"/>
    <w:family w:val="decorative"/>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479" w:type="dxa"/>
      <w:jc w:val="start"/>
      <w:tblInd w:w="0" w:type="dxa"/>
      <w:tblLayout w:type="fixed"/>
      <w:tblCellMar>
        <w:top w:w="0" w:type="dxa"/>
        <w:start w:w="108" w:type="dxa"/>
        <w:bottom w:w="0" w:type="dxa"/>
        <w:end w:w="108" w:type="dxa"/>
      </w:tblCellMar>
    </w:tblPr>
    <w:tblGrid>
      <w:gridCol w:w="3802"/>
      <w:gridCol w:w="1987"/>
      <w:gridCol w:w="3690"/>
    </w:tblGrid>
    <w:tr>
      <w:trPr/>
      <w:tc>
        <w:tcPr>
          <w:tcW w:w="3802" w:type="dxa"/>
          <w:tcBorders/>
        </w:tcPr>
        <w:p>
          <w:pPr>
            <w:pStyle w:val="FooterTxt"/>
            <w:snapToGrid w:val="false"/>
            <w:rPr/>
          </w:pPr>
          <w:r>
            <w:rPr/>
          </w:r>
        </w:p>
        <w:p>
          <w:pPr>
            <w:pStyle w:val="FooterTxt"/>
            <w:rPr/>
          </w:pPr>
          <w:r>
            <w:rPr/>
          </w:r>
        </w:p>
      </w:tc>
      <w:tc>
        <w:tcPr>
          <w:tcW w:w="1987" w:type="dxa"/>
          <w:tcBorders/>
        </w:tcPr>
        <w:p>
          <w:pPr>
            <w:pStyle w:val="Normal"/>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r>
            <w:rPr>
              <w:rStyle w:val="PageNumber"/>
            </w:rPr>
            <w:t>.</w:t>
          </w:r>
        </w:p>
      </w:tc>
      <w:tc>
        <w:tcPr>
          <w:tcW w:w="3690" w:type="dxa"/>
          <w:tcBorders/>
        </w:tcPr>
        <w:p>
          <w:pPr>
            <w:pStyle w:val="Normal"/>
            <w:snapToGrid w:val="false"/>
            <w:jc w:val="end"/>
            <w:rPr/>
          </w:pPr>
          <w:r>
            <w:rPr/>
          </w:r>
        </w:p>
      </w:tc>
    </w:tr>
  </w:tbl>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475" w:type="dxa"/>
      <w:jc w:val="start"/>
      <w:tblInd w:w="0" w:type="dxa"/>
      <w:tblLayout w:type="fixed"/>
      <w:tblCellMar>
        <w:top w:w="0" w:type="dxa"/>
        <w:start w:w="108" w:type="dxa"/>
        <w:bottom w:w="0" w:type="dxa"/>
        <w:end w:w="108" w:type="dxa"/>
      </w:tblCellMar>
    </w:tblPr>
    <w:tblGrid>
      <w:gridCol w:w="3802"/>
      <w:gridCol w:w="1987"/>
      <w:gridCol w:w="3686"/>
    </w:tblGrid>
    <w:tr>
      <w:trPr/>
      <w:tc>
        <w:tcPr>
          <w:tcW w:w="3802" w:type="dxa"/>
          <w:tcBorders/>
        </w:tcPr>
        <w:p>
          <w:pPr>
            <w:pStyle w:val="FooterTxt"/>
            <w:snapToGrid w:val="false"/>
            <w:rPr/>
          </w:pPr>
          <w:r>
            <w:rPr/>
          </w:r>
        </w:p>
      </w:tc>
      <w:tc>
        <w:tcPr>
          <w:tcW w:w="1987" w:type="dxa"/>
          <w:tcBorders/>
        </w:tcPr>
        <w:p>
          <w:pPr>
            <w:pStyle w:val="Normal"/>
            <w:snapToGrid w:val="false"/>
            <w:jc w:val="center"/>
            <w:rPr/>
          </w:pPr>
          <w:r>
            <w:rPr/>
          </w:r>
        </w:p>
      </w:tc>
      <w:tc>
        <w:tcPr>
          <w:tcW w:w="3686" w:type="dxa"/>
          <w:tcBorders/>
        </w:tcPr>
        <w:p>
          <w:pPr>
            <w:pStyle w:val="Normal"/>
            <w:snapToGrid w:val="false"/>
            <w:jc w:val="end"/>
            <w:rPr/>
          </w:pPr>
          <w:r>
            <w:rPr/>
          </w:r>
        </w:p>
      </w:tc>
    </w:tr>
  </w:tbl>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Normal"/>
        <w:jc w:val="both"/>
        <w:rPr/>
      </w:pPr>
      <w:r>
        <w:rPr>
          <w:rStyle w:val="FootnoteCharacters"/>
        </w:rPr>
        <w:footnoteRef/>
      </w:r>
      <w:r>
        <w:rPr>
          <w:color w:val="000000"/>
          <w:position w:val="6"/>
          <w:sz w:val="20"/>
          <w:szCs w:val="20"/>
        </w:rPr>
        <w:t>1</w:t>
      </w:r>
      <w:r>
        <w:rPr>
          <w:color w:val="000000"/>
          <w:sz w:val="20"/>
          <w:szCs w:val="20"/>
        </w:rPr>
        <w:t xml:space="preserve"> See, for example, the Staff Report at page 23: “The Commission staff could then use a published fuel cost such as that which is available in </w:t>
      </w:r>
      <w:r>
        <w:rPr>
          <w:i/>
          <w:iCs/>
          <w:color w:val="000000"/>
          <w:sz w:val="20"/>
          <w:szCs w:val="20"/>
        </w:rPr>
        <w:t>Gas Daily</w:t>
      </w:r>
      <w:r>
        <w:rPr>
          <w:color w:val="000000"/>
          <w:sz w:val="20"/>
          <w:szCs w:val="20"/>
        </w:rPr>
        <w:t xml:space="preserve"> and emission credit data (where applicable) to determine the correct price that can be used for mitigation purposes.”  (Italics in the original.)  The actual proposal (page 22) is for a price at, “the marginal cost of the highest-priced PGA unit called upon to run” and for each generating unit, “to have a standing, confidential price based on its marginal costs, to be used by the ISO to establish the real-time market clearing price when mitigation is appropriate.”</w:t>
      </w:r>
    </w:p>
    <w:p>
      <w:pPr>
        <w:pStyle w:val="Normal"/>
        <w:jc w:val="both"/>
        <w:rPr>
          <w:rFonts w:ascii="TmsRmn" w:hAnsi="TmsRmn" w:eastAsia="TmsRmn" w:cs="TmsRmn"/>
          <w:color w:val="000000"/>
          <w:sz w:val="20"/>
          <w:szCs w:val="20"/>
        </w:rPr>
      </w:pPr>
      <w:r>
        <w:rPr>
          <w:rFonts w:eastAsia="TmsRmn" w:cs="TmsRmn" w:ascii="TmsRmn" w:hAnsi="TmsRmn"/>
          <w:color w:val="000000"/>
          <w:sz w:val="20"/>
          <w:szCs w:val="20"/>
        </w:rPr>
      </w:r>
    </w:p>
  </w:footnote>
  <w:footnote w:id="3">
    <w:p>
      <w:pPr>
        <w:pStyle w:val="Normal"/>
        <w:jc w:val="both"/>
        <w:rPr/>
      </w:pPr>
      <w:r>
        <w:rPr>
          <w:rStyle w:val="FootnoteCharacters"/>
        </w:rPr>
        <w:t>.</w:t>
      </w:r>
      <w:r>
        <w:rPr>
          <w:color w:val="000000"/>
          <w:position w:val="6"/>
          <w:sz w:val="20"/>
          <w:szCs w:val="20"/>
        </w:rPr>
        <w:t>2</w:t>
      </w:r>
      <w:r>
        <w:rPr>
          <w:color w:val="000000"/>
          <w:sz w:val="20"/>
          <w:szCs w:val="20"/>
        </w:rPr>
        <w:t xml:space="preserve"> In the same paragraph, the Staff Report goes on to argue that, “with certain important exceptions, bids in real-time energy markets that are above marginal production costs may indicate attempts to exercise market power.”  Except to the extent that the phrase “may indicate” implies doubt, that assertion is incorrect, as discussed below, because price can exceed marginal cost even defined correctly in a competitive market with short-run capacity constraints.</w:t>
      </w:r>
    </w:p>
  </w:footnote>
  <w:footnote w:id="4">
    <w:p>
      <w:pPr>
        <w:pStyle w:val="Normal"/>
        <w:jc w:val="both"/>
        <w:rPr/>
      </w:pPr>
      <w:r>
        <w:rPr>
          <w:rStyle w:val="FootnoteCharacters"/>
        </w:rPr>
        <w:t>.</w:t>
      </w:r>
      <w:r>
        <w:rPr>
          <w:color w:val="000000"/>
          <w:position w:val="6"/>
          <w:sz w:val="20"/>
          <w:szCs w:val="20"/>
        </w:rPr>
        <w:t>3</w:t>
      </w:r>
      <w:r>
        <w:rPr>
          <w:color w:val="000000"/>
          <w:sz w:val="20"/>
          <w:szCs w:val="20"/>
        </w:rPr>
        <w:t xml:space="preserve"> This is a standard analytic conclusion in the literature on the economics of information and signaling.  For a discussion in the context of the electric power market, see Benjamin Zycher, “Electric System Reliability Under Partial Deregulation,” </w:t>
      </w:r>
      <w:r>
        <w:rPr>
          <w:i/>
          <w:iCs/>
          <w:color w:val="000000"/>
          <w:sz w:val="20"/>
          <w:szCs w:val="20"/>
        </w:rPr>
        <w:t>Regulation</w:t>
      </w:r>
      <w:r>
        <w:rPr>
          <w:color w:val="000000"/>
          <w:sz w:val="20"/>
          <w:szCs w:val="20"/>
        </w:rPr>
        <w:t xml:space="preserve">, 2000 (4).  See also, Benjamin Klein and Keith Leffler, “The Role of Market Forces In Assuring Contractual Performance,” </w:t>
      </w:r>
      <w:r>
        <w:rPr>
          <w:i/>
          <w:iCs/>
          <w:color w:val="000000"/>
          <w:sz w:val="20"/>
          <w:szCs w:val="20"/>
        </w:rPr>
        <w:t>Journal of Political Economy</w:t>
      </w:r>
      <w:r>
        <w:rPr>
          <w:color w:val="000000"/>
          <w:sz w:val="20"/>
          <w:szCs w:val="20"/>
        </w:rPr>
        <w:t>, August 1981.</w:t>
      </w:r>
    </w:p>
  </w:footnote>
  <w:footnote w:id="5">
    <w:p>
      <w:pPr>
        <w:pStyle w:val="Normal"/>
        <w:jc w:val="both"/>
        <w:rPr/>
      </w:pPr>
      <w:r>
        <w:rPr>
          <w:rStyle w:val="FootnoteCharacters"/>
        </w:rPr>
        <w:t>.</w:t>
      </w:r>
      <w:r>
        <w:rPr>
          <w:color w:val="000000"/>
          <w:position w:val="6"/>
          <w:sz w:val="20"/>
          <w:szCs w:val="20"/>
        </w:rPr>
        <w:t>4</w:t>
      </w:r>
      <w:r>
        <w:rPr>
          <w:color w:val="000000"/>
          <w:sz w:val="20"/>
          <w:szCs w:val="20"/>
        </w:rPr>
        <w:t xml:space="preserve"> This shunts aside the marginal cost of potential entrants, an important analytic error in this Staff Report discussion.</w:t>
      </w:r>
    </w:p>
  </w:footnote>
  <w:footnote w:id="6">
    <w:p>
      <w:pPr>
        <w:pStyle w:val="Normal"/>
        <w:jc w:val="both"/>
        <w:rPr/>
      </w:pPr>
      <w:r>
        <w:rPr>
          <w:rStyle w:val="FootnoteCharacters"/>
        </w:rPr>
        <w:t>.</w:t>
      </w:r>
      <w:r>
        <w:rPr>
          <w:color w:val="000000"/>
          <w:position w:val="6"/>
          <w:sz w:val="20"/>
          <w:szCs w:val="20"/>
        </w:rPr>
        <w:t>5</w:t>
      </w:r>
      <w:r>
        <w:rPr>
          <w:color w:val="000000"/>
          <w:sz w:val="20"/>
          <w:szCs w:val="20"/>
        </w:rPr>
        <w:t xml:space="preserve"> By endorsing pricing at market marginal cost, the Staff Report implicitly acknowledges that demand is not  “inflexible,” because if it were, a regulated market price determined by (weighted) marginal cost averaging would not yield allocational inefficiency.  Note that “flexible” demand still may be highly inelastic.</w:t>
      </w:r>
    </w:p>
  </w:footnote>
  <w:footnote w:id="7">
    <w:p>
      <w:pPr>
        <w:pStyle w:val="Normal"/>
        <w:jc w:val="both"/>
        <w:rPr/>
      </w:pPr>
      <w:r>
        <w:rPr>
          <w:rStyle w:val="FootnoteCharacters"/>
        </w:rPr>
        <w:t>.</w:t>
      </w:r>
      <w:r>
        <w:rPr>
          <w:color w:val="000000"/>
          <w:position w:val="6"/>
          <w:sz w:val="20"/>
          <w:szCs w:val="20"/>
        </w:rPr>
        <w:t>6</w:t>
      </w:r>
      <w:r>
        <w:rPr>
          <w:color w:val="000000"/>
          <w:sz w:val="20"/>
          <w:szCs w:val="20"/>
        </w:rPr>
        <w:t xml:space="preserve"> See Milton Friedman, </w:t>
      </w:r>
      <w:r>
        <w:rPr>
          <w:i/>
          <w:iCs/>
          <w:color w:val="000000"/>
          <w:sz w:val="20"/>
          <w:szCs w:val="20"/>
        </w:rPr>
        <w:t>Price Theory: A Provisional Text</w:t>
      </w:r>
      <w:r>
        <w:rPr>
          <w:color w:val="000000"/>
          <w:sz w:val="20"/>
          <w:szCs w:val="20"/>
        </w:rPr>
        <w:t>, Chicago: Aldine, 1962, pp. 80-93.  Note that “mitigation” is relevant only when supplies are “tight,” that is, when demand is strong relative to available capacity, so that prices are high.</w:t>
      </w:r>
    </w:p>
  </w:footnote>
  <w:footnote w:id="8">
    <w:p>
      <w:pPr>
        <w:pStyle w:val="Normal"/>
        <w:jc w:val="both"/>
        <w:rPr/>
      </w:pPr>
      <w:r>
        <w:rPr>
          <w:rStyle w:val="FootnoteCharacters"/>
        </w:rPr>
        <w:t>.</w:t>
      </w:r>
      <w:r>
        <w:rPr>
          <w:color w:val="000000"/>
          <w:position w:val="6"/>
          <w:sz w:val="20"/>
          <w:szCs w:val="20"/>
        </w:rPr>
        <w:t>7</w:t>
      </w:r>
      <w:r>
        <w:rPr>
          <w:color w:val="000000"/>
          <w:sz w:val="20"/>
          <w:szCs w:val="20"/>
        </w:rPr>
        <w:t xml:space="preserve"> The Staff Report recognizes this explicitly on page 12: “However, care must be taken to distinguish high prices due to the exercise of market power from high prices that are due to high costs </w:t>
      </w:r>
      <w:r>
        <w:rPr>
          <w:i/>
          <w:iCs/>
          <w:color w:val="000000"/>
          <w:sz w:val="20"/>
          <w:szCs w:val="20"/>
        </w:rPr>
        <w:t>or scarcity.</w:t>
      </w:r>
      <w:r>
        <w:rPr>
          <w:color w:val="000000"/>
          <w:sz w:val="20"/>
          <w:szCs w:val="20"/>
        </w:rPr>
        <w:t>” (Emphasis added.)</w:t>
      </w:r>
    </w:p>
  </w:footnote>
  <w:footnote w:id="9">
    <w:p>
      <w:pPr>
        <w:pStyle w:val="Normal"/>
        <w:jc w:val="both"/>
        <w:rPr/>
      </w:pPr>
      <w:r>
        <w:rPr>
          <w:rStyle w:val="FootnoteCharacters"/>
        </w:rPr>
        <w:t>.</w:t>
      </w:r>
      <w:r>
        <w:rPr>
          <w:color w:val="000000"/>
          <w:position w:val="6"/>
          <w:sz w:val="20"/>
          <w:szCs w:val="20"/>
        </w:rPr>
        <w:t>8</w:t>
      </w:r>
      <w:r>
        <w:rPr>
          <w:color w:val="000000"/>
          <w:sz w:val="20"/>
          <w:szCs w:val="20"/>
        </w:rPr>
        <w:t xml:space="preserve"> Technically, intersection of demand with the vertical region of supply means that marginal cost is infinite.</w:t>
      </w:r>
    </w:p>
  </w:footnote>
  <w:footnote w:id="10">
    <w:p>
      <w:pPr>
        <w:pStyle w:val="Normal"/>
        <w:jc w:val="both"/>
        <w:rPr/>
      </w:pPr>
      <w:r>
        <w:rPr>
          <w:rStyle w:val="FootnoteCharacters"/>
        </w:rPr>
        <w:t>.</w:t>
      </w:r>
      <w:r>
        <w:rPr>
          <w:color w:val="000000"/>
          <w:position w:val="6"/>
          <w:sz w:val="20"/>
          <w:szCs w:val="20"/>
        </w:rPr>
        <w:t>9</w:t>
      </w:r>
      <w:r>
        <w:rPr>
          <w:color w:val="000000"/>
          <w:sz w:val="20"/>
          <w:szCs w:val="20"/>
        </w:rPr>
        <w:t xml:space="preserve"> “Bids that are significantly above these cost levels could be an indication that the owners are attempting to exercise market power.  However, there are a number of reasons why bids above marginal cost are not necessarily evidence of market power.”  (Staff Report at page 12.)</w:t>
      </w:r>
    </w:p>
    <w:p>
      <w:pPr>
        <w:pStyle w:val="Normal"/>
        <w:jc w:val="both"/>
        <w:rPr>
          <w:rFonts w:ascii="TmsRmn" w:hAnsi="TmsRmn" w:eastAsia="TmsRmn" w:cs="TmsRmn"/>
          <w:color w:val="000000"/>
          <w:sz w:val="20"/>
          <w:szCs w:val="20"/>
        </w:rPr>
      </w:pPr>
      <w:r>
        <w:rPr>
          <w:rFonts w:eastAsia="TmsRmn" w:cs="TmsRmn" w:ascii="TmsRmn" w:hAnsi="TmsRmn"/>
          <w:color w:val="000000"/>
          <w:sz w:val="20"/>
          <w:szCs w:val="20"/>
        </w:rPr>
      </w:r>
    </w:p>
  </w:footnote>
  <w:footnote w:id="11">
    <w:p>
      <w:pPr>
        <w:pStyle w:val="Normal"/>
        <w:jc w:val="both"/>
        <w:rPr/>
      </w:pPr>
      <w:r>
        <w:rPr>
          <w:rStyle w:val="FootnoteCharacters"/>
        </w:rPr>
        <w:t>.</w:t>
      </w:r>
      <w:r>
        <w:rPr>
          <w:color w:val="000000"/>
          <w:position w:val="6"/>
          <w:sz w:val="20"/>
          <w:szCs w:val="20"/>
        </w:rPr>
        <w:t>10</w:t>
      </w:r>
      <w:r>
        <w:rPr>
          <w:color w:val="000000"/>
          <w:sz w:val="20"/>
          <w:szCs w:val="20"/>
        </w:rPr>
        <w:t xml:space="preserve"> “However, if demand cannot respond to changes in prices… suppliers may be able to raise prices significantly while causing little or no decline in demand.”  (Staff Report, page 11.  This discussion in the Staff Report contains a small error, in that increases in prices would reduce the quantity demanded rather than demand itself, which latter effect would be a shift in the entire demand function, caused by a change in some parameter other than price.)  The Staff Report on page 18 argues that “the present power market in the West is one of continuing supply scarcity and inflexible demand.”  On page 19, the Staff Report refers to conditions under which “demand cannot set… a limit [on the price that demanders will pay].”  More generally, it is clear from the discussion in the Staff Report that one crucial assumption underlying a perceived market crisis and a public policy need for mitigation is the presence of inelastic demand.</w:t>
      </w:r>
    </w:p>
  </w:footnote>
  <w:footnote w:id="12">
    <w:p>
      <w:pPr>
        <w:pStyle w:val="Normal"/>
        <w:jc w:val="both"/>
        <w:rPr/>
      </w:pPr>
      <w:r>
        <w:rPr>
          <w:rStyle w:val="FootnoteCharacters"/>
        </w:rPr>
        <w:t>.</w:t>
      </w:r>
      <w:r>
        <w:rPr>
          <w:color w:val="000000"/>
          <w:position w:val="6"/>
          <w:sz w:val="20"/>
          <w:szCs w:val="20"/>
        </w:rPr>
        <w:t>11</w:t>
      </w:r>
      <w:r>
        <w:rPr>
          <w:color w:val="000000"/>
          <w:sz w:val="20"/>
          <w:szCs w:val="20"/>
        </w:rPr>
        <w:t xml:space="preserve"> The California case is unique in the sense that retail prices have been frozen and thus have not reflected rising wholesale power costs.  The discussion in the Staff Report assumes this unsustainable condition away by justifying the price mitigation proposal as a source of protection for consumers from the dramatically higher prices that might result from the exercise of market power.  See also footnote 5 above.</w:t>
      </w:r>
    </w:p>
  </w:footnote>
  <w:footnote w:id="13">
    <w:p>
      <w:pPr>
        <w:pStyle w:val="Normal"/>
        <w:spacing w:lineRule="auto" w:line="480"/>
        <w:jc w:val="both"/>
        <w:rPr/>
      </w:pPr>
      <w:r>
        <w:rPr>
          <w:rStyle w:val="FootnoteCharacters"/>
        </w:rPr>
        <w:t>.</w:t>
      </w:r>
      <w:r>
        <w:rPr>
          <w:color w:val="000000"/>
          <w:position w:val="6"/>
          <w:sz w:val="20"/>
          <w:szCs w:val="20"/>
        </w:rPr>
        <w:t>12</w:t>
      </w:r>
      <w:r>
        <w:rPr>
          <w:color w:val="000000"/>
          <w:sz w:val="20"/>
          <w:szCs w:val="20"/>
        </w:rPr>
        <w:t xml:space="preserve"> The Staff Report (page 29) calls for a one-year limit on the price mitigation policy.</w:t>
      </w:r>
    </w:p>
  </w:footnote>
  <w:footnote w:id="14">
    <w:p>
      <w:pPr>
        <w:pStyle w:val="Normal"/>
        <w:jc w:val="both"/>
        <w:rPr/>
      </w:pPr>
      <w:r>
        <w:rPr>
          <w:rStyle w:val="FootnoteCharacters"/>
        </w:rPr>
        <w:t>.</w:t>
      </w:r>
      <w:r>
        <w:rPr>
          <w:color w:val="000000"/>
          <w:position w:val="6"/>
          <w:sz w:val="20"/>
          <w:szCs w:val="20"/>
        </w:rPr>
        <w:t>13</w:t>
      </w:r>
      <w:r>
        <w:rPr>
          <w:color w:val="000000"/>
          <w:sz w:val="20"/>
          <w:szCs w:val="20"/>
        </w:rPr>
        <w:t xml:space="preserve"> See Benjamin Zycher, </w:t>
      </w:r>
      <w:r>
        <w:rPr>
          <w:i/>
          <w:iCs/>
          <w:color w:val="000000"/>
          <w:sz w:val="20"/>
          <w:szCs w:val="20"/>
        </w:rPr>
        <w:t>Policy Analytics of Natural Gas Decontrol</w:t>
      </w:r>
      <w:r>
        <w:rPr>
          <w:color w:val="000000"/>
          <w:sz w:val="20"/>
          <w:szCs w:val="20"/>
        </w:rPr>
        <w:t>, International Institute of Economic Research, June 1985.  The same was true of the price control regime for crude oil in the 1970s: The entitlements regulations drove up the price of imported crude oil, which then was sold along with “old” and other oil subject to price controls at the market-clearing price (except for short periods in 1973 and 1979). Note that these earlier systems imposed controls on the inframarginal units, while the mitigation proposal would impose controls on the marginal kWh.</w:t>
      </w:r>
    </w:p>
  </w:footnote>
  <w:footnote w:id="15">
    <w:p>
      <w:pPr>
        <w:pStyle w:val="Normal"/>
        <w:spacing w:lineRule="auto" w:line="480"/>
        <w:jc w:val="both"/>
        <w:rPr/>
      </w:pPr>
      <w:r>
        <w:rPr>
          <w:rStyle w:val="FootnoteCharacters"/>
        </w:rPr>
        <w:t>.</w:t>
      </w:r>
      <w:r>
        <w:rPr>
          <w:color w:val="000000"/>
          <w:position w:val="6"/>
          <w:sz w:val="20"/>
          <w:szCs w:val="20"/>
        </w:rPr>
        <w:t>14</w:t>
      </w:r>
      <w:r>
        <w:rPr>
          <w:color w:val="000000"/>
          <w:sz w:val="20"/>
          <w:szCs w:val="20"/>
        </w:rPr>
        <w:t xml:space="preserve"> This ignores line losses and other minor complications.</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2"/>
      <w:numFmt w:val="upperRoman"/>
      <w:lvlText w:val="%1. "/>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
    <w:lvl w:ilvl="0">
      <w:start w:val="1"/>
      <w:numFmt w:val="decimal"/>
      <w:lvlText w:val="%1. "/>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
    <w:lvl w:ilvl="0">
      <w:start w:val="2"/>
      <w:numFmt w:val="decimal"/>
      <w:lvlText w:val="%1. "/>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5">
    <w:lvl w:ilvl="0">
      <w:start w:val="3"/>
      <w:numFmt w:val="decimal"/>
      <w:lvlText w:val="%1. "/>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6">
    <w:lvl w:ilvl="0">
      <w:start w:val="4"/>
      <w:numFmt w:val="decimal"/>
      <w:lvlText w:val="%1. "/>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7">
    <w:lvl w:ilvl="0">
      <w:start w:val="2"/>
      <w:numFmt w:val="upperLetter"/>
      <w:lvlText w:val="%1. "/>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8">
    <w:lvl w:ilvl="0">
      <w:start w:val="3"/>
      <w:numFmt w:val="upperLetter"/>
      <w:lvlText w:val="%1. "/>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9">
    <w:lvl w:ilvl="0">
      <w:start w:val="4"/>
      <w:numFmt w:val="upperLetter"/>
      <w:lvlText w:val="%1. "/>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0">
    <w:lvl w:ilvl="0">
      <w:start w:val="5"/>
      <w:numFmt w:val="upperLetter"/>
      <w:lvlText w:val="%1. "/>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1">
    <w:lvl w:ilvl="0">
      <w:start w:val="6"/>
      <w:numFmt w:val="upperLetter"/>
      <w:lvlText w:val="%1. "/>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2">
    <w:lvl w:ilvl="0">
      <w:start w:val="7"/>
      <w:numFmt w:val="upperLetter"/>
      <w:lvlText w:val="%1. "/>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3">
    <w:lvl w:ilvl="0">
      <w:start w:val="2"/>
      <w:numFmt w:val="upperLetter"/>
      <w:lvlText w:val="%1. "/>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eastAsia="zh-CN" w:bidi="hi-IN"/>
    </w:rPr>
  </w:style>
  <w:style w:type="paragraph" w:styleId="Heading1">
    <w:name w:val="heading 1"/>
    <w:basedOn w:val="Normal"/>
    <w:next w:val="Normal"/>
    <w:qFormat/>
    <w:pPr>
      <w:keepNext w:val="true"/>
      <w:keepLines/>
      <w:numPr>
        <w:ilvl w:val="0"/>
        <w:numId w:val="1"/>
      </w:numPr>
      <w:jc w:val="center"/>
      <w:outlineLvl w:val="0"/>
    </w:pPr>
    <w:rPr>
      <w:b/>
      <w:bCs/>
    </w:rPr>
  </w:style>
  <w:style w:type="paragraph" w:styleId="Heading2">
    <w:name w:val="heading 2"/>
    <w:basedOn w:val="Normal"/>
    <w:next w:val="Normal"/>
    <w:qFormat/>
    <w:pPr>
      <w:numPr>
        <w:ilvl w:val="1"/>
        <w:numId w:val="1"/>
      </w:numPr>
      <w:ind w:hanging="720" w:start="1440" w:end="0"/>
      <w:outlineLvl w:val="1"/>
    </w:pPr>
    <w:rPr>
      <w:b/>
      <w:bCs/>
      <w:sz w:val="24"/>
      <w:szCs w:val="24"/>
    </w:rPr>
  </w:style>
  <w:style w:type="paragraph" w:styleId="Heading3">
    <w:name w:val="heading 3"/>
    <w:basedOn w:val="Normal"/>
    <w:next w:val="Normal"/>
    <w:qFormat/>
    <w:pPr>
      <w:numPr>
        <w:ilvl w:val="2"/>
        <w:numId w:val="1"/>
      </w:numPr>
      <w:ind w:hanging="720" w:start="2160" w:end="0"/>
      <w:outlineLvl w:val="2"/>
    </w:pPr>
    <w:rPr>
      <w:b/>
      <w:bCs/>
      <w:sz w:val="24"/>
      <w:szCs w:val="24"/>
    </w:rPr>
  </w:style>
  <w:style w:type="paragraph" w:styleId="Heading4">
    <w:name w:val="heading 4"/>
    <w:basedOn w:val="Normal"/>
    <w:next w:val="Normal"/>
    <w:qFormat/>
    <w:pPr>
      <w:numPr>
        <w:ilvl w:val="3"/>
        <w:numId w:val="1"/>
      </w:numPr>
      <w:ind w:hanging="720" w:start="2880" w:end="0"/>
      <w:outlineLvl w:val="3"/>
    </w:pPr>
    <w:rPr>
      <w:b/>
      <w:bCs/>
      <w:sz w:val="24"/>
      <w:szCs w:val="24"/>
    </w:rPr>
  </w:style>
  <w:style w:type="paragraph" w:styleId="Heading5">
    <w:name w:val="heading 5"/>
    <w:basedOn w:val="Normal"/>
    <w:next w:val="Normal"/>
    <w:qFormat/>
    <w:pPr>
      <w:numPr>
        <w:ilvl w:val="4"/>
        <w:numId w:val="1"/>
      </w:numPr>
      <w:ind w:hanging="720" w:start="3600" w:end="0"/>
      <w:outlineLvl w:val="4"/>
    </w:pPr>
    <w:rPr>
      <w:b/>
      <w:bCs/>
      <w:sz w:val="24"/>
      <w:szCs w:val="24"/>
    </w:rPr>
  </w:style>
  <w:style w:type="paragraph" w:styleId="Heading6">
    <w:name w:val="heading 6"/>
    <w:basedOn w:val="Normal"/>
    <w:next w:val="Normal"/>
    <w:qFormat/>
    <w:pPr>
      <w:numPr>
        <w:ilvl w:val="5"/>
        <w:numId w:val="1"/>
      </w:numPr>
      <w:ind w:hanging="720" w:start="4320" w:end="0"/>
      <w:outlineLvl w:val="5"/>
    </w:pPr>
    <w:rPr>
      <w:b/>
      <w:bCs/>
      <w:sz w:val="24"/>
      <w:szCs w:val="24"/>
    </w:rPr>
  </w:style>
  <w:style w:type="paragraph" w:styleId="Heading7">
    <w:name w:val="heading 7"/>
    <w:basedOn w:val="Normal"/>
    <w:next w:val="Normal"/>
    <w:qFormat/>
    <w:pPr>
      <w:numPr>
        <w:ilvl w:val="6"/>
        <w:numId w:val="1"/>
      </w:numPr>
      <w:ind w:hanging="720" w:start="5040" w:end="0"/>
      <w:outlineLvl w:val="6"/>
    </w:pPr>
    <w:rPr>
      <w:b/>
      <w:bCs/>
      <w:sz w:val="24"/>
      <w:szCs w:val="24"/>
    </w:rPr>
  </w:style>
  <w:style w:type="paragraph" w:styleId="Heading8">
    <w:name w:val="heading 8"/>
    <w:basedOn w:val="Normal"/>
    <w:next w:val="Normal"/>
    <w:qFormat/>
    <w:pPr>
      <w:numPr>
        <w:ilvl w:val="7"/>
        <w:numId w:val="1"/>
      </w:numPr>
      <w:ind w:hanging="720" w:start="5760" w:end="0"/>
      <w:outlineLvl w:val="7"/>
    </w:pPr>
    <w:rPr>
      <w:b/>
      <w:bCs/>
      <w:sz w:val="24"/>
      <w:szCs w:val="24"/>
    </w:rPr>
  </w:style>
  <w:style w:type="paragraph" w:styleId="Heading9">
    <w:name w:val="heading 9"/>
    <w:basedOn w:val="Normal"/>
    <w:next w:val="Normal"/>
    <w:qFormat/>
    <w:pPr>
      <w:numPr>
        <w:ilvl w:val="8"/>
        <w:numId w:val="1"/>
      </w:numPr>
      <w:ind w:hanging="720" w:start="6480" w:end="0"/>
      <w:outlineLvl w:val="8"/>
    </w:pPr>
    <w:rPr>
      <w:b/>
      <w:bCs/>
      <w:sz w:val="24"/>
      <w:szCs w:val="24"/>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PageNumber">
    <w:name w:val="page number"/>
    <w:basedOn w:val="DefaultParagraphFont"/>
    <w:rPr/>
  </w:style>
  <w:style w:type="character" w:styleId="Bold">
    <w:name w:val="Bold"/>
    <w:basedOn w:val="DefaultParagraphFont"/>
    <w:qFormat/>
    <w:rPr>
      <w:b/>
      <w:bCs/>
    </w:rPr>
  </w:style>
  <w:style w:type="character" w:styleId="BoldUnd">
    <w:name w:val="BoldUnd"/>
    <w:basedOn w:val="DefaultParagraphFont"/>
    <w:qFormat/>
    <w:rPr>
      <w:b/>
      <w:bCs/>
      <w:u w:val="single"/>
    </w:rPr>
  </w:style>
  <w:style w:type="character" w:styleId="Underline">
    <w:name w:val="Underline"/>
    <w:basedOn w:val="DefaultParagraphFont"/>
    <w:qFormat/>
    <w:rPr>
      <w:u w:val="single"/>
    </w:rPr>
  </w:style>
  <w:style w:type="character" w:styleId="FieldMark">
    <w:name w:val="FieldMark"/>
    <w:basedOn w:val="DefaultParagraphFont"/>
    <w:qFormat/>
    <w:rPr>
      <w:b/>
      <w:bCs/>
      <w:color w:val="0000FF"/>
    </w:rPr>
  </w:style>
  <w:style w:type="character" w:styleId="OptionalParas">
    <w:name w:val="OptionalParas"/>
    <w:basedOn w:val="DefaultParagraphFont"/>
    <w:qFormat/>
    <w:rPr>
      <w:color w:val="0000FF"/>
    </w:rPr>
  </w:style>
  <w:style w:type="character" w:styleId="DocTitle">
    <w:name w:val="DocTitle"/>
    <w:basedOn w:val="DefaultParagraphFont"/>
    <w:qFormat/>
    <w:rPr>
      <w:b/>
      <w:bCs/>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240"/>
      <w:ind w:firstLine="1440" w:start="0" w:end="0"/>
    </w:pPr>
    <w:rPr>
      <w:sz w:val="24"/>
      <w:szCs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Flush">
    <w:name w:val="Normal Flush"/>
    <w:basedOn w:val="Normal"/>
    <w:qFormat/>
    <w:pPr/>
    <w:rPr/>
  </w:style>
  <w:style w:type="paragraph" w:styleId="BodyTextIndent">
    <w:name w:val="Body Text Indent"/>
    <w:basedOn w:val="Normal"/>
    <w:pPr>
      <w:spacing w:before="0" w:after="240"/>
      <w:ind w:hanging="0" w:start="1440" w:end="0"/>
    </w:pPr>
    <w:rPr>
      <w:sz w:val="24"/>
      <w:szCs w:val="24"/>
    </w:rPr>
  </w:style>
  <w:style w:type="paragraph" w:styleId="IndentRight">
    <w:name w:val="Indent Right"/>
    <w:basedOn w:val="Normal"/>
    <w:qFormat/>
    <w:pPr>
      <w:spacing w:before="0" w:after="240"/>
      <w:ind w:hanging="0" w:start="0" w:end="144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rPr/>
  </w:style>
  <w:style w:type="paragraph" w:styleId="FooterTxt">
    <w:name w:val="FooterTxt"/>
    <w:basedOn w:val="Footer"/>
    <w:qFormat/>
    <w:pPr/>
    <w:rPr>
      <w:sz w:val="14"/>
      <w:szCs w:val="14"/>
      <w:lang w:val="en-CA"/>
    </w:rPr>
  </w:style>
  <w:style w:type="paragraph" w:styleId="FootnoteText">
    <w:name w:val="footnote text"/>
    <w:basedOn w:val="Normal"/>
    <w:pPr>
      <w:tabs>
        <w:tab w:val="clear" w:pos="720"/>
        <w:tab w:val="left" w:pos="1080" w:leader="none"/>
      </w:tabs>
      <w:ind w:firstLine="720" w:start="0" w:end="0"/>
    </w:pPr>
    <w:rPr/>
  </w:style>
  <w:style w:type="paragraph" w:styleId="Header">
    <w:name w:val="header"/>
    <w:basedOn w:val="Normal"/>
    <w:pPr>
      <w:tabs>
        <w:tab w:val="clear" w:pos="720"/>
        <w:tab w:val="center" w:pos="4320" w:leader="none"/>
        <w:tab w:val="right" w:pos="8640" w:leader="none"/>
      </w:tabs>
    </w:pPr>
    <w:rPr>
      <w:sz w:val="24"/>
      <w:szCs w:val="24"/>
    </w:rPr>
  </w:style>
  <w:style w:type="paragraph" w:styleId="HeadingTitle">
    <w:name w:val="Heading Title"/>
    <w:basedOn w:val="Normal"/>
    <w:qFormat/>
    <w:pPr>
      <w:keepNext w:val="true"/>
      <w:keepLines/>
      <w:spacing w:before="0" w:after="240"/>
      <w:jc w:val="center"/>
    </w:pPr>
    <w:rPr>
      <w:u w:val="single"/>
    </w:rPr>
  </w:style>
  <w:style w:type="paragraph" w:styleId="IndentLeft">
    <w:name w:val="Indent Left"/>
    <w:basedOn w:val="Normal"/>
    <w:qFormat/>
    <w:pPr>
      <w:spacing w:before="0" w:after="240"/>
      <w:ind w:hanging="0" w:start="1440" w:end="0"/>
    </w:pPr>
    <w:rPr>
      <w:sz w:val="24"/>
      <w:szCs w:val="24"/>
    </w:rPr>
  </w:style>
  <w:style w:type="paragraph" w:styleId="NormalIndent">
    <w:name w:val="Normal Indent"/>
    <w:basedOn w:val="Normal"/>
    <w:qFormat/>
    <w:pPr>
      <w:spacing w:before="0" w:after="240"/>
      <w:ind w:firstLine="1440" w:start="0" w:end="0"/>
    </w:pPr>
    <w:rPr/>
  </w:style>
  <w:style w:type="paragraph" w:styleId="Center">
    <w:name w:val="Center"/>
    <w:basedOn w:val="Normal"/>
    <w:qFormat/>
    <w:pPr>
      <w:suppressAutoHyphens w:val="true"/>
      <w:spacing w:before="0" w:after="240"/>
      <w:jc w:val="center"/>
    </w:pPr>
    <w:rPr/>
  </w:style>
  <w:style w:type="paragraph" w:styleId="Table">
    <w:name w:val="Table"/>
    <w:basedOn w:val="Normal"/>
    <w:qFormat/>
    <w:pPr>
      <w:spacing w:before="40" w:after="40"/>
    </w:pPr>
    <w:rPr/>
  </w:style>
  <w:style w:type="paragraph" w:styleId="IndentLR">
    <w:name w:val="Indent L/R"/>
    <w:basedOn w:val="Normal"/>
    <w:qFormat/>
    <w:pPr>
      <w:spacing w:before="0" w:after="240"/>
      <w:ind w:hanging="0" w:start="1440" w:end="1440"/>
    </w:pPr>
    <w:rPr/>
  </w:style>
  <w:style w:type="paragraph" w:styleId="IndentBlock">
    <w:name w:val="Indent Block"/>
    <w:basedOn w:val="Normal"/>
    <w:qFormat/>
    <w:pPr>
      <w:spacing w:before="0" w:after="240"/>
      <w:ind w:hanging="720" w:start="2160" w:end="0"/>
    </w:pPr>
    <w:rPr/>
  </w:style>
  <w:style w:type="paragraph" w:styleId="Body">
    <w:name w:val="Body"/>
    <w:basedOn w:val="Normal"/>
    <w:qFormat/>
    <w:pPr>
      <w:spacing w:before="0" w:after="240"/>
      <w:ind w:firstLine="720" w:start="0" w:end="0"/>
    </w:pPr>
    <w:rPr/>
  </w:style>
  <w:style w:type="paragraph" w:styleId="IndentOneHalf">
    <w:name w:val="IndentOneHalf"/>
    <w:basedOn w:val="Body"/>
    <w:qFormat/>
    <w:pPr>
      <w:ind w:firstLine="720" w:start="720" w:end="0"/>
      <w:jc w:val="start"/>
    </w:pPr>
    <w:rPr/>
  </w:style>
  <w:style w:type="paragraph" w:styleId="IndentOneInch">
    <w:name w:val="IndentOneInch"/>
    <w:basedOn w:val="Body"/>
    <w:qFormat/>
    <w:pPr>
      <w:ind w:firstLine="720" w:start="1440" w:end="0"/>
      <w:jc w:val="start"/>
    </w:pPr>
    <w:rPr/>
  </w:style>
  <w:style w:type="paragraph" w:styleId="IndentTwoInches">
    <w:name w:val="IndentTwoInches"/>
    <w:basedOn w:val="Body"/>
    <w:qFormat/>
    <w:pPr>
      <w:ind w:firstLine="720" w:start="2880" w:end="0"/>
      <w:jc w:val="start"/>
    </w:pPr>
    <w:rPr/>
  </w:style>
  <w:style w:type="paragraph" w:styleId="TOC1">
    <w:name w:val="toc 1"/>
    <w:basedOn w:val="Normal"/>
    <w:next w:val="Normal"/>
    <w:pPr>
      <w:tabs>
        <w:tab w:val="left" w:pos="720" w:leader="none"/>
        <w:tab w:val="right" w:pos="9360" w:leader="dot"/>
      </w:tabs>
      <w:spacing w:before="240" w:after="0"/>
      <w:ind w:hanging="720" w:start="720" w:end="1440"/>
    </w:pPr>
    <w:rPr>
      <w:lang w:val="en-CA"/>
    </w:rPr>
  </w:style>
  <w:style w:type="paragraph" w:styleId="TOC2">
    <w:name w:val="toc 2"/>
    <w:basedOn w:val="Normal"/>
    <w:next w:val="Normal"/>
    <w:pPr>
      <w:tabs>
        <w:tab w:val="clear" w:pos="720"/>
        <w:tab w:val="left" w:pos="1440" w:leader="none"/>
        <w:tab w:val="right" w:pos="9360" w:leader="dot"/>
      </w:tabs>
      <w:spacing w:before="240" w:after="0"/>
      <w:ind w:hanging="720" w:start="1440" w:end="1440"/>
    </w:pPr>
    <w:rPr>
      <w:lang w:val="en-CA"/>
    </w:rPr>
  </w:style>
  <w:style w:type="paragraph" w:styleId="TOC3">
    <w:name w:val="toc 3"/>
    <w:basedOn w:val="Normal"/>
    <w:next w:val="Normal"/>
    <w:pPr>
      <w:tabs>
        <w:tab w:val="clear" w:pos="720"/>
        <w:tab w:val="left" w:pos="2160" w:leader="none"/>
        <w:tab w:val="right" w:pos="9360" w:leader="dot"/>
      </w:tabs>
      <w:spacing w:before="240" w:after="0"/>
      <w:ind w:hanging="720" w:start="2160" w:end="1440"/>
    </w:pPr>
    <w:rPr>
      <w:lang w:val="en-CA"/>
    </w:rPr>
  </w:style>
  <w:style w:type="paragraph" w:styleId="TOC4">
    <w:name w:val="toc 4"/>
    <w:basedOn w:val="Normal"/>
    <w:next w:val="Normal"/>
    <w:pPr>
      <w:tabs>
        <w:tab w:val="clear" w:pos="720"/>
        <w:tab w:val="left" w:pos="2880" w:leader="none"/>
        <w:tab w:val="right" w:pos="9360" w:leader="dot"/>
      </w:tabs>
      <w:spacing w:before="240" w:after="0"/>
      <w:ind w:hanging="720" w:start="2880" w:end="1440"/>
    </w:pPr>
    <w:rPr>
      <w:lang w:val="en-CA"/>
    </w:rPr>
  </w:style>
  <w:style w:type="paragraph" w:styleId="TOC5">
    <w:name w:val="toc 5"/>
    <w:basedOn w:val="Normal"/>
    <w:next w:val="Normal"/>
    <w:pPr>
      <w:tabs>
        <w:tab w:val="clear" w:pos="720"/>
        <w:tab w:val="left" w:pos="3600" w:leader="none"/>
        <w:tab w:val="right" w:pos="9360" w:leader="dot"/>
      </w:tabs>
      <w:spacing w:before="240" w:after="0"/>
      <w:ind w:hanging="720" w:start="3600" w:end="1440"/>
    </w:pPr>
    <w:rPr/>
  </w:style>
  <w:style w:type="paragraph" w:styleId="TOC6">
    <w:name w:val="toc 6"/>
    <w:basedOn w:val="Normal"/>
    <w:next w:val="Normal"/>
    <w:pPr>
      <w:tabs>
        <w:tab w:val="clear" w:pos="720"/>
        <w:tab w:val="left" w:pos="4320" w:leader="none"/>
        <w:tab w:val="right" w:pos="9360" w:leader="dot"/>
      </w:tabs>
      <w:spacing w:before="240" w:after="0"/>
      <w:ind w:hanging="720" w:start="4320" w:end="1440"/>
    </w:pPr>
    <w:rPr/>
  </w:style>
  <w:style w:type="paragraph" w:styleId="TOC7">
    <w:name w:val="toc 7"/>
    <w:basedOn w:val="Normal"/>
    <w:next w:val="Normal"/>
    <w:pPr>
      <w:tabs>
        <w:tab w:val="clear" w:pos="720"/>
        <w:tab w:val="left" w:pos="5040" w:leader="none"/>
        <w:tab w:val="right" w:pos="9360" w:leader="dot"/>
      </w:tabs>
      <w:spacing w:before="240" w:after="0"/>
      <w:ind w:hanging="720" w:start="5040" w:end="1440"/>
    </w:pPr>
    <w:rPr/>
  </w:style>
  <w:style w:type="paragraph" w:styleId="TOC8">
    <w:name w:val="toc 8"/>
    <w:basedOn w:val="Normal"/>
    <w:next w:val="Normal"/>
    <w:pPr>
      <w:tabs>
        <w:tab w:val="clear" w:pos="720"/>
        <w:tab w:val="left" w:pos="5760" w:leader="none"/>
        <w:tab w:val="right" w:pos="9360" w:leader="dot"/>
      </w:tabs>
      <w:spacing w:before="240" w:after="0"/>
      <w:ind w:hanging="720" w:start="5760" w:end="1440"/>
    </w:pPr>
    <w:rPr/>
  </w:style>
  <w:style w:type="paragraph" w:styleId="TOC9">
    <w:name w:val="toc 9"/>
    <w:basedOn w:val="Normal"/>
    <w:next w:val="Normal"/>
    <w:pPr>
      <w:tabs>
        <w:tab w:val="clear" w:pos="720"/>
        <w:tab w:val="left" w:pos="6480" w:leader="none"/>
        <w:tab w:val="right" w:pos="9360" w:leader="dot"/>
      </w:tabs>
      <w:spacing w:before="240" w:after="0"/>
      <w:ind w:hanging="720" w:start="6480" w:end="1440"/>
    </w:pPr>
    <w:rPr/>
  </w:style>
  <w:style w:type="paragraph" w:styleId="BodyFlush">
    <w:name w:val="BodyFlush"/>
    <w:basedOn w:val="Normal"/>
    <w:qFormat/>
    <w:pPr>
      <w:spacing w:before="0" w:after="240"/>
    </w:pPr>
    <w:rPr/>
  </w:style>
  <w:style w:type="paragraph" w:styleId="BodyText2">
    <w:name w:val="Body Text 2"/>
    <w:basedOn w:val="Normal"/>
    <w:qFormat/>
    <w:pPr>
      <w:ind w:firstLine="720" w:start="0" w:end="0"/>
      <w:jc w:val="both"/>
    </w:pPr>
    <w:rPr/>
  </w:style>
  <w:style w:type="paragraph" w:styleId="Body1">
    <w:name w:val="Body1"/>
    <w:basedOn w:val="Normal"/>
    <w:qFormat/>
    <w:pPr>
      <w:spacing w:before="0" w:after="240"/>
      <w:ind w:firstLine="1440" w:start="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Standard.dot</Template>
  <TotalTime>118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2001-03-19T19:49:00Z</dcterms:created>
  <dc:creator>Arter &amp; Hadden</dc:creator>
  <dc:description/>
  <dc:language>en-CA</dc:language>
  <cp:lastModifiedBy>Arter &amp; Hadden</cp:lastModifiedBy>
  <dcterms:modified xsi:type="dcterms:W3CDTF">2001-03-19T23:27:00Z</dcterms:modified>
  <cp:revision>20</cp:revision>
  <dc:subject/>
  <dc:title>Draft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vt:lpwstr> </vt:lpwstr>
  </property>
  <property fmtid="{D5CDD505-2E9C-101B-9397-08002B2CF9AE}" pid="3" name="DocNumber">
    <vt:lpwstr>1</vt:lpwstr>
  </property>
  <property fmtid="{D5CDD505-2E9C-101B-9397-08002B2CF9AE}" pid="4" name="DocVersion">
    <vt:lpwstr>1</vt:lpwstr>
  </property>
  <property fmtid="{D5CDD505-2E9C-101B-9397-08002B2CF9AE}" pid="5" name="Matter">
    <vt:lpwstr> </vt:lpwstr>
  </property>
</Properties>
</file>