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r>
    </w:p>
    <w:p>
      <w:pPr>
        <w:pStyle w:val="Normal"/>
        <w:jc w:val="center"/>
        <w:rPr>
          <w:b/>
          <w:u w:val="single"/>
        </w:rPr>
      </w:pPr>
      <w:r>
        <w:rPr>
          <w:b/>
          <w:u w:val="single"/>
        </w:rPr>
        <w:t>A “BILL OF RIGHTS” FOR NEW GENERATION INTERCONNECTION</w:t>
      </w:r>
    </w:p>
    <w:p>
      <w:pPr>
        <w:pStyle w:val="Normal"/>
        <w:rPr>
          <w:b/>
          <w:u w:val="single"/>
        </w:rPr>
      </w:pPr>
      <w:r>
        <w:rPr>
          <w:b/>
          <w:u w:val="single"/>
        </w:rPr>
      </w:r>
    </w:p>
    <w:p>
      <w:pPr>
        <w:pStyle w:val="Normal"/>
        <w:rPr/>
      </w:pPr>
      <w:r>
        <w:rPr/>
      </w:r>
    </w:p>
    <w:p>
      <w:pPr>
        <w:pStyle w:val="Heading1"/>
        <w:ind w:hanging="0" w:start="0"/>
        <w:rPr/>
      </w:pPr>
      <w:r>
        <w:rPr>
          <w:b/>
        </w:rPr>
        <w:t>SUMMARY</w:t>
      </w:r>
    </w:p>
    <w:p>
      <w:pPr>
        <w:pStyle w:val="BodyTextStyle"/>
        <w:rPr/>
      </w:pPr>
      <w:r>
        <w:rPr/>
        <w:t>Over 154,000 MW of merchant generating capacity is planned for development over the next several years.  The Electric Power Supply Association (“EPSA”) believes that this merchant capacity, in conjunction with the Federal Energy Regulatory Commission’s (“FERC” or “Commission”) open access transmission policies will be the bulwark of future competitive electric power markets.  New and expanded generation projects enhance competition, promote diversity in products and services offered to the market, mitigate market power of incumbent utilities, and contribute to overall market liquidity.  If this merchant generation is to be built, however, it must be expeditiously and predictably interconnected to the grid.</w:t>
      </w:r>
    </w:p>
    <w:p>
      <w:pPr>
        <w:pStyle w:val="BodyTextStyle"/>
        <w:rPr/>
      </w:pPr>
      <w:r>
        <w:rPr/>
        <w:t>Presently, however, certain transmission owners, including those operating within existing independent system operator (“ISO”) structures, have impeded the interconnection process and, thereby, new generation construction, by imposing cumbersome and oftentimes largely secretive review processes, unreasonable queuing procedures, delays in the negotiation of pertinent agreements, and other burdensome interconnection requirements, including, for example, tying interconnection to transmission service, insisting upon unnecessary system upgrades, or requiring excessive security deposits.  In EPSA’s view, the full benefits of competition cannot be assured, and likely will not occur, unless the interconnection process is reformed.  Put simply, developers planning to build new generating facilities require:  (1) more clearly defined sets of rules and procedures to govern their requests for new interconnection; and (2) a knowledgeable, independent entity to timely respond to interconnection requests, to timely execute study agreements and to timely execute interconnection agreements.</w:t>
      </w:r>
    </w:p>
    <w:p>
      <w:pPr>
        <w:pStyle w:val="BodyTextStyle"/>
        <w:rPr/>
      </w:pPr>
      <w:r>
        <w:rPr/>
        <w:t>Although Order No. 888 established the ground rules and minimum requirements for transmission service, it failed to provide any specific guidance with respect to the interconnection of new generation in instances where the new generator is not also requesting transmission service.  More recently, the Commission has clarified the authority of regional transmission organizations (“RTOs”) to review and approve new interconnection requests, and stated that an interconnection obligation is an element of transmission service whether the interconnection request is tendered concurrently with a request for transmission service or in advance of a request for a specific transmission service.</w:t>
      </w:r>
      <w:r>
        <w:rPr>
          <w:rStyle w:val="FootnoteCharacters"/>
          <w:rStyle w:val="FootnoteReference"/>
          <w:sz w:val="20"/>
        </w:rPr>
        <w:footnoteReference w:id="2"/>
      </w:r>
      <w:r>
        <w:rPr>
          <w:sz w:val="20"/>
        </w:rPr>
        <w:t xml:space="preserve"> </w:t>
      </w:r>
      <w:r>
        <w:rPr/>
        <w:t xml:space="preserve"> But the Commission has not, however, comprehensively addressed the specific rights of new interconnecting generators, including the rights of generators that may never request transmission service.  EPSA intends for this “Bill of Rights” for new generation interconnection to fill the gap in Commission policy regarding the provision of interconnection and transmission services.</w:t>
      </w:r>
    </w:p>
    <w:p>
      <w:pPr>
        <w:pStyle w:val="BodyTextStyle"/>
        <w:rPr/>
      </w:pPr>
      <w:r>
        <w:rPr/>
        <w:t>Specifically, a new generating project planning to interconnect to the interstate transmission grid should have the right to:</w:t>
      </w:r>
    </w:p>
    <w:p>
      <w:pPr>
        <w:pStyle w:val="Bullet-Large"/>
        <w:numPr>
          <w:ilvl w:val="0"/>
          <w:numId w:val="2"/>
        </w:numPr>
        <w:rPr/>
      </w:pPr>
      <w:r>
        <w:rPr/>
        <w:t>secure a long-term right to inject power into the grid at the point of interconnection without having to procure any transmission service;</w:t>
      </w:r>
    </w:p>
    <w:p>
      <w:pPr>
        <w:pStyle w:val="Bullet-Large"/>
        <w:numPr>
          <w:ilvl w:val="0"/>
          <w:numId w:val="2"/>
        </w:numPr>
        <w:rPr/>
      </w:pPr>
      <w:r>
        <w:rPr/>
        <w:t>request interconnection service pursuant to a FERC-approved nondiscriminatory interconnection service tariff or other clearly defined rules and procedures governing requests for new transmission interconnections;</w:t>
      </w:r>
    </w:p>
    <w:p>
      <w:pPr>
        <w:pStyle w:val="Bullet-Large"/>
        <w:numPr>
          <w:ilvl w:val="0"/>
          <w:numId w:val="2"/>
        </w:numPr>
        <w:rPr/>
      </w:pPr>
      <w:r>
        <w:rPr/>
        <w:t>have all interconnection studies and analyses performed by an ISO/RTO or other qualified independent contractor (operating under the direction and control of the ISO/RTO, once established)</w:t>
      </w:r>
    </w:p>
    <w:p>
      <w:pPr>
        <w:pStyle w:val="Bullet-Large"/>
        <w:numPr>
          <w:ilvl w:val="0"/>
          <w:numId w:val="2"/>
        </w:numPr>
        <w:rPr/>
      </w:pPr>
      <w:r>
        <w:rPr/>
        <w:t>participate in the interconnection study process and to have the new interconnection completed in an expeditious manner;</w:t>
      </w:r>
    </w:p>
    <w:p>
      <w:pPr>
        <w:pStyle w:val="Bullet-Large"/>
        <w:numPr>
          <w:ilvl w:val="0"/>
          <w:numId w:val="2"/>
        </w:numPr>
        <w:rPr/>
      </w:pPr>
      <w:r>
        <w:rPr/>
        <w:t>execute a FERC-approved interconnection agreement that comprehensively delineates exactly what is necessary in order for the project safely and reliably to interconnect to the grid;</w:t>
      </w:r>
    </w:p>
    <w:p>
      <w:pPr>
        <w:pStyle w:val="Bullet-Large"/>
        <w:numPr>
          <w:ilvl w:val="0"/>
          <w:numId w:val="2"/>
        </w:numPr>
        <w:rPr/>
      </w:pPr>
      <w:r>
        <w:rPr/>
        <w:t xml:space="preserve">receive a binding commitment as to all interconnection costs and to own, at least certain of the new interconnection facilities; </w:t>
      </w:r>
    </w:p>
    <w:p>
      <w:pPr>
        <w:pStyle w:val="Bullet-Large"/>
        <w:numPr>
          <w:ilvl w:val="0"/>
          <w:numId w:val="2"/>
        </w:numPr>
        <w:rPr/>
      </w:pPr>
      <w:r>
        <w:rPr/>
        <w:t>receive a binding commitment as to the construction schedule, with rights to liquidated damages if the interconnection service provider fails to perform on schedule; and</w:t>
      </w:r>
    </w:p>
    <w:p>
      <w:pPr>
        <w:pStyle w:val="Bullet-Large"/>
        <w:numPr>
          <w:ilvl w:val="0"/>
          <w:numId w:val="2"/>
        </w:numPr>
        <w:rPr/>
      </w:pPr>
      <w:r>
        <w:rPr/>
        <w:t>at its option, ensure the deliverability of its generation when it requests interconnection service.</w:t>
      </w:r>
    </w:p>
    <w:p>
      <w:pPr>
        <w:pStyle w:val="Heading1"/>
        <w:ind w:hanging="0" w:start="0"/>
        <w:rPr/>
      </w:pPr>
      <w:r>
        <w:rPr>
          <w:b/>
        </w:rPr>
        <w:t>INTERCONNECTION SERVICE REQUIREMENTS</w:t>
      </w:r>
    </w:p>
    <w:p>
      <w:pPr>
        <w:pStyle w:val="Heading2"/>
        <w:ind w:hanging="0" w:start="0"/>
        <w:rPr/>
      </w:pPr>
      <w:r>
        <w:rPr/>
        <w:t>A New Interconnecting Generator Should Have The Right To Secure A Long-Term Right To Inject Power Into The Grid At Its Point Of Interconnection Without Having To Procure Any Transmission Service.</w:t>
      </w:r>
    </w:p>
    <w:p>
      <w:pPr>
        <w:pStyle w:val="BodyTextStyle"/>
        <w:rPr/>
      </w:pPr>
      <w:r>
        <w:rPr/>
        <w:t xml:space="preserve">A new generator should not have to procure transmission service in order to interconnect its project to the grid.  Even though generators frequently are not the transmission customers -- particularly where a power marketer purchases a generating facility’s entire output -- they nonetheless have been required in many instances to procure transmission service or pay for system upgrades not associated with the interconnection in order to obtain interconnection service or as a condition to initiating the interconnection process.  Since developers of merchant power are often unable to identify specific points of delivery, however, and because many providers refuse to offer network transmission service to merchant generators, they often are unable to submit to the transmission providers the information necessary for such providers to process requests for new interconnection and transmission service.  Moreover, transmission providers are often reluctant to waive or otherwise modify the requirements set forth in their open access tariffs to accommodate the unique circumstances presented by merchant generators.  Furthermore, because few, if any, utilities have filed separate interconnection service tariffs or other procedures governing new transmission interconnection, generators have been forced to engage in prolonged and costly case-by-case negotiations with each transmission provider and other entities potentially affected by the ultimate delivery of the proposed new generator’s electrical output. </w:t>
      </w:r>
    </w:p>
    <w:p>
      <w:pPr>
        <w:pStyle w:val="BodyTextStyle"/>
        <w:rPr/>
      </w:pPr>
      <w:r>
        <w:rPr/>
        <w:t>Further clarification of Commission interconnection policy is needed.  New generators should not be required to commit to a particular level or type of transmission service in order to physically interconnect to the grid.  Rather, interconnection service should be separate and distinct from transmission service, and existing ISOs, future RTOs, and other interconnection service providers</w:t>
      </w:r>
      <w:r>
        <w:rPr>
          <w:rStyle w:val="FootnoteCharacters"/>
          <w:rStyle w:val="FootnoteReference"/>
          <w:sz w:val="20"/>
        </w:rPr>
        <w:footnoteReference w:id="3"/>
      </w:r>
      <w:r>
        <w:rPr>
          <w:sz w:val="20"/>
        </w:rPr>
        <w:t xml:space="preserve"> </w:t>
      </w:r>
      <w:r>
        <w:rPr/>
        <w:t xml:space="preserve">should be required to process requests for interconnection independent of requests for transmission service.  Transmission is an issue that, at the new interconnecting generator’s option, can be dealt with separately from interconnection.  </w:t>
      </w:r>
    </w:p>
    <w:p>
      <w:pPr>
        <w:pStyle w:val="Heading2"/>
        <w:ind w:hanging="0" w:start="0"/>
        <w:rPr/>
      </w:pPr>
      <w:r>
        <w:rPr/>
        <w:t>A New Interconnecting Generator Should Have The Right To Request Interconnection Service Pursuant To A FERC-Approved Nondiscriminatory Interconnection Service Tariff Or Other Clearly Defined Rules And Procedures Governing Requests For New Transmission Interconnections.</w:t>
      </w:r>
    </w:p>
    <w:p>
      <w:pPr>
        <w:pStyle w:val="BodyTextStyle"/>
        <w:rPr/>
      </w:pPr>
      <w:r>
        <w:rPr/>
        <w:t xml:space="preserve">Generators should not have to guess as to how to request interconnection service or otherwise be required to negotiate separately for new interconnection on a case-by-case basis.  Rather, developers planning to interconnect their generation projects to the grid should be able to identify the procedures for requesting, and to request, interconnection service as readily as eligible transmission customers are able to identify the procedures for requesting, and to request, transmission service under an open access transmission tariff.  Thus, interconnection service providers (optimally, RTOs) should be required to promulgate and file with FERC, in the form of a stand-alone interconnection service tariff or amendments to existing open access transmission tariffs, rules and procedures for requesting new generation interconnection.  Such rules and procedures should clearly set forth the requirements and processes for obtaining interconnection and for executing an interconnection agreement setting forth the rates, terms and conditions for interconnection service. </w:t>
      </w:r>
    </w:p>
    <w:p>
      <w:pPr>
        <w:pStyle w:val="BodyTextStyle"/>
        <w:rPr/>
      </w:pPr>
      <w:r>
        <w:rPr/>
        <w:t xml:space="preserve">There should be clear lines of authority in the tariff for controlling the entire interconnection process, including procedures clearly delineating the standards for performing interconnection studies, who will perform interconnection studies, the time-frame for initiating and completing such studies and executing study and interconnection agreements, and standards for allocating all interconnection-related costs consistent with Commission policies.  </w:t>
      </w:r>
    </w:p>
    <w:p>
      <w:pPr>
        <w:pStyle w:val="BodyTextStyle"/>
        <w:rPr/>
      </w:pPr>
      <w:r>
        <w:rPr/>
        <w:t>In order to facilitate the interconnection service provider’s fair and timely evaluation of new interconnection requests, the Commission should require that interconnection service providers proceed via a FERC-approved  mandatory interconnection policy that establishes, among other things, definitive timelines for all interconnection service provider actions and requires the prospective customer and interconnection service provider to negotiate off of a FERC-approved standardized interconnection agreement.  In addition, interconnection service providers should be encouraged, possibly by FERC issuing a model agreement, to adopt standardized interconnection tariffs that are nationally consistent to the extent practicable.  Absent a demonstrated basis for doing so, it makes little sense for one provider to impose one set of deadlines and requirements for that provider or region and for a different provider to impose a completely different set in a different region.  Indeed, standardization of interconnection rules would help to ensure that new generation is installed at the most efficient locations.  Otherwise, generation siting decisions will be skewed towards the regions with the rules that are most conducive to development, even if congestion is created elsewhere or optimal siting is in another jurisdiction.</w:t>
      </w:r>
    </w:p>
    <w:p>
      <w:pPr>
        <w:pStyle w:val="Heading2"/>
        <w:ind w:hanging="0" w:start="0"/>
        <w:rPr/>
      </w:pPr>
      <w:r>
        <w:rPr/>
        <w:t>A New Interconnecting Generator Should Have The Right To Have All Interconnection Studies And Analyses Performed By An ISO/RTO Or Other Qualified Independent Contractor (Operating Under The Direction And Control Of The ISO/RTO, Once Established).</w:t>
      </w:r>
    </w:p>
    <w:p>
      <w:pPr>
        <w:pStyle w:val="BodyTextStyle"/>
        <w:rPr/>
      </w:pPr>
      <w:r>
        <w:rPr/>
        <w:t xml:space="preserve">For those regions with FERC-approved ISOs/RTOs, the Commission should clearly establish the ISO/RTO as the “lead agency” for new interconnections, with individual transmission owners’ roles limited to acting at the behest of the RTO.  In other words, the RTO should assume a prominent role in coordinating such analyses and should actively supervise the entire study process, and not simply defer to actions taken or assumptions applied by the transmission owners.  Transmission-owning utilities -- which often are either direct competitors of prospective new generators seeking interconnection service or have disparate interests with respect to transmission improvements -- should have no opportunity to unduly influence the preparation of system impact and facilities studies which determine the availability and ultimate cost of new interconnection.  The fact is that </w:t>
      </w:r>
      <w:r>
        <w:rPr>
          <w:u w:val="single"/>
        </w:rPr>
        <w:t>all</w:t>
      </w:r>
      <w:r>
        <w:rPr/>
        <w:t xml:space="preserve"> transmission providers, whether unbundled or not, always will have an incentive to prefer “transmission” to “generation” solutions to supply and reliability constraints, and to build more transmission than may actually be necessary for a given interconnection request.  In light of these incentives, all transmission providers have, to a greater or lessor extent, the incentive to discriminate against, and to delay, generators seeking interconnection through manipulation of system impact studies and other analyses, to fail to negotiate in good faith, and to otherwise stonewall the generator during contract negotiations.  </w:t>
      </w:r>
    </w:p>
    <w:p>
      <w:pPr>
        <w:pStyle w:val="BodyTextStyle"/>
        <w:rPr/>
      </w:pPr>
      <w:r>
        <w:rPr/>
        <w:t>In short, entities that may be economically advantaged by delaying new interconnections, that may be inclined to favor transmission solutions over generation solutions, and that stand to gain from having transmission upgrades paid for by generators should not be charged with determining the nature and scope of a new generator’s interconnection.  For this reason, the Commission should clarify that the RTO itself must be capable of performing whatever interconnection studies and analyses are required in connection with requests for new generator interconnections.</w:t>
      </w:r>
    </w:p>
    <w:p>
      <w:pPr>
        <w:pStyle w:val="BodyTextStyle"/>
        <w:rPr/>
      </w:pPr>
      <w:r>
        <w:rPr/>
        <w:t xml:space="preserve">Finally, generators always should have the option, particularly in regions not subject to an ISO/RTO’s control, of performing interconnection studies themselves or having such studies performed by a qualified independent contractor with the results of such studies to be reviewed and accepted by the interconnection service provider.  Conversely, though, generators should be entitled to have the results of interconnection studies that are prepared by interconnection service providers independently reviewed and audited.  </w:t>
      </w:r>
    </w:p>
    <w:p>
      <w:pPr>
        <w:pStyle w:val="BodyTextStyle"/>
        <w:rPr/>
      </w:pPr>
      <w:r>
        <w:rPr/>
        <w:t>The bottom line, though, is that regardless of who actually performs the interconnection studies, generators must have the right to participate fully in the interconnection study process, and the right to question the need for certain interconnection facilities, the suppositions behind the need for any system upgrades and the proposed cost of any such interconnection facilities and system upgrades.  The interconnection service provider’s tariff should set forth clear, definitive and nondiscriminatory procedures under which all such studies will be prepared and evaluated.</w:t>
      </w:r>
    </w:p>
    <w:p>
      <w:pPr>
        <w:pStyle w:val="Heading2"/>
        <w:ind w:hanging="0" w:start="0"/>
        <w:rPr/>
      </w:pPr>
      <w:r>
        <w:rPr/>
        <w:t>A New Interconnecting Generator Should Have The Right To Participate In The Interconnection Study Process And To Have The New Interconnection Completed In An Expeditious Manner.</w:t>
      </w:r>
    </w:p>
    <w:p>
      <w:pPr>
        <w:pStyle w:val="BodyTextStyle"/>
        <w:rPr/>
      </w:pPr>
      <w:r>
        <w:rPr/>
        <w:t>In order to obtain project financing and to proceed with project development, prospective generators need certainty with respect to their interconnections, and they need that certainty within a reasonable time frame.  To this end, generators that, at the outset, propose to market their capacity and energy on a non-firm basis, or only when firm transmission capacity is otherwise available on an unconstrained basis, should be able to interconnect promptly without the need for lengthy studies regarding the possible system impacts associated with the deliverability of their project’s electrical output.  The generators (or their customers) in such cases would assume the risks associated with the transmission from the generator’s facility.  The transmission provider, in the case of such interconnecting generators, already has adequate protection built into its open access transmission tariff.</w:t>
      </w:r>
      <w:r>
        <w:rPr>
          <w:rStyle w:val="FootnoteCharacters"/>
          <w:rStyle w:val="FootnoteReference"/>
          <w:sz w:val="20"/>
        </w:rPr>
        <w:footnoteReference w:id="4"/>
      </w:r>
    </w:p>
    <w:p>
      <w:pPr>
        <w:pStyle w:val="BodyTextStyle"/>
        <w:rPr/>
      </w:pPr>
      <w:r>
        <w:rPr/>
        <w:t>Accordingly, EPSA recommends that all studies analyzing the system impacts associated with a proposed new interconnection, and all agreements necessary to provide for such studies, as well as the final interconnection agreement providing for whatever construction and payments are associated with completing the physical interconnection, be completed within a reasonable time frame commensurate with the scope of the interconnection service request.  Specifically, for safe and reliable “minimum” interconnections, the work generally should be completed within four months</w:t>
      </w:r>
      <w:r>
        <w:rPr>
          <w:rStyle w:val="FootnoteCharacters"/>
          <w:rStyle w:val="FootnoteReference"/>
          <w:sz w:val="20"/>
        </w:rPr>
        <w:footnoteReference w:id="5"/>
      </w:r>
      <w:r>
        <w:rPr>
          <w:sz w:val="20"/>
        </w:rPr>
        <w:t xml:space="preserve"> </w:t>
      </w:r>
      <w:r>
        <w:rPr/>
        <w:t>from the date the generator requests interconnection service, absent mutual agreement or a FERC-authorized deferral on account of extenuating circumstances.  In any event, if, for good reason, the work cannot be completed within that time frame, the interconnection service provider should be obligated to inform the generator in writing as soon as possible why the work cannot be completed on schedule and how much longer it will take to complete.</w:t>
      </w:r>
    </w:p>
    <w:p>
      <w:pPr>
        <w:pStyle w:val="BodyTextStyle"/>
        <w:rPr/>
      </w:pPr>
      <w:r>
        <w:rPr/>
        <w:t>Requests for interconnection in which the generator has requested particular “deliverability” or “operating” studies (in order to determine how much of its product actually can be provided to a customer) may require more time, but generally should be completed within approximately nine months from the date the generator requests interconnection service, absent mutual agreement or a FERC-authorized deferral on account of extenuating circumstances.  For example, if, in its interconnection service request, the generator requested an analysis of the system upgrades necessary to assure that the generator could meet a given deliverability standard (or an analysis of whatever operating limitations could be accepted in lieu of constructing one or more of the stated upgrades),</w:t>
      </w:r>
      <w:r>
        <w:rPr>
          <w:rStyle w:val="FootnoteCharacters"/>
          <w:rStyle w:val="FootnoteReference"/>
          <w:sz w:val="20"/>
        </w:rPr>
        <w:footnoteReference w:id="6"/>
      </w:r>
      <w:r>
        <w:rPr/>
        <w:t xml:space="preserve"> such request may take longer than four months to complete, and the generator should be told with some degree of certainty when to expect the results.</w:t>
      </w:r>
    </w:p>
    <w:p>
      <w:pPr>
        <w:pStyle w:val="BodyTextStyle"/>
        <w:rPr/>
      </w:pPr>
      <w:r>
        <w:rPr/>
        <w:t xml:space="preserve">In any event, the generator should have the option of beginning to negotiate its interconnection agreement prior to the completion of the interconnection study process.  There is no reason why the negotiation of the interconnection agreement cannot proceed in parallel with the interconnection study work. </w:t>
      </w:r>
    </w:p>
    <w:p>
      <w:pPr>
        <w:pStyle w:val="BodyTextStyle"/>
        <w:rPr/>
      </w:pPr>
      <w:r>
        <w:rPr/>
        <w:t xml:space="preserve">Moreover, since multiple projects in many regions are vying for priority rights to interconnect at a certain site, the process for evaluating interconnection requests and for processing those requests must be applied in a consistent, predictable and non-discriminatory manner.  Prioritization of new generation projects must ensure fair and non-discriminatory treatment of all proposed projects.  While EPSA recognizes that individual needs for confidentiality must be protected, it also believes that both the interconnection procedures and the interconnection study requests should be sufficiently transparent and publicly available so as to ensure comparable treatment of all proposed projects.  </w:t>
      </w:r>
    </w:p>
    <w:p>
      <w:pPr>
        <w:pStyle w:val="BodyTextStyle"/>
        <w:rPr/>
      </w:pPr>
      <w:r>
        <w:rPr/>
        <w:t xml:space="preserve">Finally, reasonable non-discriminatory means must be used to assure that only viable projects are allowed to proceed to execute an interconnection agreement and to have facilities studies performed on their behalf.  Moreover, if one project is prepared to begin construction, but another project </w:t>
      </w:r>
      <w:r>
        <w:rPr>
          <w:u w:val="single"/>
        </w:rPr>
        <w:t>earlier</w:t>
      </w:r>
      <w:r>
        <w:rPr/>
        <w:t xml:space="preserve"> in the queue is not, the project “earlier” in the queue should be required to decide if it wants to move forward.  Examples of such means may include requiring generators to show a serious commitment to interconnection at designated times in the process by, for example, demonstrating site control.  On the other hand, the use of threshold criteria or milestones should not unduly burden generators by, for example, requiring that they obtain all necessary environmental permits prior to completing the interconnection process.  The Commission should evaluate the reasonableness of specifically proposed milestones on a case-by-case basis in connection with each RTO and/or interconnection service provider tariff filing.</w:t>
      </w:r>
    </w:p>
    <w:p>
      <w:pPr>
        <w:pStyle w:val="Heading2"/>
        <w:ind w:hanging="0" w:start="0"/>
        <w:rPr/>
      </w:pPr>
      <w:r>
        <w:rPr/>
        <w:t>A Generator Should Have The Right To Execute A FERC-Approved Interconnection Agreement That Comprehensively Delineates Exactly What Is Necessary In Order For The Project Safely And Reliably To Interconnect To The Grid.</w:t>
      </w:r>
    </w:p>
    <w:p>
      <w:pPr>
        <w:pStyle w:val="BodyTextStyle"/>
        <w:rPr/>
      </w:pPr>
      <w:r>
        <w:rPr/>
        <w:t>Interconnection agreements must balance the interests of both generators and interconnection service providers.  For this reason, EPSA proposes that the Commission require interconnection service providers file at FERC their standard interconnection procedures and interconnection agreements which conform to the requirements discussed above.  The Commission also should consider adopting a model interconnection agreement, perhaps in a policy statement, as a form of agreement that likely will be acceptable absent special circumstances.  A model interconnection agreement would be of significant value to the electric power industry and would hasten the development of new generation and streamline the entire interconnection process.  Unique project conditions could be addressed through separately negotiated provisions or special amendments, while the majority of the interconnection issues (</w:t>
      </w:r>
      <w:r>
        <w:rPr>
          <w:i/>
        </w:rPr>
        <w:t>e.g.</w:t>
      </w:r>
      <w:r>
        <w:rPr/>
        <w:t xml:space="preserve">, provisions dealing with facility maintenance, taxes, billing procedures, dispute resolution, insurance, etc.) should be handled in a streamlined and consistent manner.  </w:t>
      </w:r>
    </w:p>
    <w:p>
      <w:pPr>
        <w:pStyle w:val="BodyTextStyle"/>
        <w:rPr/>
      </w:pPr>
      <w:r>
        <w:rPr/>
        <w:t>For regions with FERC-approved ISOs/RTOs, new generators should be required to execute only one interconnection agreement with the regional interconnection service provider, and should not be required to execute separate interconnection agreements with the RTO and individual transmission owners, as is oftentimes the case today.  Nor should generators be “whipsawed” between RTOs and individual transmission owners, with each waiting for the other to take certain actions or complete certain studies.  As discussed above, there must be clear lines of authority and responsibility for each stage of the interconnection process (</w:t>
      </w:r>
      <w:r>
        <w:rPr>
          <w:i/>
        </w:rPr>
        <w:t>i.e.</w:t>
      </w:r>
      <w:r>
        <w:rPr/>
        <w:t>, requesting interconnection service, analyzing and studying the proposed interconnection, preparing, executing and filing an interconnection agreement, constructing the interconnection facilities and any related system upgrades, and continuing to provide interconnection services).</w:t>
      </w:r>
    </w:p>
    <w:p>
      <w:pPr>
        <w:pStyle w:val="Heading2"/>
        <w:ind w:hanging="0" w:start="0"/>
        <w:rPr/>
      </w:pPr>
      <w:r>
        <w:rPr/>
        <w:t>A New Interconnecting Generator Should Have The Right To Receive A  Binding Commitment As To All Interconnection Costs And The Right To Own, At Least Certain Of The New Interconnection Facilities.</w:t>
      </w:r>
    </w:p>
    <w:p>
      <w:pPr>
        <w:pStyle w:val="BodyTextStyle"/>
        <w:rPr/>
      </w:pPr>
      <w:r>
        <w:rPr/>
        <w:t xml:space="preserve">Overall interconnection cost exposure is often a significant issue confronting generators, especially those seeking financing.  Accordingly, an interconnection agreement should clearly delineate what interconnection facilities and upgrades are required to accommodate a new interconnection and the costs for which the generator is directly responsible.  Moreover, a generator that incurs significant costs in constructing new interconnection facilities should be afforded the opportunity to own at least certain of those facilities that are not part and parcel with the interconnection service provider’s transmission and distribution system.  New interconnecting generators that elect not to construct the interconnection facilities should have the option to receive a binding commitment, in the form of a fixed price interconnection agreement, as to all interconnection costs for which they will be responsible, that assures the generator that its interconnection will be completed on schedule and on budget. </w:t>
      </w:r>
    </w:p>
    <w:p>
      <w:pPr>
        <w:pStyle w:val="BodyTextStyle"/>
        <w:rPr/>
      </w:pPr>
      <w:r>
        <w:rPr/>
        <w:t>Otherwise, a generator should be entitled to receive a good faith estimate as to the costs of the interconnection facilities and system upgrades, if any, and should have a right (1) to be informed in advance of the amount and reason for any increase in the estimated costs as soon as practicable after the interconnection service provider becomes aware of such cost increase and (2) to approve any significant increases in cost.</w:t>
      </w:r>
      <w:r>
        <w:rPr>
          <w:rStyle w:val="FootnoteCharacters"/>
          <w:rStyle w:val="FootnoteReference"/>
          <w:sz w:val="20"/>
        </w:rPr>
        <w:footnoteReference w:id="7"/>
      </w:r>
      <w:r>
        <w:rPr>
          <w:sz w:val="20"/>
        </w:rPr>
        <w:t xml:space="preserve"> </w:t>
      </w:r>
      <w:r>
        <w:rPr/>
        <w:t xml:space="preserve"> If the generator does not agree to pay such a cost increase, it should be entitled to a refund of any sums paid to the interconnection service provider not already expended or irrevocably committed by the interconnection service provider prior to the generator’s refusal to authorize the cost increase and to have ownership of equipment, materials and supplies purchased or committed to be purchased by the transmission provider for which the generator has paid transferred to it.  Under no circumstances, however, should the generator be responsible for any costs incurred or irrevocably committed by the interconnection service provider at any time in connection with work that exceeds the scope of work reflected in the interconnection service provider’s good faith estimate without the generator’s express consent.  Furthermore, to the extent that the interconnection facilities are redesigned in order to accommodate other customers of the interconnection service provider, any increased costs should not be allocated to the original generator, but to those customers that caused the need to redesign the facilities.</w:t>
      </w:r>
    </w:p>
    <w:p>
      <w:pPr>
        <w:pStyle w:val="Heading2"/>
        <w:ind w:hanging="0" w:start="0"/>
        <w:rPr/>
      </w:pPr>
      <w:r>
        <w:rPr/>
        <w:t>A New Interconnecting Generator Should Have The Right To Receive A Binding Commitment As To The Construction Schedule, With Rights To Liquidated Damages If The Interconnection Service Provider Fails To Perform On Schedule.</w:t>
      </w:r>
    </w:p>
    <w:p>
      <w:pPr>
        <w:pStyle w:val="BodyTextStyle"/>
        <w:rPr/>
      </w:pPr>
      <w:r>
        <w:rPr/>
        <w:t>To control the costs identified above, the generator should have the option to construct, or be responsible for the construction of, the interconnection facilities identified by the interconnection studies.  In doing so, the generator should be held to the same standards which the interconnection service provider would apply to itself were it directly responsible for the construction of the new interconnection and/or were it interconnecting its own or its affiliates’ generating units.  A new interconnecting generator should be able to obtain a binding commitment from the interconnection service provider that it will build, or allow the generator to build, the necessary direct assignment facilities and any necessary system enhancements (or network upgrades) on a timely basis pursuant to procedures and standards set forth in an interconnection agreement.  If the interconnection service provider assumes the responsibility for building such facilities, it must be held accountable for failure to adhere to the agreed-upon schedule.  Obviously, the reason for such failure should be taken into account in formulating an appropriate remedy.  Any model interconnection agreement should clearly address the reasonably anticipated scenarios.</w:t>
      </w:r>
    </w:p>
    <w:p>
      <w:pPr>
        <w:pStyle w:val="BodyTextStyle"/>
        <w:rPr/>
      </w:pPr>
      <w:r>
        <w:rPr/>
        <w:t>For example, failure to perform due to a valid force majeure event should excuse failure to timely construct the facilities altogether.  An interconnection service provider, however, should be held accountable for failure to timely construct the facilities due to events within its control.  Specifically, where the generator is unable to commence use of the interconnection facilities by the commercial operation date as a result of the interconnection service provider’s dilatory performance, the provider should be required to pay liquidated damages to the generator including, where appropriate, payments reflecting, for example, the generator’s lost opportunity cost of sales of power, or lost revenues associated with other services for which the generator has contracted to provide.</w:t>
      </w:r>
    </w:p>
    <w:p>
      <w:pPr>
        <w:pStyle w:val="Heading2"/>
        <w:ind w:hanging="0" w:start="0"/>
        <w:rPr/>
      </w:pPr>
      <w:r>
        <w:rPr/>
        <w:t xml:space="preserve">A New Interconnecting Generator Should Have The Option To Ensure The Deliverability Of Its Generation When It Requests Interconnection Service. </w:t>
      </w:r>
    </w:p>
    <w:p>
      <w:pPr>
        <w:pStyle w:val="BodyTextStyle"/>
        <w:rPr/>
      </w:pPr>
      <w:r>
        <w:rPr/>
        <w:t>Even though transmission and interconnection are different services, a generator should have the option to secure an interconnection and to have a limited priority to sufficient transmission capacity in order to ensure that its generation would in fact be deliverable to its potential customers should those customers ultimately choose to secure transmission service.</w:t>
      </w:r>
      <w:r>
        <w:rPr>
          <w:rStyle w:val="FootnoteCharacters"/>
          <w:rStyle w:val="FootnoteReference"/>
          <w:sz w:val="20"/>
        </w:rPr>
        <w:footnoteReference w:id="8"/>
      </w:r>
      <w:r>
        <w:rPr/>
        <w:t xml:space="preserve">  In other words, the generator should have the right to require the interconnection service provider to perform the same type of study as it would were the generator to have requested transmission service.  This option is necessary in order to allow a merchant generator to assure itself or its potential “tolling arrangement” or “off-take agreement” partners that its output will in fact be deliverable to a given point(s) or a given customer without requiring it or its future customers to prematurely reserve and pay for firm transmission service that they may never need.  </w:t>
      </w:r>
    </w:p>
    <w:p>
      <w:pPr>
        <w:pStyle w:val="BodyTextStyle"/>
        <w:rPr/>
      </w:pPr>
      <w:r>
        <w:rPr/>
        <w:t>Today, the only means for ensuring deliverability is for the generator to procure transmission service separate and apart form its request for interconnection.  There should, however, be a means for a generator to ensure deliverability without having to procure transmission service, particularly in light of the dilemma facing many merchant generators, who not only are unable to specify particular points of delivery, but also usually do not know their customers at the time the interconnection studies are to be performed.  Without such option, generators are left with considerable uncertainty as to the financial consequences of their investments and the fate of their projects.</w:t>
      </w:r>
    </w:p>
    <w:p>
      <w:pPr>
        <w:pStyle w:val="BodyTextStyle"/>
        <w:rPr/>
      </w:pPr>
      <w:r>
        <w:rPr/>
        <w:t xml:space="preserve">Thus, a generator should be able to ask for and rely upon interconnection study results which indicate that the generator’s output would be deliverable at particular locations, as though the generator were a network resource.  And if the generator is told that its energy will in fact be deliverable, the generator should be assured that the capacity initially determined in the interconnection study process as available, and/or whatever capacity would be created by any required system enhancements in order to assure the desired deliverability, will in fact be available for purchase by the generator or its customer(s) once the generating unit is energized to the system, and will, if purchased, allow the generator or its customer(s) to transmit the generator’s energy over the transmission paths evaluated in the interconnection study.  The assumptions contained in the interconnection studies cannot be subject to constant change, and a “deliverability” test cannot be a moving target, if there is to be any certainty in the interconnection process.  </w:t>
      </w:r>
    </w:p>
    <w:p>
      <w:pPr>
        <w:pStyle w:val="BodyTextStyle"/>
        <w:rPr/>
      </w:pPr>
      <w:r>
        <w:rPr/>
        <w:t>One alternative for ensuring deliverability is, in circumstances where a generator has requested an interconnection study based upon a defined deliverability criteria, (1) to provide the interconnecting generator with a right of first refusal with respect to the transmission capacity determined to be available to it under the conditions analyzed in its interconnection study; and (2) to clarify that a subsequent request by a third party for transmission service involving the same transmission capacity that existed at the time of the interconnection service request will not automatically preempt the capacity associated with an earlier request for interconnection service that was included in the deliverability study.</w:t>
      </w:r>
      <w:r>
        <w:rPr>
          <w:rStyle w:val="FootnoteCharacters"/>
          <w:rStyle w:val="FootnoteReference"/>
          <w:sz w:val="20"/>
        </w:rPr>
        <w:footnoteReference w:id="9"/>
      </w:r>
      <w:r>
        <w:rPr>
          <w:sz w:val="20"/>
        </w:rPr>
        <w:t xml:space="preserve"> </w:t>
      </w:r>
      <w:r>
        <w:rPr/>
        <w:t xml:space="preserve"> </w:t>
      </w:r>
    </w:p>
    <w:p>
      <w:pPr>
        <w:pStyle w:val="BodyTextStyle"/>
        <w:rPr/>
      </w:pPr>
      <w:r>
        <w:rPr/>
        <w:t xml:space="preserve">Accordingly, the Commission’s interconnection policy should affirm that a generator, at its option, should be able to (1) request a safe and reliable interconnection </w:t>
      </w:r>
      <w:r>
        <w:rPr>
          <w:i/>
        </w:rPr>
        <w:t>only</w:t>
      </w:r>
      <w:r>
        <w:rPr/>
        <w:t xml:space="preserve">, and, therefore, obtain studies as to what would be required </w:t>
      </w:r>
      <w:r>
        <w:rPr>
          <w:i/>
        </w:rPr>
        <w:t>merely</w:t>
      </w:r>
      <w:r>
        <w:rPr/>
        <w:t xml:space="preserve"> to safely and reliably attach to the system; or (2) request an interconnection based upon defined deliverability criteria, which would require the study of system enhancements or operating limitations or procedures in order for the generator's power to be “deliverable” to whatever points the generator specified in its interconnection request. </w:t>
      </w:r>
    </w:p>
    <w:p>
      <w:pPr>
        <w:pStyle w:val="BodyTextStyle"/>
        <w:rPr/>
      </w:pPr>
      <w:r>
        <w:rPr/>
        <w:t>Moreover, if a generator does financially support an upgrade to the transmission system and enhances the system beyond what is required under a minimum interconnection standard, it should receive transmission rights and/or congestion revenues in proportion to the amount of capacity created by the upgrade.  Alternatively, it should be compensated for its lost opportunity costs resulting from being backed down as a result of another generator’s interconnection.</w:t>
      </w:r>
      <w:r>
        <w:rPr>
          <w:rStyle w:val="FootnoteCharacters"/>
          <w:rStyle w:val="FootnoteReference"/>
          <w:sz w:val="20"/>
        </w:rPr>
        <w:footnoteReference w:id="10"/>
      </w:r>
      <w:r>
        <w:rPr/>
        <w:t xml:space="preserve">  In short, the Commission should recognize the difference between those generators that elect to minimally interconnect, and those that voluntarily request an interconnection based on a generator-specified standard of deliverability and the rights and benefits that might attach to paying for such rights of deliverability (</w:t>
      </w:r>
      <w:r>
        <w:rPr>
          <w:i/>
        </w:rPr>
        <w:t>i.e.</w:t>
      </w:r>
      <w:r>
        <w:rPr/>
        <w:t xml:space="preserve">, an interconnecting generator whose investments actually </w:t>
      </w:r>
      <w:r>
        <mc:AlternateContent>
          <mc:Choice Requires="wps">
            <w:drawing>
              <wp:anchor behindDoc="0" distT="0" distB="0" distL="114935" distR="114935" simplePos="0" locked="0" layoutInCell="1" allowOverlap="1" relativeHeight="17">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t>enhance the transmission transfer capability).</w:t>
      </w:r>
    </w:p>
    <w:p>
      <w:pPr>
        <w:pStyle w:val="BodyTextStyle"/>
        <w:rPr/>
      </w:pPr>
      <w:r>
        <w:rPr/>
        <mc:AlternateContent>
          <mc:Choice Requires="wps">
            <w:drawing>
              <wp:anchor behindDoc="0" distT="0" distB="0" distL="114935" distR="114935" simplePos="0" locked="0" layoutInCell="1" allowOverlap="1" relativeHeight="18">
                <wp:simplePos x="0" y="0"/>
                <wp:positionH relativeFrom="column">
                  <wp:posOffset>-822960</wp:posOffset>
                </wp:positionH>
                <wp:positionV relativeFrom="paragraph">
                  <wp:posOffset>635</wp:posOffset>
                </wp:positionV>
                <wp:extent cx="91440" cy="91440"/>
                <wp:effectExtent l="5080" t="5080" r="5080" b="5080"/>
                <wp:wrapNone/>
                <wp:docPr id="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t xml:space="preserve">Finally, EPSA believes that the Commission should clarify its “higher of” policy as it applies to new merchant generators that choose to ensure deliverability by paying for system upgrades without simultaneously procuring transmission service.  Specifically, the Commission should clarify that, when and if such a generator requests transmission service, the Commission’s “higher of” policy should be applied so as to account for the generator’s payment for system upgrades.  In no event should the generator be subjected to “and” pricing simply because it did not procure transmission service at the time of its interconnection, but, rather, ensured the deliverability of its generation by paying for system enhancements. </w:t>
      </w:r>
    </w:p>
    <w:p>
      <w:pPr>
        <w:pStyle w:val="Heading1"/>
        <w:ind w:hanging="0" w:start="0"/>
        <w:rPr/>
      </w:pPr>
      <w:r>
        <w:rPr>
          <w:b/>
        </w:rPr>
        <w:t>CONCLUSION</w:t>
      </w:r>
    </w:p>
    <w:p>
      <w:pPr>
        <w:pStyle w:val="BodyTextStyle"/>
        <w:rPr/>
      </w:pPr>
      <w:r>
        <w:rPr/>
        <w:t>EPSA believes that, in order for the electric power industry, and, ultimately, the consumers of electricity, to realize the full benefits of competition, the interconnection process must be reformed.  The most efficient means of implementing this reform is for the Commission to issue an interconnection policy statement, which would address both the generator’s rights, as discussed above, and the interconnection service provider’s obligations with respect to new interconnection requests.  In conjunction with its issuance of an interconnection policy statement, the Commission should consider adopting a model interconnection agreement as well as standardized rules and tariff procedures for requesting interconnection service, both of which will streamline the entire interconnection process.</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432"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27635" cy="165100"/>
              <wp:effectExtent l="0" t="0" r="0" b="0"/>
              <wp:wrapSquare wrapText="bothSides"/>
              <wp:docPr id="3" name="Frame1"/>
              <a:graphic xmlns:a="http://schemas.openxmlformats.org/drawingml/2006/main">
                <a:graphicData uri="http://schemas.microsoft.com/office/word/2010/wordprocessingShape">
                  <wps:wsp>
                    <wps:cNvSpPr txBox="1"/>
                    <wps:spPr>
                      <a:xfrm>
                        <a:off x="0" y="0"/>
                        <a:ext cx="127635" cy="165100"/>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16</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10.05pt;height:13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16</w:t>
                    </w:r>
                    <w:r>
                      <w:rPr>
                        <w:rStyle w:val="PageNumber"/>
                        <w:sz w:val="20"/>
                      </w:rPr>
                      <w:fldChar w:fldCharType="end"/>
                    </w:r>
                  </w:p>
                </w:txbxContent>
              </v:textbox>
              <w10:wrap type="square"/>
            </v:rect>
          </w:pict>
        </mc:Fallback>
      </mc:AlternateContent>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1112898</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6</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N%P%06!.DOC</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1112898</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6</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N%P%06!.DOC</w:t>
    </w:r>
    <w:r>
      <w:rPr>
        <w:sz w:val="12"/>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sz w:val="20"/>
        </w:rPr>
        <w:t xml:space="preserve"> </w:t>
      </w:r>
      <w:r>
        <w:rPr>
          <w:i/>
          <w:sz w:val="20"/>
        </w:rPr>
        <w:t>See</w:t>
      </w:r>
      <w:r>
        <w:rPr>
          <w:sz w:val="20"/>
        </w:rPr>
        <w:t xml:space="preserve"> Order No. 2000-A, at </w:t>
      </w:r>
      <w:r>
        <w:rPr>
          <w:i/>
          <w:sz w:val="20"/>
        </w:rPr>
        <w:t>mimeo</w:t>
      </w:r>
      <w:r>
        <w:rPr>
          <w:sz w:val="20"/>
        </w:rPr>
        <w:t xml:space="preserve"> 57; </w:t>
      </w:r>
      <w:r>
        <w:rPr>
          <w:i/>
          <w:sz w:val="20"/>
        </w:rPr>
        <w:t>Central Maine Power Company</w:t>
      </w:r>
      <w:r>
        <w:rPr>
          <w:sz w:val="20"/>
        </w:rPr>
        <w:t xml:space="preserve">, 90 FERC ¶ 61,214, at </w:t>
      </w:r>
      <w:r>
        <w:rPr>
          <w:i/>
          <w:sz w:val="20"/>
        </w:rPr>
        <w:t>mimeo</w:t>
      </w:r>
      <w:r>
        <w:rPr>
          <w:sz w:val="20"/>
        </w:rPr>
        <w:t xml:space="preserve"> 6 (2000).</w:t>
      </w:r>
    </w:p>
  </w:footnote>
  <w:footnote w:id="3">
    <w:p>
      <w:pPr>
        <w:pStyle w:val="FootnoteText"/>
        <w:spacing w:before="0" w:after="120"/>
        <w:rPr/>
      </w:pPr>
      <w:r>
        <w:rPr>
          <w:rStyle w:val="FootnoteCharacters"/>
        </w:rPr>
        <w:footnoteRef/>
      </w:r>
      <w:r>
        <w:rPr>
          <w:sz w:val="20"/>
        </w:rPr>
        <w:t xml:space="preserve"> </w:t>
      </w:r>
      <w:r>
        <w:rPr>
          <w:sz w:val="20"/>
        </w:rPr>
        <w:t>Although, in most cases, interconnection service providers and transmission providers will be one and the same entity, since the services being provided by such entities are distinct, EPSA will refer to such entities as interconnection service providers.</w:t>
      </w:r>
    </w:p>
  </w:footnote>
  <w:footnote w:id="4">
    <w:p>
      <w:pPr>
        <w:pStyle w:val="FootnoteText"/>
        <w:spacing w:before="0" w:after="120"/>
        <w:rPr/>
      </w:pPr>
      <w:r>
        <w:rPr>
          <w:rStyle w:val="FootnoteCharacters"/>
        </w:rPr>
        <w:footnoteRef/>
      </w:r>
      <w:r>
        <w:rPr>
          <w:sz w:val="20"/>
        </w:rPr>
        <w:t xml:space="preserve"> </w:t>
      </w:r>
      <w:r>
        <w:rPr>
          <w:sz w:val="20"/>
        </w:rPr>
        <w:t xml:space="preserve">This approach is consistent with the Commission’s rulings, for example, in NEPOOL, where it directed NEPOOL to discard the “full integration standard” as the study assumption for new generator interconnections and substitute for it a study standard that would require upgrades only to the extent necessary to determine whether the requested interconnection “avoids any significant adverse effect on system reliability, stability, and operability, including protecting against degradation of transfer capability for interfaces affected by the unit.”  </w:t>
      </w:r>
      <w:r>
        <w:rPr>
          <w:i/>
          <w:sz w:val="20"/>
        </w:rPr>
        <w:t>New England Power Pool</w:t>
      </w:r>
      <w:r>
        <w:rPr>
          <w:sz w:val="20"/>
        </w:rPr>
        <w:t>, 85 FERC ¶ 61,141, at 61,552 (1998).  The differences between a safe and reliable interconnection and an enhanced interconnection are addressed above.</w:t>
      </w:r>
    </w:p>
  </w:footnote>
  <w:footnote w:id="5">
    <w:p>
      <w:pPr>
        <w:pStyle w:val="FootnoteText"/>
        <w:spacing w:before="0" w:after="120"/>
        <w:rPr/>
      </w:pPr>
      <w:r>
        <w:rPr>
          <w:rStyle w:val="FootnoteCharacters"/>
        </w:rPr>
        <w:footnoteRef/>
      </w:r>
      <w:r>
        <w:rPr>
          <w:sz w:val="20"/>
        </w:rPr>
        <w:t xml:space="preserve"> </w:t>
      </w:r>
      <w:r>
        <w:rPr>
          <w:sz w:val="20"/>
        </w:rPr>
        <w:t xml:space="preserve">A four month period is consistent with the time frame presently set forth in the Commission’s </w:t>
      </w:r>
      <w:r>
        <w:rPr>
          <w:i/>
          <w:sz w:val="20"/>
        </w:rPr>
        <w:t>pro forma</w:t>
      </w:r>
      <w:r>
        <w:rPr>
          <w:sz w:val="20"/>
        </w:rPr>
        <w:t xml:space="preserve"> tariff.</w:t>
      </w:r>
    </w:p>
  </w:footnote>
  <w:footnote w:id="6">
    <w:p>
      <w:pPr>
        <w:pStyle w:val="FootnoteText"/>
        <w:spacing w:before="0" w:after="120"/>
        <w:rPr/>
      </w:pPr>
      <w:r>
        <w:rPr>
          <w:rStyle w:val="FootnoteCharacters"/>
        </w:rPr>
        <w:footnoteRef/>
      </w:r>
      <w:r>
        <w:rPr>
          <w:sz w:val="20"/>
        </w:rPr>
        <w:t xml:space="preserve"> </w:t>
      </w:r>
      <w:r>
        <w:rPr>
          <w:sz w:val="20"/>
        </w:rPr>
        <w:t>This option is discussed in more detail in Section H below.</w:t>
      </w:r>
    </w:p>
  </w:footnote>
  <w:footnote w:id="7">
    <w:p>
      <w:pPr>
        <w:pStyle w:val="FootnoteText"/>
        <w:spacing w:before="0" w:after="120"/>
        <w:rPr/>
      </w:pPr>
      <w:r>
        <w:rPr>
          <w:rStyle w:val="FootnoteCharacters"/>
        </w:rPr>
        <w:footnoteRef/>
      </w:r>
      <w:r>
        <w:rPr>
          <w:sz w:val="20"/>
        </w:rPr>
        <w:t xml:space="preserve"> </w:t>
      </w:r>
      <w:r>
        <w:rPr>
          <w:sz w:val="20"/>
        </w:rPr>
        <w:t>As discussed above, the generator’s costs for any transmission service should be governed separately by the terms of the applicable transmission tariff.</w:t>
      </w:r>
    </w:p>
  </w:footnote>
  <w:footnote w:id="8">
    <w:p>
      <w:pPr>
        <w:pStyle w:val="FootnoteText"/>
        <w:spacing w:before="0" w:after="120"/>
        <w:rPr/>
      </w:pPr>
      <w:r>
        <w:rPr>
          <w:rStyle w:val="FootnoteCharacters"/>
        </w:rPr>
        <w:footnoteRef/>
      </w:r>
      <w:r>
        <w:rPr>
          <w:sz w:val="20"/>
        </w:rPr>
        <w:t xml:space="preserve"> </w:t>
      </w:r>
      <w:r>
        <w:rPr>
          <w:sz w:val="20"/>
        </w:rPr>
        <w:t>Of course, as discussed in Section A above, a generator also should have the right simply to interconnect to the grid without regard to the deliverability of its generation.</w:t>
      </w:r>
    </w:p>
  </w:footnote>
  <w:footnote w:id="9">
    <w:p>
      <w:pPr>
        <w:pStyle w:val="FootnoteText"/>
        <w:spacing w:before="0" w:after="120"/>
        <w:rPr/>
      </w:pPr>
      <w:r>
        <w:rPr>
          <w:rStyle w:val="FootnoteCharacters"/>
        </w:rPr>
        <w:footnoteRef/>
      </w:r>
      <w:r>
        <w:rPr>
          <w:sz w:val="20"/>
        </w:rPr>
        <w:t xml:space="preserve"> </w:t>
      </w:r>
      <w:r>
        <w:rPr>
          <w:sz w:val="20"/>
        </w:rPr>
        <w:t>EPSA is not suggesting that the interconnecting generator not be required to pay for transmission service when and if the transmission capacity that is necessary to assure its deliverability is needed to accommodate a third party’s subsequent request for transmission service.  Rather, the generator should be given the opportunity to reserve such transmission capacity – by executing a transmission service agreement – at the time of this subsequent request for service.  For this reason, subsequent studies, be they transmission or interconnection studies, should take into account the assumed transmission usage associated with the prior interconnection request, even if the interconnecting generator has not executed a service agreement for firm transmission service, so long as the interconnecting generator is willing at that time to pay for transmission service.</w:t>
      </w:r>
    </w:p>
  </w:footnote>
  <w:footnote w:id="10">
    <w:p>
      <w:pPr>
        <w:pStyle w:val="FootnoteText"/>
        <w:spacing w:before="0" w:after="120"/>
        <w:rPr/>
      </w:pPr>
      <w:r>
        <w:rPr>
          <w:rStyle w:val="FootnoteCharacters"/>
        </w:rPr>
        <w:footnoteRef/>
      </w:r>
      <w:r>
        <w:rPr>
          <w:sz w:val="20"/>
        </w:rPr>
        <w:t xml:space="preserve"> </w:t>
      </w:r>
      <w:r>
        <w:rPr>
          <w:sz w:val="20"/>
        </w:rPr>
        <w:t>Such rights could take the form of “f</w:t>
      </w:r>
      <w:r>
        <w:rPr>
          <w:sz w:val="20"/>
          <w:lang w:eastAsia="en-US"/>
        </w:rPr>
        <w:t>inancial congestion” or “firm transmission” rights.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0"/>
      </w:rPr>
    </w:pPr>
    <w:r>
      <w:rPr>
        <w:b/>
        <w:sz w:val="20"/>
      </w:rPr>
      <w:t>Electric Power Supply Association</w:t>
    </w:r>
  </w:p>
  <w:p>
    <w:pPr>
      <w:pStyle w:val="Header"/>
      <w:rPr>
        <w:b/>
        <w:sz w:val="20"/>
      </w:rPr>
    </w:pPr>
    <w:r>
      <w:rPr>
        <w:b/>
        <w:sz w:val="20"/>
      </w:rPr>
      <w:t>DRAFT   3/10/00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0"/>
      </w:rPr>
    </w:pPr>
    <w:r>
      <w:rPr>
        <w:b/>
        <w:sz w:val="20"/>
      </w:rPr>
      <w:t>Electric Power Supply Association</w:t>
    </w:r>
  </w:p>
  <w:p>
    <w:pPr>
      <w:pStyle w:val="Header"/>
      <w:rPr>
        <w:b/>
        <w:sz w:val="20"/>
      </w:rPr>
    </w:pPr>
    <w:r>
      <w:rPr>
        <w:b/>
        <w:sz w:val="20"/>
      </w:rPr>
      <w:t>DRAFT   3/10/00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1"/>
      <w:numFmt w:val="bullet"/>
      <w:lvlText w:val=""/>
      <w:lvlJc w:val="start"/>
      <w:pPr>
        <w:tabs>
          <w:tab w:val="num" w:pos="2160"/>
        </w:tabs>
        <w:ind w:start="2160" w:hanging="576"/>
      </w:pPr>
      <w:rPr>
        <w:rFonts w:ascii="Symbol" w:hAnsi="Symbol" w:cs="Symbol" w:hint="default"/>
      </w:rPr>
    </w:lvl>
  </w:abstractNum>
  <w:abstractNum w:abstractNumId="3">
    <w:lvl w:ilvl="0">
      <w:start w:val="1"/>
      <w:numFmt w:val="bullet"/>
      <w:lvlText w:val=""/>
      <w:lvlJc w:val="start"/>
      <w:pPr>
        <w:tabs>
          <w:tab w:val="num" w:pos="2736"/>
        </w:tabs>
        <w:ind w:start="2736" w:hanging="576"/>
      </w:pPr>
      <w:rPr>
        <w:rFonts w:ascii="Symbol" w:hAnsi="Symbol" w:cs="Symbol" w:hint="default"/>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60"/>
    </w:pPr>
    <w:rPr>
      <w:rFonts w:ascii="Galliard;Times New Roman" w:hAnsi="Galliard;Times New Roman" w:eastAsia="Times New Roman" w:cs="Galliard;Times New Roman"/>
      <w:color w:val="auto"/>
      <w:sz w:val="24"/>
      <w:szCs w:val="20"/>
      <w:lang w:val="en-US" w:eastAsia="zh-CN" w:bidi="hi-IN"/>
    </w:rPr>
  </w:style>
  <w:style w:type="paragraph" w:styleId="Heading1">
    <w:name w:val="heading 1"/>
    <w:basedOn w:val="Normal"/>
    <w:next w:val="BodyText"/>
    <w:qFormat/>
    <w:pPr>
      <w:numPr>
        <w:ilvl w:val="0"/>
        <w:numId w:val="1"/>
      </w:numPr>
      <w:spacing w:before="260" w:after="0"/>
      <w:outlineLvl w:val="0"/>
    </w:pPr>
    <w:rPr>
      <w:kern w:val="2"/>
    </w:rPr>
  </w:style>
  <w:style w:type="paragraph" w:styleId="Heading2">
    <w:name w:val="heading 2"/>
    <w:basedOn w:val="Normal"/>
    <w:next w:val="BodyText"/>
    <w:qFormat/>
    <w:pPr>
      <w:numPr>
        <w:ilvl w:val="1"/>
        <w:numId w:val="1"/>
      </w:numPr>
      <w:spacing w:before="260" w:after="0"/>
      <w:outlineLvl w:val="1"/>
    </w:pPr>
    <w:rPr/>
  </w:style>
  <w:style w:type="paragraph" w:styleId="Heading3">
    <w:name w:val="heading 3"/>
    <w:basedOn w:val="Normal"/>
    <w:next w:val="BodyText"/>
    <w:qFormat/>
    <w:pPr>
      <w:numPr>
        <w:ilvl w:val="2"/>
        <w:numId w:val="1"/>
      </w:numPr>
      <w:spacing w:before="260" w:after="0"/>
      <w:outlineLvl w:val="2"/>
    </w:pPr>
    <w:rPr/>
  </w:style>
  <w:style w:type="paragraph" w:styleId="Heading4">
    <w:name w:val="heading 4"/>
    <w:basedOn w:val="Normal"/>
    <w:next w:val="BodyText"/>
    <w:qFormat/>
    <w:pPr>
      <w:numPr>
        <w:ilvl w:val="3"/>
        <w:numId w:val="1"/>
      </w:numPr>
      <w:spacing w:before="260" w:after="0"/>
      <w:outlineLvl w:val="3"/>
    </w:pPr>
    <w:rPr/>
  </w:style>
  <w:style w:type="paragraph" w:styleId="Heading5">
    <w:name w:val="heading 5"/>
    <w:basedOn w:val="Normal"/>
    <w:next w:val="BodyText"/>
    <w:qFormat/>
    <w:pPr>
      <w:numPr>
        <w:ilvl w:val="4"/>
        <w:numId w:val="1"/>
      </w:numPr>
      <w:spacing w:before="260" w:after="0"/>
      <w:outlineLvl w:val="4"/>
    </w:pPr>
    <w:rPr/>
  </w:style>
  <w:style w:type="paragraph" w:styleId="Heading6">
    <w:name w:val="heading 6"/>
    <w:basedOn w:val="Normal"/>
    <w:next w:val="BodyText"/>
    <w:qFormat/>
    <w:pPr>
      <w:numPr>
        <w:ilvl w:val="5"/>
        <w:numId w:val="1"/>
      </w:numPr>
      <w:spacing w:before="260" w:after="0"/>
      <w:outlineLvl w:val="5"/>
    </w:pPr>
    <w:rPr/>
  </w:style>
  <w:style w:type="paragraph" w:styleId="Heading7">
    <w:name w:val="heading 7"/>
    <w:basedOn w:val="Normal"/>
    <w:next w:val="BodyText"/>
    <w:qFormat/>
    <w:pPr>
      <w:numPr>
        <w:ilvl w:val="6"/>
        <w:numId w:val="1"/>
      </w:numPr>
      <w:spacing w:lineRule="exact" w:line="520"/>
      <w:outlineLvl w:val="6"/>
    </w:pPr>
    <w:rPr/>
  </w:style>
  <w:style w:type="paragraph" w:styleId="Heading8">
    <w:name w:val="heading 8"/>
    <w:basedOn w:val="Normal"/>
    <w:next w:val="BodyText"/>
    <w:qFormat/>
    <w:pPr>
      <w:numPr>
        <w:ilvl w:val="7"/>
        <w:numId w:val="1"/>
      </w:numPr>
      <w:spacing w:before="260" w:after="0"/>
      <w:outlineLvl w:val="7"/>
    </w:pPr>
    <w:rPr/>
  </w:style>
  <w:style w:type="paragraph" w:styleId="Heading9">
    <w:name w:val="heading 9"/>
    <w:basedOn w:val="Normal"/>
    <w:next w:val="BodyText"/>
    <w:qFormat/>
    <w:pPr>
      <w:numPr>
        <w:ilvl w:val="8"/>
        <w:numId w:val="1"/>
      </w:numPr>
      <w:spacing w:lineRule="exact" w:line="520"/>
      <w:outlineLvl w:val="8"/>
    </w:pPr>
    <w:rPr/>
  </w:style>
  <w:style w:type="character" w:styleId="WW8Num1z0">
    <w:name w:val="WW8Num1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color w:val="auto"/>
    </w:rPr>
  </w:style>
  <w:style w:type="character" w:styleId="WW8Num5z0">
    <w:name w:val="WW8Num5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style>
  <w:style w:type="paragraph" w:styleId="BlockQuote">
    <w:name w:val="Block Quote"/>
    <w:basedOn w:val="Normal"/>
    <w:qFormat/>
    <w:pPr>
      <w:spacing w:before="260" w:after="0"/>
      <w:ind w:hanging="0" w:start="1080" w:end="1080"/>
    </w:pPr>
    <w:rPr/>
  </w:style>
  <w:style w:type="paragraph" w:styleId="BodySingle">
    <w:name w:val="Body Single"/>
    <w:basedOn w:val="Normal"/>
    <w:qFormat/>
    <w:pPr>
      <w:spacing w:before="260" w:after="0"/>
      <w:ind w:firstLine="1080" w:start="0" w:end="0"/>
    </w:pPr>
    <w:rPr/>
  </w:style>
  <w:style w:type="paragraph" w:styleId="BodyTextStyle">
    <w:name w:val="Body Text Style"/>
    <w:basedOn w:val="Normal"/>
    <w:qFormat/>
    <w:pPr>
      <w:spacing w:lineRule="exact" w:line="520"/>
      <w:ind w:firstLine="1080" w:start="0" w:end="0"/>
    </w:pPr>
    <w:rPr/>
  </w:style>
  <w:style w:type="paragraph" w:styleId="Bullet-Large">
    <w:name w:val="Bullet-Large"/>
    <w:basedOn w:val="Normal"/>
    <w:qFormat/>
    <w:pPr>
      <w:numPr>
        <w:ilvl w:val="0"/>
        <w:numId w:val="2"/>
      </w:numPr>
      <w:spacing w:before="260" w:after="0"/>
      <w:ind w:hanging="0" w:start="0" w:end="1080"/>
    </w:pPr>
    <w:rPr/>
  </w:style>
  <w:style w:type="paragraph" w:styleId="Bullet-Small">
    <w:name w:val="Bullet-Small"/>
    <w:basedOn w:val="Normal"/>
    <w:qFormat/>
    <w:pPr>
      <w:numPr>
        <w:ilvl w:val="0"/>
        <w:numId w:val="3"/>
      </w:numPr>
      <w:spacing w:before="260" w:after="0"/>
      <w:ind w:hanging="0" w:start="0" w:end="1080"/>
    </w:pPr>
    <w:rPr/>
  </w:style>
  <w:style w:type="paragraph" w:styleId="Center">
    <w:name w:val="Center"/>
    <w:basedOn w:val="Normal"/>
    <w:qFormat/>
    <w:pPr>
      <w:spacing w:before="260" w:after="0"/>
      <w:jc w:val="center"/>
    </w:pPr>
    <w:rPr/>
  </w:style>
  <w:style w:type="paragraph" w:styleId="LeftAlign1">
    <w:name w:val="Left Align 1"/>
    <w:basedOn w:val="Normal"/>
    <w:qFormat/>
    <w:pPr>
      <w:spacing w:before="260" w:after="0"/>
    </w:pPr>
    <w:rPr/>
  </w:style>
  <w:style w:type="paragraph" w:styleId="LeftAlign2">
    <w:name w:val="Left Align 2"/>
    <w:basedOn w:val="Normal"/>
    <w:qFormat/>
    <w:pPr>
      <w:spacing w:lineRule="exact" w:line="520"/>
    </w:pPr>
    <w:rPr/>
  </w:style>
  <w:style w:type="paragraph" w:styleId="SignatureBlock">
    <w:name w:val="Signature Block"/>
    <w:basedOn w:val="Normal"/>
    <w:qFormat/>
    <w:pPr>
      <w:ind w:hanging="0" w:start="4680" w:end="0"/>
    </w:pPr>
    <w:rPr/>
  </w:style>
  <w:style w:type="paragraph" w:styleId="Footer">
    <w:name w:val="footer"/>
    <w:basedOn w:val="Normal"/>
    <w:pPr>
      <w:tabs>
        <w:tab w:val="clear" w:pos="720"/>
        <w:tab w:val="center" w:pos="4320" w:leader="none"/>
        <w:tab w:val="right" w:pos="8640" w:leader="none"/>
      </w:tabs>
      <w:spacing w:lineRule="exact" w:line="260"/>
    </w:pPr>
    <w:rPr/>
  </w:style>
  <w:style w:type="paragraph" w:styleId="FootnoteText">
    <w:name w:val="footnote text"/>
    <w:basedOn w:val="Normal"/>
    <w:pPr>
      <w:spacing w:before="0" w:after="120"/>
    </w:pPr>
    <w:rPr>
      <w:sz w:val="22"/>
    </w:rPr>
  </w:style>
  <w:style w:type="paragraph" w:styleId="EnvelopeReturn">
    <w:name w:val="envelope return"/>
    <w:basedOn w:val="Normal"/>
    <w:pPr>
      <w:spacing w:lineRule="exact" w:line="260"/>
    </w:pPr>
    <w:rPr>
      <w:sz w:val="20"/>
    </w:rPr>
  </w:style>
  <w:style w:type="paragraph" w:styleId="EnvelopeAddress">
    <w:name w:val="envelope address"/>
    <w:basedOn w:val="Normal"/>
    <w:pPr>
      <w:spacing w:lineRule="exact" w:line="260"/>
      <w:ind w:hanging="0" w:start="288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2000-03-13T16:31:00Z</dcterms:created>
  <dc:creator>DSMO</dc:creator>
  <dc:description/>
  <dc:language>en-CA</dc:language>
  <cp:lastModifiedBy>Thomas Hoatson</cp:lastModifiedBy>
  <cp:lastPrinted>2000-03-13T13:01:00Z</cp:lastPrinted>
  <dcterms:modified xsi:type="dcterms:W3CDTF">2000-03-13T16:31:00Z</dcterms:modified>
  <cp:revision>2</cp:revision>
  <dc:subject/>
  <dc:title>Interconnection Policy Stmt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N%P%06!.DOC</vt:lpwstr>
  </property>
  <property fmtid="{D5CDD505-2E9C-101B-9397-08002B2CF9AE}" pid="3" name="DOCSDocVer">
    <vt:lpwstr>6</vt:lpwstr>
  </property>
  <property fmtid="{D5CDD505-2E9C-101B-9397-08002B2CF9AE}" pid="4" name="DOCSNumber">
    <vt:lpwstr>1112898</vt:lpwstr>
  </property>
</Properties>
</file>