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Cs/>
        </w:rPr>
      </w:pPr>
      <w:r>
        <w:rPr>
          <w:bCs/>
        </w:rPr>
        <w:t>ENRON Corp</w:t>
      </w:r>
    </w:p>
    <w:p>
      <w:pPr>
        <w:pStyle w:val="Normal"/>
        <w:rPr/>
      </w:pPr>
      <w:r>
        <w:rPr/>
        <w:t>Investor Update</w:t>
      </w:r>
    </w:p>
    <w:p>
      <w:pPr>
        <w:pStyle w:val="Normal"/>
        <w:rPr/>
      </w:pPr>
      <w:r>
        <w:rPr/>
        <w:t>14 November 2001</w:t>
      </w:r>
    </w:p>
    <w:p>
      <w:pPr>
        <w:pStyle w:val="Normal"/>
        <w:rPr/>
      </w:pPr>
      <w:r>
        <w:rPr/>
        <w:t>8:30am – 10:00am (Central)</w:t>
      </w:r>
    </w:p>
    <w:p>
      <w:pPr>
        <w:pStyle w:val="Normal"/>
        <w:rPr>
          <w:u w:val="single"/>
        </w:rPr>
      </w:pPr>
      <w:r>
        <w:rPr>
          <w:u w:val="single"/>
        </w:rPr>
      </w:r>
    </w:p>
    <w:p>
      <w:pPr>
        <w:pStyle w:val="Normal"/>
        <w:rPr/>
      </w:pPr>
      <w:r>
        <w:rPr>
          <w:u w:val="single"/>
        </w:rPr>
        <w:t>Coordinator</w:t>
      </w:r>
      <w:r>
        <w:rPr/>
        <w:t>:</w:t>
      </w:r>
    </w:p>
    <w:p>
      <w:pPr>
        <w:pStyle w:val="Normal"/>
        <w:rPr/>
      </w:pPr>
      <w:r>
        <w:rPr/>
      </w:r>
    </w:p>
    <w:p>
      <w:pPr>
        <w:pStyle w:val="Normal"/>
        <w:rPr/>
      </w:pPr>
      <w:r>
        <w:rPr/>
        <w:t>Please stand by.</w:t>
      </w:r>
    </w:p>
    <w:p>
      <w:pPr>
        <w:pStyle w:val="Normal"/>
        <w:rPr/>
      </w:pPr>
      <w:r>
        <w:rPr/>
        <w:t>Good morning everyone and welcome to the Enron investor update conference call.  Today’s call is being recorded.  At this time I would like to turn the call over to the Executive Vice President of Investor Relations, Mr. Mark Koenig.  Please go ahead sir.</w:t>
      </w:r>
    </w:p>
    <w:p>
      <w:pPr>
        <w:pStyle w:val="Normal"/>
        <w:rPr/>
      </w:pPr>
      <w:r>
        <w:rPr/>
      </w:r>
    </w:p>
    <w:p>
      <w:pPr>
        <w:pStyle w:val="Normal"/>
        <w:rPr/>
      </w:pPr>
      <w:r>
        <w:rPr>
          <w:u w:val="single"/>
        </w:rPr>
        <w:t>Mark Koenig</w:t>
      </w:r>
      <w:r>
        <w:rPr/>
        <w:t xml:space="preserve">: </w:t>
      </w:r>
    </w:p>
    <w:p>
      <w:pPr>
        <w:pStyle w:val="Normal"/>
        <w:rPr/>
      </w:pPr>
      <w:r>
        <w:rPr/>
      </w:r>
    </w:p>
    <w:p>
      <w:pPr>
        <w:pStyle w:val="Normal"/>
        <w:rPr/>
      </w:pPr>
      <w:r>
        <w:rPr/>
        <w:t>Thank you.  Before I introduce Ken I would just like to remind everybody this call will include forward looking statements within the meaning of several sections of various securities acts of 1933 and 1934.  The statements are not historical facts but do reflect Enron’s current expectations, estimates and projections.  All the statements contained in the call which address the future operating performance, events or developments that are expected to occur in the future are forward looking statements.  Although we believe that the expectations are based on reasonable assumptions, we give no assurance of course that these goals will be achieved.  Important factors that could cause results to differ materially from those in the statements include the development of retail and wholesale natural gas markets and of course the receipt of regulatory approvals and customary closing conditions on Portland General and conditions in the capital markets and equity markets.  At this time I would like to turn it over to Ken.</w:t>
      </w:r>
    </w:p>
    <w:p>
      <w:pPr>
        <w:pStyle w:val="Normal"/>
        <w:rPr/>
      </w:pPr>
      <w:r>
        <w:rPr/>
      </w:r>
    </w:p>
    <w:p>
      <w:pPr>
        <w:pStyle w:val="Normal"/>
        <w:rPr/>
      </w:pPr>
      <w:r>
        <w:rPr>
          <w:u w:val="single"/>
        </w:rPr>
        <w:t>Ken Lay</w:t>
      </w:r>
      <w:r>
        <w:rPr/>
        <w:t>:</w:t>
      </w:r>
    </w:p>
    <w:p>
      <w:pPr>
        <w:pStyle w:val="Normal"/>
        <w:rPr/>
      </w:pPr>
      <w:r>
        <w:rPr/>
      </w:r>
    </w:p>
    <w:p>
      <w:pPr>
        <w:pStyle w:val="Normal"/>
        <w:rPr/>
      </w:pPr>
      <w:r>
        <w:rPr/>
        <w:t>Thank you Mark.</w:t>
      </w:r>
    </w:p>
    <w:p>
      <w:pPr>
        <w:pStyle w:val="Heading2"/>
        <w:ind w:hanging="0" w:start="0"/>
        <w:rPr>
          <w:b w:val="false"/>
          <w:bCs/>
        </w:rPr>
      </w:pPr>
      <w:r>
        <w:rPr>
          <w:b w:val="false"/>
          <w:bCs/>
        </w:rPr>
      </w:r>
    </w:p>
    <w:p>
      <w:pPr>
        <w:pStyle w:val="Heading2"/>
        <w:ind w:hanging="0" w:start="0"/>
        <w:rPr>
          <w:b w:val="false"/>
          <w:bCs/>
        </w:rPr>
      </w:pPr>
      <w:r>
        <w:rPr>
          <w:b w:val="false"/>
          <w:bCs/>
        </w:rPr>
        <w:t>Good morning, this is Ken Lay.  With me today are:</w:t>
      </w:r>
    </w:p>
    <w:p>
      <w:pPr>
        <w:pStyle w:val="Normal"/>
        <w:rPr>
          <w:b/>
          <w:bCs/>
        </w:rPr>
      </w:pPr>
      <w:r>
        <w:rPr>
          <w:b/>
          <w:bCs/>
        </w:rPr>
      </w:r>
    </w:p>
    <w:p>
      <w:pPr>
        <w:pStyle w:val="Heading2"/>
        <w:ind w:hanging="0" w:start="0"/>
        <w:rPr>
          <w:u w:val="single"/>
        </w:rPr>
      </w:pPr>
      <w:r>
        <w:rPr>
          <w:b w:val="false"/>
          <w:bCs/>
        </w:rPr>
        <w:t>Greg Whalley, President and Chief Operating Officer of Enron</w:t>
      </w:r>
    </w:p>
    <w:p>
      <w:pPr>
        <w:pStyle w:val="Normal"/>
        <w:rPr/>
      </w:pPr>
      <w:r>
        <w:rPr/>
        <w:t xml:space="preserve">Jeff McMahon, Executive VP and Chief Financial Officer </w:t>
      </w:r>
    </w:p>
    <w:p>
      <w:pPr>
        <w:pStyle w:val="Footer"/>
        <w:tabs>
          <w:tab w:val="clear" w:pos="4320"/>
          <w:tab w:val="clear" w:pos="8640"/>
        </w:tabs>
        <w:rPr/>
      </w:pPr>
      <w:r>
        <w:rPr/>
        <w:t xml:space="preserve">Mark Koenig, Executive VP, Investor Relations </w:t>
      </w:r>
    </w:p>
    <w:p>
      <w:pPr>
        <w:pStyle w:val="Normal"/>
        <w:rPr/>
      </w:pPr>
      <w:r>
        <w:rPr/>
        <w:t>Ray Bowen, Executive VP, Finance and Treasurer and</w:t>
      </w:r>
    </w:p>
    <w:p>
      <w:pPr>
        <w:pStyle w:val="Normal"/>
        <w:rPr/>
      </w:pPr>
      <w:r>
        <w:rPr/>
        <w:t>Rick Causey, Executive VP and Chief Accounting Officer</w:t>
      </w:r>
    </w:p>
    <w:p>
      <w:pPr>
        <w:pStyle w:val="Heading1"/>
        <w:ind w:hanging="0" w:start="0"/>
        <w:rPr>
          <w:bCs/>
        </w:rPr>
      </w:pPr>
      <w:r>
        <w:rPr>
          <w:bCs/>
        </w:rPr>
      </w:r>
    </w:p>
    <w:p>
      <w:pPr>
        <w:pStyle w:val="Normal"/>
        <w:rPr/>
      </w:pPr>
      <w:r>
        <w:rPr/>
        <w:t xml:space="preserve">Thank you for joining us on the call and webcast today.  We want to take this opportunity to provide you with an update on the status of the company and respond to any questions you have about our business.  On Monday, we held a conference call to discuss the signing of a definitive merger agreement with Dynegy.  We are excited about the opportunities of the new combined company.  The purpose of today’s call is to tell you about activities and concerns directly pertaining to Enron.  </w:t>
      </w:r>
    </w:p>
    <w:p>
      <w:pPr>
        <w:pStyle w:val="Normal"/>
        <w:rPr/>
      </w:pPr>
      <w:r>
        <w:rPr/>
      </w:r>
    </w:p>
    <w:p>
      <w:pPr>
        <w:pStyle w:val="Normal"/>
        <w:rPr/>
      </w:pPr>
      <w:r>
        <w:rPr/>
        <w:t xml:space="preserve">First of all, let me say that I could not have ever contemplated the events we, as a company, and you, as a stakeholder, have faced over the last few weeks.  The Enron management team is focused on protecting the investment for all investors – common stockholders, bondholders, banks and other creditors, including trading counterparties.  To maximize the return for all investors, our focus remains on our credit quality and liquidity, which are paramount to the continued success and expansion of our wholesale business activities.  We believe we have taken many important steps to address many of the recent concerns in the marketplace.  Before we discuss those steps, let me provide you with my perspective on how we got to where we are today – </w:t>
      </w:r>
    </w:p>
    <w:p>
      <w:pPr>
        <w:pStyle w:val="Normal"/>
        <w:rPr/>
      </w:pPr>
      <w:r>
        <w:rPr/>
      </w:r>
    </w:p>
    <w:p>
      <w:pPr>
        <w:pStyle w:val="Normal"/>
        <w:numPr>
          <w:ilvl w:val="0"/>
          <w:numId w:val="2"/>
        </w:numPr>
        <w:rPr/>
      </w:pPr>
      <w:r>
        <w:rPr/>
        <w:t>In hindsight, we made some very bad investments in non-core businesses.  Our investments in various international assets such as Azurix, India and Brazil to name a few, have performed far worse than we could ever have imagined when we made these investments;</w:t>
      </w:r>
    </w:p>
    <w:p>
      <w:pPr>
        <w:pStyle w:val="Normal"/>
        <w:ind w:start="60" w:end="0"/>
        <w:rPr/>
      </w:pPr>
      <w:r>
        <w:rPr/>
      </w:r>
    </w:p>
    <w:p>
      <w:pPr>
        <w:pStyle w:val="Normal"/>
        <w:numPr>
          <w:ilvl w:val="0"/>
          <w:numId w:val="2"/>
        </w:numPr>
        <w:rPr/>
      </w:pPr>
      <w:r>
        <w:rPr/>
        <w:t xml:space="preserve">Because of these investments and other matters, Enron became over-levered.  While the poor performance of our investments was bad enough, the negative impact of these investments on the Company have been exacerbated through the extensive use of debt capital both on and off the balance sheet; </w:t>
      </w:r>
    </w:p>
    <w:p>
      <w:pPr>
        <w:pStyle w:val="Normal"/>
        <w:ind w:start="60" w:end="0"/>
        <w:rPr/>
      </w:pPr>
      <w:r>
        <w:rPr/>
      </w:r>
    </w:p>
    <w:p>
      <w:pPr>
        <w:pStyle w:val="Normal"/>
        <w:numPr>
          <w:ilvl w:val="0"/>
          <w:numId w:val="2"/>
        </w:numPr>
        <w:rPr/>
      </w:pPr>
      <w:r>
        <w:rPr/>
        <w:t>We entered into related party transactions that produced various conflicts of interest both real and perceived.  Although we put in place significant safeguards to protect Enron and its stakeholders, investors still perceived conflicts and the loss of investor confidence from these transactions has been very damaging;</w:t>
      </w:r>
    </w:p>
    <w:p>
      <w:pPr>
        <w:pStyle w:val="Normal"/>
        <w:rPr/>
      </w:pPr>
      <w:r>
        <w:rPr/>
      </w:r>
    </w:p>
    <w:p>
      <w:pPr>
        <w:pStyle w:val="Normal"/>
        <w:numPr>
          <w:ilvl w:val="0"/>
          <w:numId w:val="2"/>
        </w:numPr>
        <w:rPr/>
      </w:pPr>
      <w:r>
        <w:rPr/>
        <w:t>We have been criticized regarding the breakdown of the results of our various business activities as being opaque and difficult to understand; and</w:t>
      </w:r>
    </w:p>
    <w:p>
      <w:pPr>
        <w:pStyle w:val="Normal"/>
        <w:rPr/>
      </w:pPr>
      <w:r>
        <w:rPr/>
      </w:r>
    </w:p>
    <w:p>
      <w:pPr>
        <w:pStyle w:val="Normal"/>
        <w:numPr>
          <w:ilvl w:val="0"/>
          <w:numId w:val="2"/>
        </w:numPr>
        <w:rPr/>
      </w:pPr>
      <w:r>
        <w:rPr/>
        <w:t>On top of it all, we discovered and disclosed errors in our financial statements which will require a restatement of our previously reported financial statements.</w:t>
      </w:r>
    </w:p>
    <w:p>
      <w:pPr>
        <w:pStyle w:val="Normal"/>
        <w:rPr/>
      </w:pPr>
      <w:r>
        <w:rPr/>
      </w:r>
    </w:p>
    <w:p>
      <w:pPr>
        <w:pStyle w:val="Footer"/>
        <w:tabs>
          <w:tab w:val="clear" w:pos="4320"/>
          <w:tab w:val="clear" w:pos="8640"/>
        </w:tabs>
        <w:rPr/>
      </w:pPr>
      <w:r>
        <w:rPr/>
        <w:t>We fully understand and regret that the combination of these events has resulted in a complete loss of investor confidence.  We are fully committed to fixing the problems.</w:t>
      </w:r>
      <w:r>
        <w:rPr>
          <w:b/>
          <w:bCs/>
        </w:rPr>
        <w:t xml:space="preserve"> </w:t>
      </w:r>
      <w:r>
        <w:rPr/>
        <w:t xml:space="preserve"> We remain committed to making the difficult decisions and taking the steps necessary to collectively address all of these matters.  For instance, I have replaced the two most senior finance individuals in the company, the Chief Financial Officer and Treasurer.  I’ve asked the Board of Directors to form a Special Committee to investigate related party matters.  And that is well underway with separate outside legal counsel and outside auditors.  We want to regain your support and trust in Enron.</w:t>
      </w:r>
    </w:p>
    <w:p>
      <w:pPr>
        <w:pStyle w:val="Footer"/>
        <w:tabs>
          <w:tab w:val="clear" w:pos="4320"/>
          <w:tab w:val="clear" w:pos="8640"/>
        </w:tabs>
        <w:rPr/>
      </w:pPr>
      <w:r>
        <w:rPr/>
      </w:r>
    </w:p>
    <w:p>
      <w:pPr>
        <w:pStyle w:val="Footer"/>
        <w:tabs>
          <w:tab w:val="clear" w:pos="4320"/>
          <w:tab w:val="clear" w:pos="8640"/>
        </w:tabs>
        <w:rPr/>
      </w:pPr>
      <w:r>
        <w:rPr/>
        <w:t xml:space="preserve">Our core business is still the best franchise in the industry, as evidenced by the recent Dynegy merger announcement.  Prior to the events over the last month, our operational performance in our core businesses was at all time highs.  However, with the turbulence around the Enron name over the last month, the business has been affected.  As a result, we are changing, and have initiated an action plan for restoring our operational and financial momentum as well as regaining investor confidence – </w:t>
      </w:r>
    </w:p>
    <w:p>
      <w:pPr>
        <w:pStyle w:val="Footer"/>
        <w:tabs>
          <w:tab w:val="clear" w:pos="4320"/>
          <w:tab w:val="clear" w:pos="8640"/>
        </w:tabs>
        <w:rPr/>
      </w:pPr>
      <w:r>
        <w:rPr/>
      </w:r>
    </w:p>
    <w:p>
      <w:pPr>
        <w:pStyle w:val="Footer"/>
        <w:numPr>
          <w:ilvl w:val="0"/>
          <w:numId w:val="3"/>
        </w:numPr>
        <w:tabs>
          <w:tab w:val="clear" w:pos="4320"/>
          <w:tab w:val="clear" w:pos="8640"/>
        </w:tabs>
        <w:rPr/>
      </w:pPr>
      <w:r>
        <w:rPr/>
        <w:t>We are getting back to the basics and will focus on our core energy businesses which continue to provide significant earnings opportunities with unique competitive advantages;</w:t>
      </w:r>
    </w:p>
    <w:p>
      <w:pPr>
        <w:pStyle w:val="Footer"/>
        <w:tabs>
          <w:tab w:val="clear" w:pos="4320"/>
          <w:tab w:val="clear" w:pos="8640"/>
        </w:tabs>
        <w:rPr/>
      </w:pPr>
      <w:r>
        <w:rPr/>
        <w:t xml:space="preserve"> </w:t>
      </w:r>
    </w:p>
    <w:p>
      <w:pPr>
        <w:pStyle w:val="Footer"/>
        <w:numPr>
          <w:ilvl w:val="0"/>
          <w:numId w:val="3"/>
        </w:numPr>
        <w:tabs>
          <w:tab w:val="clear" w:pos="4320"/>
          <w:tab w:val="clear" w:pos="8640"/>
        </w:tabs>
        <w:rPr/>
      </w:pPr>
      <w:r>
        <w:rPr/>
        <w:t>We are taking aggressive steps to rationalize our cost structure;</w:t>
      </w:r>
    </w:p>
    <w:p>
      <w:pPr>
        <w:pStyle w:val="Footer"/>
        <w:tabs>
          <w:tab w:val="clear" w:pos="4320"/>
          <w:tab w:val="clear" w:pos="8640"/>
        </w:tabs>
        <w:rPr/>
      </w:pPr>
      <w:r>
        <w:rPr/>
      </w:r>
    </w:p>
    <w:p>
      <w:pPr>
        <w:pStyle w:val="Footer"/>
        <w:numPr>
          <w:ilvl w:val="0"/>
          <w:numId w:val="3"/>
        </w:numPr>
        <w:tabs>
          <w:tab w:val="clear" w:pos="4320"/>
          <w:tab w:val="clear" w:pos="8640"/>
        </w:tabs>
        <w:rPr/>
      </w:pPr>
      <w:r>
        <w:rPr/>
        <w:t>We are accelerating the process of divesting non-core businesses;</w:t>
      </w:r>
    </w:p>
    <w:p>
      <w:pPr>
        <w:pStyle w:val="Footer"/>
        <w:tabs>
          <w:tab w:val="clear" w:pos="4320"/>
          <w:tab w:val="clear" w:pos="8640"/>
        </w:tabs>
        <w:rPr/>
      </w:pPr>
      <w:r>
        <w:rPr/>
      </w:r>
    </w:p>
    <w:p>
      <w:pPr>
        <w:pStyle w:val="Footer"/>
        <w:numPr>
          <w:ilvl w:val="0"/>
          <w:numId w:val="3"/>
        </w:numPr>
        <w:tabs>
          <w:tab w:val="clear" w:pos="4320"/>
          <w:tab w:val="clear" w:pos="8640"/>
        </w:tabs>
        <w:rPr/>
      </w:pPr>
      <w:r>
        <w:rPr/>
        <w:t>We have implemented a sound financial strategy to regain our financial health and flexibility and will continue our initiatives in this regard;</w:t>
      </w:r>
    </w:p>
    <w:p>
      <w:pPr>
        <w:pStyle w:val="Footer"/>
        <w:tabs>
          <w:tab w:val="clear" w:pos="4320"/>
          <w:tab w:val="clear" w:pos="8640"/>
        </w:tabs>
        <w:rPr/>
      </w:pPr>
      <w:r>
        <w:rPr/>
      </w:r>
    </w:p>
    <w:p>
      <w:pPr>
        <w:pStyle w:val="Footer"/>
        <w:numPr>
          <w:ilvl w:val="0"/>
          <w:numId w:val="3"/>
        </w:numPr>
        <w:tabs>
          <w:tab w:val="clear" w:pos="4320"/>
          <w:tab w:val="clear" w:pos="8640"/>
        </w:tabs>
        <w:rPr/>
      </w:pPr>
      <w:r>
        <w:rPr/>
        <w:t>We are taking aggressive, sweeping action with a complete investigation by the Special Committee of the Board with respect to related party transactions;</w:t>
      </w:r>
    </w:p>
    <w:p>
      <w:pPr>
        <w:pStyle w:val="Footer"/>
        <w:tabs>
          <w:tab w:val="clear" w:pos="4320"/>
          <w:tab w:val="clear" w:pos="8640"/>
        </w:tabs>
        <w:rPr/>
      </w:pPr>
      <w:r>
        <w:rPr/>
      </w:r>
    </w:p>
    <w:p>
      <w:pPr>
        <w:pStyle w:val="Footer"/>
        <w:numPr>
          <w:ilvl w:val="0"/>
          <w:numId w:val="3"/>
        </w:numPr>
        <w:tabs>
          <w:tab w:val="clear" w:pos="4320"/>
          <w:tab w:val="clear" w:pos="8640"/>
        </w:tabs>
        <w:rPr/>
      </w:pPr>
      <w:r>
        <w:rPr/>
        <w:t xml:space="preserve">We are reviewing and strengthening our corporate governance; and finally, </w:t>
      </w:r>
    </w:p>
    <w:p>
      <w:pPr>
        <w:pStyle w:val="Footer"/>
        <w:tabs>
          <w:tab w:val="clear" w:pos="4320"/>
          <w:tab w:val="clear" w:pos="8640"/>
        </w:tabs>
        <w:rPr/>
      </w:pPr>
      <w:r>
        <w:rPr/>
      </w:r>
    </w:p>
    <w:p>
      <w:pPr>
        <w:pStyle w:val="Footer"/>
        <w:numPr>
          <w:ilvl w:val="0"/>
          <w:numId w:val="3"/>
        </w:numPr>
        <w:tabs>
          <w:tab w:val="clear" w:pos="4320"/>
          <w:tab w:val="clear" w:pos="8640"/>
        </w:tabs>
        <w:rPr/>
      </w:pPr>
      <w:r>
        <w:rPr/>
        <w:t>We will attempt to regain your confidence with our expanded disclosure initiatives and focus on transparency.</w:t>
      </w:r>
    </w:p>
    <w:p>
      <w:pPr>
        <w:pStyle w:val="Footer"/>
        <w:tabs>
          <w:tab w:val="clear" w:pos="4320"/>
          <w:tab w:val="clear" w:pos="8640"/>
        </w:tabs>
        <w:rPr/>
      </w:pPr>
      <w:r>
        <w:rPr/>
      </w:r>
    </w:p>
    <w:p>
      <w:pPr>
        <w:pStyle w:val="Footer"/>
        <w:tabs>
          <w:tab w:val="clear" w:pos="4320"/>
          <w:tab w:val="clear" w:pos="8640"/>
        </w:tabs>
        <w:rPr/>
      </w:pPr>
      <w:r>
        <w:rPr/>
        <w:t>To lead the company through this period of transformation, Greg Whalley, our President and Chief Operating Officer, will be responsible for focusing the business in the right markets and areas and Jeff McMahon, Chief Financial Officer, will be responsible for restructuring the financial position of the company.</w:t>
      </w:r>
    </w:p>
    <w:p>
      <w:pPr>
        <w:pStyle w:val="Footer"/>
        <w:tabs>
          <w:tab w:val="clear" w:pos="4320"/>
          <w:tab w:val="clear" w:pos="8640"/>
        </w:tabs>
        <w:rPr/>
      </w:pPr>
      <w:r>
        <w:rPr/>
      </w:r>
    </w:p>
    <w:p>
      <w:pPr>
        <w:pStyle w:val="Footer"/>
        <w:tabs>
          <w:tab w:val="clear" w:pos="4320"/>
          <w:tab w:val="clear" w:pos="8640"/>
        </w:tabs>
        <w:rPr/>
      </w:pPr>
      <w:r>
        <w:rPr/>
        <w:t>Together – Greg, Jeff and I along with many of our other colleagues will do everything in our power to rebuild investor confidence.</w:t>
      </w:r>
    </w:p>
    <w:p>
      <w:pPr>
        <w:pStyle w:val="Footer"/>
        <w:tabs>
          <w:tab w:val="clear" w:pos="4320"/>
          <w:tab w:val="clear" w:pos="8640"/>
        </w:tabs>
        <w:rPr/>
      </w:pPr>
      <w:r>
        <w:rPr/>
      </w:r>
    </w:p>
    <w:p>
      <w:pPr>
        <w:pStyle w:val="Normal"/>
        <w:rPr/>
      </w:pPr>
      <w:r>
        <w:rPr/>
        <w:t xml:space="preserve">I’m sure you have plenty of questions as I have merely provided the broad strokes for where we are taking the company and let me assure you that there will be plenty of time for your questions.    </w:t>
      </w:r>
    </w:p>
    <w:p>
      <w:pPr>
        <w:pStyle w:val="Normal"/>
        <w:rPr/>
      </w:pPr>
      <w:r>
        <w:rPr/>
      </w:r>
    </w:p>
    <w:p>
      <w:pPr>
        <w:pStyle w:val="Normal"/>
        <w:rPr/>
      </w:pPr>
      <w:r>
        <w:rPr/>
        <w:t xml:space="preserve">I would now like to ask our President and Chief Operating Officer, Greg Whalley, to update you on the business.  </w:t>
      </w:r>
    </w:p>
    <w:p>
      <w:pPr>
        <w:pStyle w:val="Normal"/>
        <w:rPr/>
      </w:pPr>
      <w:r>
        <w:rPr/>
      </w:r>
    </w:p>
    <w:p>
      <w:pPr>
        <w:pStyle w:val="Normal"/>
        <w:rPr>
          <w:vanish/>
          <w:u w:val="single"/>
        </w:rPr>
      </w:pPr>
      <w:r>
        <w:rPr>
          <w:vanish/>
          <w:u w:val="single"/>
        </w:rPr>
      </w:r>
    </w:p>
    <w:p>
      <w:pPr>
        <w:pStyle w:val="Normal"/>
        <w:rPr/>
      </w:pPr>
      <w:r>
        <w:rPr>
          <w:u w:val="single"/>
        </w:rPr>
        <w:t>Greg Whalley</w:t>
      </w:r>
      <w:r>
        <w:rPr/>
        <w:t>:</w:t>
      </w:r>
    </w:p>
    <w:p>
      <w:pPr>
        <w:pStyle w:val="Footer"/>
        <w:tabs>
          <w:tab w:val="clear" w:pos="4320"/>
          <w:tab w:val="clear" w:pos="8640"/>
        </w:tabs>
        <w:rPr/>
      </w:pPr>
      <w:r>
        <w:rPr/>
      </w:r>
    </w:p>
    <w:p>
      <w:pPr>
        <w:pStyle w:val="Normal"/>
        <w:rPr/>
      </w:pPr>
      <w:r>
        <w:rPr/>
        <w:t>Thank you, Ken.  I would like to provide you with an overview and assessment of where we are with the business today.</w:t>
      </w:r>
    </w:p>
    <w:p>
      <w:pPr>
        <w:pStyle w:val="Normal"/>
        <w:rPr/>
      </w:pPr>
      <w:r>
        <w:rPr/>
      </w:r>
    </w:p>
    <w:p>
      <w:pPr>
        <w:pStyle w:val="Normal"/>
        <w:rPr/>
      </w:pPr>
      <w:r>
        <w:rPr/>
        <w:t>First of all, we have broken Enron down into three fundamental groups of businesses –  Core, Non-Core and those businesses which we currently consider Under Review.  Let me explain what falls into each category:</w:t>
      </w:r>
    </w:p>
    <w:p>
      <w:pPr>
        <w:pStyle w:val="Normal"/>
        <w:rPr/>
      </w:pPr>
      <w:r>
        <w:rPr/>
        <w:t xml:space="preserve"> </w:t>
      </w:r>
    </w:p>
    <w:p>
      <w:pPr>
        <w:pStyle w:val="Normal"/>
        <w:numPr>
          <w:ilvl w:val="0"/>
          <w:numId w:val="6"/>
        </w:numPr>
        <w:rPr/>
      </w:pPr>
      <w:r>
        <w:rPr>
          <w:b/>
          <w:bCs/>
        </w:rPr>
        <w:t>Core Businesses</w:t>
      </w:r>
      <w:r>
        <w:rPr/>
        <w:t xml:space="preserve"> are our consistent franchise businesses in which we believe Enron has a distinct competitive advantage.  These businesses, collectively, generate significant earnings and cash flows for the company.  They include – </w:t>
      </w:r>
    </w:p>
    <w:p>
      <w:pPr>
        <w:pStyle w:val="Normal"/>
        <w:rPr/>
      </w:pPr>
      <w:r>
        <w:rPr/>
      </w:r>
    </w:p>
    <w:p>
      <w:pPr>
        <w:pStyle w:val="Normal"/>
        <w:numPr>
          <w:ilvl w:val="1"/>
          <w:numId w:val="6"/>
        </w:numPr>
        <w:rPr/>
      </w:pPr>
      <w:r>
        <w:rPr/>
        <w:t>Our natural gas pipelines;</w:t>
      </w:r>
    </w:p>
    <w:p>
      <w:pPr>
        <w:pStyle w:val="Normal"/>
        <w:numPr>
          <w:ilvl w:val="1"/>
          <w:numId w:val="6"/>
        </w:numPr>
        <w:rPr/>
      </w:pPr>
      <w:r>
        <w:rPr/>
        <w:t>Our gas &amp; power businesses in North America &amp; Europe;</w:t>
      </w:r>
    </w:p>
    <w:p>
      <w:pPr>
        <w:pStyle w:val="Normal"/>
        <w:numPr>
          <w:ilvl w:val="1"/>
          <w:numId w:val="6"/>
        </w:numPr>
        <w:rPr/>
      </w:pPr>
      <w:r>
        <w:rPr/>
        <w:t xml:space="preserve">Our retail businesses in North America and Europe; and our </w:t>
      </w:r>
    </w:p>
    <w:p>
      <w:pPr>
        <w:pStyle w:val="Normal"/>
        <w:numPr>
          <w:ilvl w:val="1"/>
          <w:numId w:val="6"/>
        </w:numPr>
        <w:rPr/>
      </w:pPr>
      <w:r>
        <w:rPr/>
        <w:t>coal businesses;</w:t>
      </w:r>
    </w:p>
    <w:p>
      <w:pPr>
        <w:pStyle w:val="Normal"/>
        <w:rPr/>
      </w:pPr>
      <w:r>
        <w:rPr/>
      </w:r>
    </w:p>
    <w:p>
      <w:pPr>
        <w:pStyle w:val="Normal"/>
        <w:numPr>
          <w:ilvl w:val="0"/>
          <w:numId w:val="6"/>
        </w:numPr>
        <w:rPr/>
      </w:pPr>
      <w:r>
        <w:rPr/>
        <w:t>Our</w:t>
      </w:r>
      <w:r>
        <w:rPr>
          <w:b/>
          <w:bCs/>
        </w:rPr>
        <w:t xml:space="preserve"> Non-Core</w:t>
      </w:r>
      <w:r>
        <w:rPr/>
        <w:t xml:space="preserve"> businesses are businesses which do not provide value to our core businesses.  These primarily are part of our global assets segment and our broadband division.  We have over $8 billion invested in these businesses and the return from these businesses and investments is dismal.  Accordingly, we plan to exit these businesses in an orderly fashion and expect that the sale of these non-core businesses will generate billions of dollars of cash that Enron will use to repay debt and redeploy into its core businesses.</w:t>
      </w:r>
    </w:p>
    <w:p>
      <w:pPr>
        <w:pStyle w:val="Normal"/>
        <w:rPr/>
      </w:pPr>
      <w:r>
        <w:rPr/>
      </w:r>
    </w:p>
    <w:p>
      <w:pPr>
        <w:pStyle w:val="Normal"/>
        <w:numPr>
          <w:ilvl w:val="0"/>
          <w:numId w:val="6"/>
        </w:numPr>
        <w:rPr/>
      </w:pPr>
      <w:r>
        <w:rPr>
          <w:b/>
          <w:bCs/>
        </w:rPr>
        <w:t>Businesses Under Review</w:t>
      </w:r>
      <w:r>
        <w:rPr/>
        <w:t xml:space="preserve"> are the businesses that we believe have strong future prospects, however, under the current environment, we will look closely at each of these businesses, the capital requirements and near-term growth prospects of these businesses both in terms of earnings and cash generation.  These businesses are primarily our wholesale businesses outside of gas and power and include both energy-related and as well as our industrial markets activities.  With respect to these businesses, we are performing an in-depth assessment of each business and we will be making determinations quickly about the resources that we intend to expend in these areas and exactly what the prospects are for each of these businesses.</w:t>
      </w:r>
    </w:p>
    <w:p>
      <w:pPr>
        <w:pStyle w:val="Normal"/>
        <w:rPr/>
      </w:pPr>
      <w:r>
        <w:rPr/>
      </w:r>
    </w:p>
    <w:p>
      <w:pPr>
        <w:pStyle w:val="Normal"/>
        <w:rPr/>
      </w:pPr>
      <w:r>
        <w:rPr/>
        <w:t xml:space="preserve">Now I would like to provide you with an update on our energy businesses which include gas, power and coal in North America and Europe.  Our recent events have caused what I believe to be a temporary, but negative, impact on our projected fourth quarter profitability.  We are only about half way through the quarter, so it is too early to tell exactly what the impact this difficult market will have on our operating results.  Additionally, the quarter is likely to be negatively impacted by severance costs and other restructuring costs resulting from our repositioning of many of the businesses.  It is important to understand that we are considering these actions now in order to help us swiftly return to normal business in 2002.  </w:t>
      </w:r>
    </w:p>
    <w:p>
      <w:pPr>
        <w:pStyle w:val="Normal"/>
        <w:rPr/>
      </w:pPr>
      <w:r>
        <w:rPr/>
      </w:r>
    </w:p>
    <w:p>
      <w:pPr>
        <w:pStyle w:val="Normal"/>
        <w:rPr/>
      </w:pPr>
      <w:r>
        <w:rPr/>
        <w:t xml:space="preserve">I remain optimistic that the actions that we have taken over the past few weeks have substantially answered the credit and liquidity questions that our counterparties may have had.  While working with counterparties has been difficult recently, especially last week, we have seen improvement in our relationships with our counterparties and their willingness to transact with us as we have moved through this week.  Our current transaction levels, while lower than the recent averages, have remained strong and there seems to be growing acceptance to our stability. </w:t>
      </w:r>
    </w:p>
    <w:p>
      <w:pPr>
        <w:pStyle w:val="Normal"/>
        <w:rPr/>
      </w:pPr>
      <w:r>
        <w:rPr/>
        <w:t xml:space="preserve"> </w:t>
      </w:r>
    </w:p>
    <w:p>
      <w:pPr>
        <w:pStyle w:val="Normal"/>
        <w:rPr/>
      </w:pPr>
      <w:r>
        <w:rPr/>
        <w:t>For the status of our non-core businesses.  This group of businesses principally consists of our international assets held by the Global Assets segment and Broadband business together which have a book value of over $8.0 billion.  We have an aggressive program in place to divest these assets and our intention is to use the proceeds from these businesses and from the sale of these assets to repay outstanding debt and redeploy into our core businesses.  We have over $800 million in assets already contracted for sale to respective third parties that are expected to close in the fourth quarter of 2001.  Also, Portland General, a $2.9 billion sale is also contracted for sale and is targeted to close in late 2002 pending various regulatory approvals.  As for the remaining businesses, as I mentioned, they are under review and we will be assessing our approach towards these businesses in the coming weeks.</w:t>
      </w:r>
    </w:p>
    <w:p>
      <w:pPr>
        <w:pStyle w:val="Normal"/>
        <w:rPr/>
      </w:pPr>
      <w:r>
        <w:rPr/>
      </w:r>
    </w:p>
    <w:p>
      <w:pPr>
        <w:pStyle w:val="Normal"/>
        <w:rPr/>
      </w:pPr>
      <w:r>
        <w:rPr/>
        <w:t xml:space="preserve">Now I’d like to turn the call over to our Chief Financial Officer, Jeff McMahon, to provide you with a financial update.  </w:t>
      </w:r>
    </w:p>
    <w:p>
      <w:pPr>
        <w:pStyle w:val="Normal"/>
        <w:rPr/>
      </w:pPr>
      <w:r>
        <w:rPr/>
      </w:r>
    </w:p>
    <w:p>
      <w:pPr>
        <w:pStyle w:val="Normal"/>
        <w:rPr/>
      </w:pPr>
      <w:r>
        <w:rPr>
          <w:u w:val="single"/>
        </w:rPr>
        <w:t>Jeff McMahon</w:t>
      </w:r>
      <w:r>
        <w:rPr/>
        <w:t>:</w:t>
      </w:r>
    </w:p>
    <w:p>
      <w:pPr>
        <w:pStyle w:val="Footer"/>
        <w:tabs>
          <w:tab w:val="clear" w:pos="4320"/>
          <w:tab w:val="clear" w:pos="8640"/>
        </w:tabs>
        <w:rPr/>
      </w:pPr>
      <w:r>
        <w:rPr/>
      </w:r>
    </w:p>
    <w:p>
      <w:pPr>
        <w:pStyle w:val="Normal"/>
        <w:rPr/>
      </w:pPr>
      <w:r>
        <w:rPr/>
        <w:t>Thanks Greg.  I would first like to take you through an in-depth assessment of  our current financial position.</w:t>
      </w:r>
    </w:p>
    <w:p>
      <w:pPr>
        <w:pStyle w:val="Normal"/>
        <w:rPr/>
      </w:pPr>
      <w:r>
        <w:rPr/>
      </w:r>
    </w:p>
    <w:p>
      <w:pPr>
        <w:pStyle w:val="Normal"/>
        <w:rPr/>
      </w:pPr>
      <w:r>
        <w:rPr/>
        <w:t xml:space="preserve">First of all, I am going to provide you with an overview of our liquidity situation which is currently our most acute financial issue.  </w:t>
      </w:r>
    </w:p>
    <w:p>
      <w:pPr>
        <w:pStyle w:val="xl26"/>
        <w:pBdr>
          <w:left w:val="nil"/>
        </w:pBdr>
        <w:spacing w:before="0" w:after="0"/>
        <w:rPr>
          <w:rFonts w:eastAsia="Times New Roman"/>
          <w:szCs w:val="20"/>
        </w:rPr>
      </w:pPr>
      <w:r>
        <w:rPr>
          <w:rFonts w:eastAsia="Times New Roman"/>
          <w:szCs w:val="20"/>
        </w:rPr>
      </w:r>
    </w:p>
    <w:p>
      <w:pPr>
        <w:pStyle w:val="Normal"/>
        <w:rPr/>
      </w:pPr>
      <w:r>
        <w:rPr/>
        <w:t>We have recently taken a number of steps to assure our customers that we can fulfill our commitments in the ordinary course of business during this period of investor uncertainty:</w:t>
      </w:r>
    </w:p>
    <w:p>
      <w:pPr>
        <w:pStyle w:val="Normal"/>
        <w:rPr/>
      </w:pPr>
      <w:r>
        <w:rPr/>
      </w:r>
    </w:p>
    <w:p>
      <w:pPr>
        <w:pStyle w:val="Normal"/>
        <w:numPr>
          <w:ilvl w:val="0"/>
          <w:numId w:val="4"/>
        </w:numPr>
        <w:rPr/>
      </w:pPr>
      <w:r>
        <w:rPr/>
        <w:t xml:space="preserve">First of all, three weeks ago, we drew $3 billion on our committed lines of credit and used those proceeds to redeem Enron commercial paper.  This gave us much more confidence in our access to daily liquidity by eliminating the execution risk of funding in the commercial paper market each day as investors were questioning our financial condition; </w:t>
      </w:r>
    </w:p>
    <w:p>
      <w:pPr>
        <w:pStyle w:val="Normal"/>
        <w:ind w:start="360" w:end="0"/>
        <w:rPr/>
      </w:pPr>
      <w:r>
        <w:rPr/>
      </w:r>
    </w:p>
    <w:p>
      <w:pPr>
        <w:pStyle w:val="Normal"/>
        <w:numPr>
          <w:ilvl w:val="0"/>
          <w:numId w:val="4"/>
        </w:numPr>
        <w:rPr/>
      </w:pPr>
      <w:r>
        <w:rPr/>
        <w:t>Then, a week ago, we announced the signing of commitment letters for $1.0 billion of secured credit lines with JP Morgan/Chase and Citigroup.  These proceeds will be used to further supplement short-term liquidity from the committed lines of credit previously mentioned and to refinance maturing obligations.  Clearly, our borrowing on a secured basis is not a preferred way to go.  But our goal is to rapidly restore investor and customer confidence.  Then, we intend to return to our normal capital program as quickly as possible thereby eliminating the need for the secured facility;</w:t>
      </w:r>
    </w:p>
    <w:p>
      <w:pPr>
        <w:pStyle w:val="Normal"/>
        <w:ind w:start="360" w:end="0"/>
        <w:rPr/>
      </w:pPr>
      <w:r>
        <w:rPr/>
      </w:r>
    </w:p>
    <w:p>
      <w:pPr>
        <w:pStyle w:val="Normal"/>
        <w:numPr>
          <w:ilvl w:val="0"/>
          <w:numId w:val="4"/>
        </w:numPr>
        <w:rPr/>
      </w:pPr>
      <w:r>
        <w:rPr/>
        <w:t>As you know, yesterday, we received $1.5 billion in equity from Dynegy, as part of the recently announced Merger Agreement;</w:t>
      </w:r>
    </w:p>
    <w:p>
      <w:pPr>
        <w:pStyle w:val="Normal"/>
        <w:ind w:start="360" w:end="0"/>
        <w:rPr/>
      </w:pPr>
      <w:r>
        <w:rPr/>
      </w:r>
    </w:p>
    <w:p>
      <w:pPr>
        <w:pStyle w:val="Normal"/>
        <w:numPr>
          <w:ilvl w:val="0"/>
          <w:numId w:val="4"/>
        </w:numPr>
        <w:rPr/>
      </w:pPr>
      <w:r>
        <w:rPr/>
        <w:t xml:space="preserve">And, adding to our near-term liquidity profile are over $800 million in asset sales scheduled to close by year-end as Greg just mentioned.  These include $250 million associated with CEG Rio, a gas local distribution company in Brazil, $266 million for EcoElectrica, a power plant and LNG receiving terminal in Puerto Rico, and $332 million from the sale of certain oil and gas properties that we own offshore in India;  </w:t>
      </w:r>
    </w:p>
    <w:p>
      <w:pPr>
        <w:pStyle w:val="Normal"/>
        <w:ind w:start="360" w:end="0"/>
        <w:rPr/>
      </w:pPr>
      <w:r>
        <w:rPr/>
      </w:r>
    </w:p>
    <w:p>
      <w:pPr>
        <w:pStyle w:val="Normal"/>
        <w:numPr>
          <w:ilvl w:val="0"/>
          <w:numId w:val="4"/>
        </w:numPr>
        <w:rPr/>
      </w:pPr>
      <w:r>
        <w:rPr/>
        <w:t>In addition, we have also engaged in discussions with various institutions interested in investing in Enron equity.  We are diligently pursuing a program to raise an incremental $500 million to $1 billion of private equity from these sources in the near future;</w:t>
      </w:r>
    </w:p>
    <w:p>
      <w:pPr>
        <w:pStyle w:val="Normal"/>
        <w:rPr/>
      </w:pPr>
      <w:r>
        <w:rPr/>
      </w:r>
    </w:p>
    <w:p>
      <w:pPr>
        <w:pStyle w:val="Normal"/>
        <w:numPr>
          <w:ilvl w:val="0"/>
          <w:numId w:val="4"/>
        </w:numPr>
        <w:rPr/>
      </w:pPr>
      <w:r>
        <w:rPr/>
        <w:t xml:space="preserve">Finally, on a longer-term basis, the liquidity and financial profile of Enron will be greatly enhanced from our previously announced sale of Portland General which will result in approximately $1.8 billion in cash proceeds as well as the transfer of $1.1 billion in related debt to the buyer.  This sale is scheduled to close late next year.   Furthermore, additional non-core asset sales will occur over the next several months providing us with additional opportunity to de-lever the Company.  </w:t>
      </w:r>
    </w:p>
    <w:p>
      <w:pPr>
        <w:pStyle w:val="Footer"/>
        <w:tabs>
          <w:tab w:val="clear" w:pos="4320"/>
          <w:tab w:val="clear" w:pos="8640"/>
        </w:tabs>
        <w:rPr/>
      </w:pPr>
      <w:r>
        <w:rPr/>
      </w:r>
    </w:p>
    <w:p>
      <w:pPr>
        <w:pStyle w:val="Normal"/>
        <w:rPr/>
      </w:pPr>
      <w:r>
        <w:rPr/>
        <w:t>Now let me move on to the credit rating of Enron.  We believe the liquidity enhancements and scheduled asset sales will strengthen our balance sheet eventually and help maintain our investment grade rating.  We continue to meet regularly with all three credit rating agencies.   The concerns that are expressed by the agencies can be addressed in the short run as further progress pertaining to debt refinancings and asset sales becomes demonstrated.</w:t>
      </w:r>
    </w:p>
    <w:p>
      <w:pPr>
        <w:pStyle w:val="Normal"/>
        <w:rPr/>
      </w:pPr>
      <w:r>
        <w:rPr/>
        <w:t>An update on the current ratings by the rating agencies:</w:t>
      </w:r>
    </w:p>
    <w:p>
      <w:pPr>
        <w:pStyle w:val="Normal"/>
        <w:rPr/>
      </w:pPr>
      <w:r>
        <w:rPr/>
      </w:r>
    </w:p>
    <w:p>
      <w:pPr>
        <w:pStyle w:val="Normal"/>
        <w:numPr>
          <w:ilvl w:val="0"/>
          <w:numId w:val="5"/>
        </w:numPr>
        <w:rPr/>
      </w:pPr>
      <w:r>
        <w:rPr/>
        <w:t>Moody’s has us rated at Baa3 “Under Review for Further Downgrade”,</w:t>
      </w:r>
    </w:p>
    <w:p>
      <w:pPr>
        <w:pStyle w:val="Normal"/>
        <w:numPr>
          <w:ilvl w:val="0"/>
          <w:numId w:val="5"/>
        </w:numPr>
        <w:rPr/>
      </w:pPr>
      <w:r>
        <w:rPr/>
        <w:t>Fitch at BBB- “Evolving” Outlook; and</w:t>
      </w:r>
    </w:p>
    <w:p>
      <w:pPr>
        <w:pStyle w:val="Normal"/>
        <w:numPr>
          <w:ilvl w:val="0"/>
          <w:numId w:val="5"/>
        </w:numPr>
        <w:rPr/>
      </w:pPr>
      <w:r>
        <w:rPr/>
        <w:t>Standard &amp; Poors at BBB-  “CreditWatch Negative”.</w:t>
      </w:r>
    </w:p>
    <w:p>
      <w:pPr>
        <w:pStyle w:val="Footer"/>
        <w:tabs>
          <w:tab w:val="clear" w:pos="4320"/>
          <w:tab w:val="clear" w:pos="8640"/>
        </w:tabs>
        <w:rPr/>
      </w:pPr>
      <w:r>
        <w:rPr/>
      </w:r>
    </w:p>
    <w:p>
      <w:pPr>
        <w:pStyle w:val="Footer"/>
        <w:tabs>
          <w:tab w:val="clear" w:pos="4320"/>
          <w:tab w:val="clear" w:pos="8640"/>
        </w:tabs>
        <w:rPr/>
      </w:pPr>
      <w:r>
        <w:rPr/>
        <w:t xml:space="preserve">Also I’ll comment on the bank and capital market situation for Enron.  Now that we have stabilized our liquidity profile by all the above mentioned items, we will, beginning with this call, attempt to mitigate investor concerns associated with our overall financial position as well as certain financial arrangements that we have entered into over the past several years.  I believe that once everyone fully understands these arrangements and the related repayment plan, their concerns will be diminished and we will be able to return to a more normalized bank and capital markets funding program.  </w:t>
      </w:r>
    </w:p>
    <w:p>
      <w:pPr>
        <w:pStyle w:val="Normal"/>
        <w:rPr/>
      </w:pPr>
      <w:r>
        <w:rPr/>
      </w:r>
    </w:p>
    <w:p>
      <w:pPr>
        <w:pStyle w:val="Normal"/>
        <w:jc w:val="both"/>
        <w:rPr/>
      </w:pPr>
      <w:r>
        <w:rPr/>
        <w:t xml:space="preserve">So with that, let me turn the attention of the call for a few minutes to three of our existing financing vehicles, namely Osprey, Marlin, and the Credit Link Note Program that we have previously discussed and disclosed in Enron’s financial statements.  There has been a significant amount of discussion about these financings, and I want to take the time to make sure that everyone has all the facts available to them.  For each of these financings, I am going to start by telling you what they are, why they were done, how they were intended to work and </w:t>
      </w:r>
      <w:r>
        <w:rPr>
          <w:b/>
          <w:bCs/>
        </w:rPr>
        <w:t>very simply and straight forward</w:t>
      </w:r>
      <w:r>
        <w:rPr/>
        <w:t xml:space="preserve"> what the impact we expect these financings can have on Enron going forward.</w:t>
      </w:r>
    </w:p>
    <w:p>
      <w:pPr>
        <w:pStyle w:val="Normal"/>
        <w:jc w:val="both"/>
        <w:rPr>
          <w:b/>
          <w:bCs/>
        </w:rPr>
      </w:pPr>
      <w:r>
        <w:rPr>
          <w:b/>
          <w:bCs/>
        </w:rPr>
      </w:r>
    </w:p>
    <w:p>
      <w:pPr>
        <w:pStyle w:val="Normal"/>
        <w:jc w:val="both"/>
        <w:rPr/>
      </w:pPr>
      <w:r>
        <w:rPr/>
        <w:t>Let’s begin with the Marlin structure.  Marlin is a trust owned by institutional investors that was formed for the purpose of investing in the Atlantic Water Trust, which is an entity formed by Enron and Marlin for the purpose of acquiring Azurix which holds the water business of Enron.  Marlin was capitalized originally by issuing $915 million of 144a debt and $125 million of equity.  The Marlin debt is supported by the assets of Azurix and a contingent obligation of Enron to issue additional equity to repay the 144a debt if the assets of Azurix are insufficient to do so.  That is what I would call the Enron “top up” obligation.</w:t>
      </w:r>
    </w:p>
    <w:p>
      <w:pPr>
        <w:pStyle w:val="Normal"/>
        <w:jc w:val="both"/>
        <w:rPr/>
      </w:pPr>
      <w:r>
        <w:rPr/>
      </w:r>
    </w:p>
    <w:p>
      <w:pPr>
        <w:pStyle w:val="Normal"/>
        <w:jc w:val="both"/>
        <w:rPr/>
      </w:pPr>
      <w:r>
        <w:rPr/>
        <w:t>The notes are due July 15, 2003; however, they must be defeased 120 days prior, which is March 17, 2003, unless an acceleration event occurs which would make the maturities more current if Enron was downgraded to a below investment grade credit rating by one major rating agency.  There has been lots of discussion around this financing, but it really is straight-forward.</w:t>
      </w:r>
    </w:p>
    <w:p>
      <w:pPr>
        <w:pStyle w:val="Normal"/>
        <w:jc w:val="both"/>
        <w:rPr/>
      </w:pPr>
      <w:r>
        <w:rPr/>
        <w:t>.</w:t>
      </w:r>
    </w:p>
    <w:p>
      <w:pPr>
        <w:pStyle w:val="Normal"/>
        <w:jc w:val="both"/>
        <w:rPr/>
      </w:pPr>
      <w:r>
        <w:rPr/>
        <w:t>The primary asset of Azurix is Wessex, a regulated water utility in the UK.  If at maturity, Wessex is worth $2.6 billion, there is no top up obligation for Enron or any additional impact on Enron’s financial statements.  Now to give you a little sensitivity of that, if Wessex is worth $1.9 billion at maturity which is a 25% haircut to that earlier number, then there will be a $650 million impact to Enron’s income, equity and cash related to the top up obligation.  So that is Marlin.</w:t>
      </w:r>
    </w:p>
    <w:p>
      <w:pPr>
        <w:pStyle w:val="Normal"/>
        <w:jc w:val="both"/>
        <w:rPr>
          <w:b/>
          <w:bCs/>
        </w:rPr>
      </w:pPr>
      <w:r>
        <w:rPr>
          <w:b/>
          <w:bCs/>
        </w:rPr>
      </w:r>
    </w:p>
    <w:p>
      <w:pPr>
        <w:pStyle w:val="Normal"/>
        <w:jc w:val="both"/>
        <w:rPr/>
      </w:pPr>
      <w:r>
        <w:rPr/>
        <w:t xml:space="preserve">Let me just address Osprey briefly.  The Osprey transaction relates to another financing where Osprey is an investor in a joint venture formed by Enron and outside institutional investors to acquire and own certain energy-related assets and other assets.  Osprey was capitalized originally by issuing $2.4 billion of 144a debt and $220 million of equity.   This is basically an asset-backed financing again with a top up obligation by Enron. </w:t>
      </w:r>
    </w:p>
    <w:p>
      <w:pPr>
        <w:pStyle w:val="Normal"/>
        <w:jc w:val="both"/>
        <w:rPr/>
      </w:pPr>
      <w:r>
        <w:rPr/>
      </w:r>
    </w:p>
    <w:p>
      <w:pPr>
        <w:pStyle w:val="Normal"/>
        <w:jc w:val="both"/>
        <w:rPr/>
      </w:pPr>
      <w:r>
        <w:rPr/>
        <w:t>Now, the Osprey debt is supported by three things, 1) the assets within the vehicle, 2) Enron convertible preferred stock which converts into 50 million common shares of Enron and 3) a contingent obligation of Enron to issue additional shares if needed to satisfy the debt obligations if the assets and the preferred stock are insufficient to retire the 144a debt at maturity.  So that’s the structure of Osprey.</w:t>
      </w:r>
    </w:p>
    <w:p>
      <w:pPr>
        <w:pStyle w:val="Normal"/>
        <w:jc w:val="both"/>
        <w:rPr/>
      </w:pPr>
      <w:r>
        <w:rPr/>
      </w:r>
    </w:p>
    <w:p>
      <w:pPr>
        <w:pStyle w:val="Normal"/>
        <w:jc w:val="both"/>
        <w:rPr/>
      </w:pPr>
      <w:r>
        <w:rPr/>
        <w:t>Now what’s the</w:t>
      </w:r>
      <w:r>
        <w:rPr>
          <w:b/>
          <w:bCs/>
        </w:rPr>
        <w:t xml:space="preserve"> </w:t>
      </w:r>
      <w:r>
        <w:rPr/>
        <w:t>current status of the financing.  Well, if</w:t>
      </w:r>
      <w:r>
        <w:rPr>
          <w:b/>
          <w:bCs/>
        </w:rPr>
        <w:t xml:space="preserve"> </w:t>
      </w:r>
      <w:r>
        <w:rPr/>
        <w:t>at maturity, the assets are valued using the 25% haircut to book value, this would result in an approximate $600 million incremental use of cash by Enron and a corresponding reduction in income and equity related to the top up obligation.  Additionally, the liquidation of the vehicle would result in the retirement of the original $1 billion preferred stock issued to the vehicle at the origination which is currently on our balance sheet.</w:t>
      </w:r>
    </w:p>
    <w:p>
      <w:pPr>
        <w:pStyle w:val="Normal"/>
        <w:jc w:val="both"/>
        <w:rPr/>
      </w:pPr>
      <w:r>
        <w:rPr/>
      </w:r>
    </w:p>
    <w:p>
      <w:pPr>
        <w:pStyle w:val="Normal"/>
        <w:jc w:val="both"/>
        <w:rPr/>
      </w:pPr>
      <w:r>
        <w:rPr/>
        <w:t>These notes are due January 15, 2003; and like Marlin, need to be defeased 120 days prior to that which is September 17, 2002 and also like Marlin unless an acceleration event occurs related to a below investment grade credit rating by one major rating agency.</w:t>
      </w:r>
    </w:p>
    <w:p>
      <w:pPr>
        <w:pStyle w:val="Normal"/>
        <w:jc w:val="both"/>
        <w:rPr/>
      </w:pPr>
      <w:r>
        <w:rPr/>
      </w:r>
    </w:p>
    <w:p>
      <w:pPr>
        <w:pStyle w:val="Normal"/>
        <w:rPr/>
      </w:pPr>
      <w:r>
        <w:rPr/>
        <w:t xml:space="preserve">Finally, on the financings, I wanted to address Yosemite and the Credit-Link Note Program.  There’s also been considerable confusion in the media I believe regarding these structures – Yosemite and the Enron Credit Linked Notes.  </w:t>
      </w:r>
    </w:p>
    <w:p>
      <w:pPr>
        <w:pStyle w:val="Normal"/>
        <w:rPr/>
      </w:pPr>
      <w:r>
        <w:rPr/>
        <w:t xml:space="preserve">These instruments are really effectively the same and allow for certain of Enron’s on balance sheet bank obligations to be transferred from the bank market into the capital market.  These transactions are predominantly related to commodity transactions entered into with large financial institutions.  As I said, the underlying obligations are reflected on Enron’s balance sheet.    </w:t>
      </w:r>
    </w:p>
    <w:p>
      <w:pPr>
        <w:pStyle w:val="Footer"/>
        <w:tabs>
          <w:tab w:val="clear" w:pos="4320"/>
          <w:tab w:val="clear" w:pos="8640"/>
        </w:tabs>
        <w:rPr/>
      </w:pPr>
      <w:r>
        <w:rPr/>
      </w:r>
    </w:p>
    <w:p>
      <w:pPr>
        <w:pStyle w:val="Normal"/>
        <w:rPr/>
      </w:pPr>
      <w:r>
        <w:rPr/>
        <w:t xml:space="preserve">Now on all these, the rating agencies,  two of our lead banks who have worked with us closely over the last several weeks through this crisis and Dynegy have reviewed all of these obligations and structures in detail and have factored these obligations into their respective valuations and analyses.  </w:t>
      </w:r>
    </w:p>
    <w:p>
      <w:pPr>
        <w:pStyle w:val="Normal"/>
        <w:rPr/>
      </w:pPr>
      <w:r>
        <w:rPr/>
      </w:r>
    </w:p>
    <w:p>
      <w:pPr>
        <w:pStyle w:val="Normal"/>
        <w:rPr/>
      </w:pPr>
      <w:r>
        <w:rPr/>
        <w:t>And, just one final item before I turn it back to Ken, with everything that has occurred over the last week or two, we will be filing our third quarter Form 10-Q five days late, which will include all the details that we discussed today as well as any other current events that need to be talked about.</w:t>
      </w:r>
    </w:p>
    <w:p>
      <w:pPr>
        <w:pStyle w:val="Normal"/>
        <w:rPr/>
      </w:pPr>
      <w:r>
        <w:rPr/>
      </w:r>
    </w:p>
    <w:p>
      <w:pPr>
        <w:pStyle w:val="Normal"/>
        <w:rPr/>
      </w:pPr>
      <w:r>
        <w:rPr/>
        <w:t>And with that, let me turn it back to Ken.</w:t>
      </w:r>
    </w:p>
    <w:p>
      <w:pPr>
        <w:pStyle w:val="Normal"/>
        <w:rPr/>
      </w:pPr>
      <w:r>
        <w:rPr/>
      </w:r>
    </w:p>
    <w:p>
      <w:pPr>
        <w:pStyle w:val="xl33"/>
        <w:spacing w:before="0" w:after="0"/>
        <w:rPr/>
      </w:pPr>
      <w:r>
        <w:rPr>
          <w:rFonts w:eastAsia="Times New Roman"/>
          <w:szCs w:val="20"/>
        </w:rPr>
        <w:t>Ken Lay</w:t>
      </w:r>
      <w:r>
        <w:rPr>
          <w:rFonts w:eastAsia="Times New Roman"/>
          <w:szCs w:val="20"/>
          <w:u w:val="none"/>
        </w:rPr>
        <w:t>:</w:t>
      </w:r>
    </w:p>
    <w:p>
      <w:pPr>
        <w:pStyle w:val="Normal"/>
        <w:rPr>
          <w:rFonts w:eastAsia="Times New Roman"/>
          <w:szCs w:val="20"/>
          <w:u w:val="none"/>
        </w:rPr>
      </w:pPr>
      <w:r>
        <w:rPr>
          <w:rFonts w:eastAsia="Times New Roman"/>
          <w:szCs w:val="20"/>
          <w:u w:val="none"/>
        </w:rPr>
      </w:r>
    </w:p>
    <w:p>
      <w:pPr>
        <w:pStyle w:val="Normal"/>
        <w:rPr/>
      </w:pPr>
      <w:r>
        <w:rPr/>
        <w:t>Thanks, Jeff.  We’ll now go to your questions.  I would say we will attempt of course to answer all of your questions as fully and candidly as we can but if for whatever reason there is a question we cannot answer this morning, we’ll of course take that question and get back to you as soon as possible and with that let’s open the line for questions.</w:t>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HTMLPreformatted"/>
        <w:rPr/>
      </w:pPr>
      <w:r>
        <w:rPr>
          <w:rFonts w:cs="Times New Roman" w:ascii="Times New Roman" w:hAnsi="Times New Roman"/>
          <w:sz w:val="24"/>
        </w:rPr>
        <w:t>In connection with the proposed transactions, Dynegy and Enron will file a joint proxy statement/prospectus with the Securities and Exchange Commission.</w:t>
      </w:r>
      <w:r>
        <w:rPr/>
        <w:t xml:space="preserve">  </w:t>
      </w:r>
      <w:r>
        <w:rPr>
          <w:rFonts w:cs="Times New Roman" w:ascii="Times New Roman" w:hAnsi="Times New Roman"/>
          <w:sz w:val="24"/>
        </w:rPr>
        <w:t>Investors and security holders are urged to carefully read the joint proxy statement/prospectus regarding the proposed transactions when it becomes available, because it will contain important information.  Investors and security holders may obtain a free copy of the joint proxy statement/prospectus (when it is available) and other documents containing information about Dynegy and Enron, without charge, at the SEC’s web site at www.sec.gov.  Copies of the joint proxy statement/prospectus and the SEC filings that will be incorporated by reference in the joint proxy statement/prospectus may also be obtained for free by directing a request to either:  Investor Relations, Dynegy Inc., 1000 Louisiana, Suite 5800, Houston, TX 77002, Phone:  (713) 507-6466, Fax:  (713) 767-6652; or Investor Relations, Enron Corp., Enron Building, 1400 Smith Street, Houston, TX 77002, Phone:  (713) 853-3956, Fax:  (713) 646-3302.</w:t>
      </w:r>
    </w:p>
    <w:p>
      <w:pPr>
        <w:pStyle w:val="HTMLPreformatted"/>
        <w:rPr>
          <w:rFonts w:ascii="Times New Roman" w:hAnsi="Times New Roman" w:cs="Times New Roman"/>
          <w:sz w:val="24"/>
        </w:rPr>
      </w:pPr>
      <w:r>
        <w:rPr>
          <w:rFonts w:cs="Times New Roman" w:ascii="Times New Roman" w:hAnsi="Times New Roman"/>
          <w:sz w:val="24"/>
        </w:rPr>
      </w:r>
    </w:p>
    <w:p>
      <w:pPr>
        <w:pStyle w:val="HTMLPreformatted"/>
        <w:rPr>
          <w:rFonts w:ascii="Times New Roman" w:hAnsi="Times New Roman" w:cs="Times New Roman"/>
          <w:sz w:val="24"/>
        </w:rPr>
      </w:pPr>
      <w:r>
        <w:rPr>
          <w:rFonts w:cs="Times New Roman" w:ascii="Times New Roman" w:hAnsi="Times New Roman"/>
          <w:sz w:val="24"/>
        </w:rPr>
        <w:t>In addition, the identity of the persons who, under SEC rules, may be considered “participants in the solicitation” of Dynegy and Enron shareholders in connection with the proposed transactions, and any description of their direct or indirect interests, by security holdings or otherwise, are available in an SEC filing under Schedule 14A made by each of Dynegy and Enron.</w:t>
      </w:r>
    </w:p>
    <w:p>
      <w:pPr>
        <w:pStyle w:val="Normal"/>
        <w:rPr>
          <w:rFonts w:ascii="Times New Roman" w:hAnsi="Times New Roman" w:cs="Times New Roman"/>
          <w:sz w:val="24"/>
        </w:rPr>
      </w:pPr>
      <w:r>
        <w:rPr>
          <w:rFonts w:cs="Times New Roman"/>
          <w:sz w:val="24"/>
        </w:rPr>
      </w:r>
    </w:p>
    <w:sectPr>
      <w:footerReference w:type="default" r:id="rId2"/>
      <w:type w:val="nextPage"/>
      <w:pgSz w:w="12240" w:h="15840"/>
      <w:pgMar w:left="1800" w:right="1800" w:gutter="0" w:header="0" w:top="144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80"/>
        </w:tabs>
        <w:ind w:start="78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style>
  <w:style w:type="paragraph" w:styleId="Heading5">
    <w:name w:val="heading 5"/>
    <w:basedOn w:val="Normal"/>
    <w:next w:val="Normal"/>
    <w:qFormat/>
    <w:pPr>
      <w:keepNext w:val="true"/>
      <w:numPr>
        <w:ilvl w:val="4"/>
        <w:numId w:val="1"/>
      </w:numPr>
      <w:outlineLvl w:val="4"/>
    </w:pPr>
    <w:rPr>
      <w:b/>
      <w:bCs/>
      <w:i/>
      <w:iCs/>
    </w:rPr>
  </w:style>
  <w:style w:type="paragraph" w:styleId="Heading6">
    <w:name w:val="heading 6"/>
    <w:basedOn w:val="Normal"/>
    <w:next w:val="Normal"/>
    <w:qFormat/>
    <w:pPr>
      <w:keepNext w:val="true"/>
      <w:numPr>
        <w:ilvl w:val="5"/>
        <w:numId w:val="1"/>
      </w:numPr>
      <w:ind w:hanging="1080" w:start="1080" w:end="0"/>
      <w:outlineLvl w:val="5"/>
    </w:pPr>
    <w:rPr/>
  </w:style>
  <w:style w:type="paragraph" w:styleId="Heading7">
    <w:name w:val="heading 7"/>
    <w:basedOn w:val="Normal"/>
    <w:next w:val="Normal"/>
    <w:qFormat/>
    <w:pPr>
      <w:keepNext w:val="true"/>
      <w:numPr>
        <w:ilvl w:val="6"/>
        <w:numId w:val="1"/>
      </w:numPr>
      <w:outlineLvl w:val="6"/>
    </w:pPr>
    <w:rPr>
      <w:sz w:val="22"/>
      <w:u w:val="single"/>
    </w:rPr>
  </w:style>
  <w:style w:type="paragraph" w:styleId="Heading8">
    <w:name w:val="heading 8"/>
    <w:basedOn w:val="Normal"/>
    <w:next w:val="Normal"/>
    <w:qFormat/>
    <w:pPr>
      <w:keepNext w:val="true"/>
      <w:numPr>
        <w:ilvl w:val="7"/>
        <w:numId w:val="1"/>
      </w:numPr>
      <w:outlineLvl w:val="7"/>
    </w:pPr>
    <w:rPr>
      <w:i/>
      <w:iCs/>
    </w:rPr>
  </w:style>
  <w:style w:type="paragraph" w:styleId="Heading9">
    <w:name w:val="heading 9"/>
    <w:basedOn w:val="Normal"/>
    <w:next w:val="Normal"/>
    <w:qFormat/>
    <w:pPr>
      <w:keepNext w:val="true"/>
      <w:numPr>
        <w:ilvl w:val="8"/>
        <w:numId w:val="1"/>
      </w:numPr>
      <w:outlineLvl w:val="8"/>
    </w:pPr>
    <w:rPr>
      <w:i/>
      <w:iCs/>
      <w:u w:val="single"/>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Courier New" w:hAnsi="Courier New" w:cs="Courier New"/>
    </w:rPr>
  </w:style>
  <w:style w:type="character" w:styleId="WW8Num11z0">
    <w:name w:val="WW8Num11z0"/>
    <w:qFormat/>
    <w:rPr>
      <w:rFonts w:ascii="Symbol" w:hAnsi="Symbol" w:cs="Symbol"/>
      <w:color w:val="auto"/>
      <w:sz w:val="28"/>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Symbol" w:hAnsi="Symbol" w:cs="Symbol"/>
      <w:color w:val="auto"/>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Times New Roman" w:hAnsi="Times New Roman" w:cs="Times New Roman"/>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color w:val="auto"/>
      <w:sz w:val="28"/>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2">
    <w:name w:val="WW8Num25z2"/>
    <w:qFormat/>
    <w:rPr>
      <w:rFonts w:ascii="Wingdings" w:hAnsi="Wingdings" w:cs="Wingdings"/>
    </w:rPr>
  </w:style>
  <w:style w:type="character" w:styleId="WW8Num25z4">
    <w:name w:val="WW8Num25z4"/>
    <w:qFormat/>
    <w:rPr>
      <w:rFonts w:ascii="Courier New" w:hAnsi="Courier New" w:cs="Courier New"/>
    </w:rPr>
  </w:style>
  <w:style w:type="character" w:styleId="WW8Num26z0">
    <w:name w:val="WW8Num26z0"/>
    <w:qFormat/>
    <w:rPr>
      <w:rFonts w:ascii="Symbol" w:hAnsi="Symbol" w:cs="Symbol"/>
      <w:color w:val="auto"/>
      <w:sz w:val="28"/>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color w:val="auto"/>
      <w:sz w:val="28"/>
    </w:rPr>
  </w:style>
  <w:style w:type="character" w:styleId="WW8Num31z0">
    <w:name w:val="WW8Num31z0"/>
    <w:qFormat/>
    <w:rPr>
      <w:rFonts w:ascii="Symbol" w:hAnsi="Symbol" w:cs="Symbol"/>
      <w:color w:val="auto"/>
      <w:sz w:val="28"/>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color w:val="auto"/>
      <w:sz w:val="28"/>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9z0">
    <w:name w:val="WW8Num39z0"/>
    <w:qFormat/>
    <w:rPr/>
  </w:style>
  <w:style w:type="character" w:styleId="WW8Num40z0">
    <w:name w:val="WW8Num40z0"/>
    <w:qFormat/>
    <w:rPr>
      <w:rFonts w:ascii="Symbol" w:hAnsi="Symbol" w:cs="Symbol"/>
    </w:rPr>
  </w:style>
  <w:style w:type="character" w:styleId="WW8Num40z2">
    <w:name w:val="WW8Num40z2"/>
    <w:qFormat/>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color w:val="auto"/>
      <w:sz w:val="28"/>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color w:val="auto"/>
      <w:sz w:val="28"/>
    </w:rPr>
  </w:style>
  <w:style w:type="character" w:styleId="WW8Num48z0">
    <w:name w:val="WW8Num48z0"/>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2">
    <w:name w:val="WW8Num52z2"/>
    <w:qFormat/>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color w:val="auto"/>
      <w:sz w:val="28"/>
    </w:rPr>
  </w:style>
  <w:style w:type="character" w:styleId="WW8Num55z0">
    <w:name w:val="WW8Num55z0"/>
    <w:qFormat/>
    <w:rPr>
      <w:rFonts w:ascii="Symbol" w:hAnsi="Symbol" w:cs="Symbol"/>
      <w:color w:val="auto"/>
      <w:sz w:val="28"/>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auto"/>
      <w:sz w:val="28"/>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Courier New" w:hAnsi="Courier New" w:cs="Courier New"/>
    </w:rPr>
  </w:style>
  <w:style w:type="character" w:styleId="WW8Num61z2">
    <w:name w:val="WW8Num61z2"/>
    <w:qFormat/>
    <w:rPr>
      <w:rFonts w:ascii="Wingdings" w:hAnsi="Wingdings" w:cs="Wingdings"/>
    </w:rPr>
  </w:style>
  <w:style w:type="character" w:styleId="WW8Num61z3">
    <w:name w:val="WW8Num61z3"/>
    <w:qFormat/>
    <w:rPr>
      <w:rFonts w:ascii="Symbol" w:hAnsi="Symbol" w:cs="Symbol"/>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color w:val="auto"/>
      <w:sz w:val="28"/>
    </w:rPr>
  </w:style>
  <w:style w:type="character" w:styleId="WW8Num65z0">
    <w:name w:val="WW8Num65z0"/>
    <w:qFormat/>
    <w:rPr>
      <w:rFonts w:ascii="Wingdings" w:hAnsi="Wingdings" w:cs="Wingdings"/>
    </w:rPr>
  </w:style>
  <w:style w:type="character" w:styleId="WW8Num66z0">
    <w:name w:val="WW8Num66z0"/>
    <w:qFormat/>
    <w:rPr>
      <w:rFonts w:ascii="Symbol" w:hAnsi="Symbol" w:cs="Symbol"/>
      <w:color w:val="auto"/>
      <w:sz w:val="28"/>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1z1">
    <w:name w:val="WW8Num71z1"/>
    <w:qFormat/>
    <w:rPr>
      <w:rFonts w:cs="Courier New"/>
    </w:rPr>
  </w:style>
  <w:style w:type="character" w:styleId="WW8Num71z2">
    <w:name w:val="WW8Num71z2"/>
    <w:qFormat/>
    <w:rPr>
      <w:rFonts w:ascii="Wingdings" w:hAnsi="Wingdings" w:cs="Wingdings"/>
    </w:rPr>
  </w:style>
  <w:style w:type="character" w:styleId="WW8Num71z4">
    <w:name w:val="WW8Num71z4"/>
    <w:qFormat/>
    <w:rPr>
      <w:rFonts w:ascii="Courier New" w:hAnsi="Courier New" w:cs="Courier New"/>
    </w:rPr>
  </w:style>
  <w:style w:type="character" w:styleId="WW8Num72z0">
    <w:name w:val="WW8Num72z0"/>
    <w:qFormat/>
    <w:rPr>
      <w:rFonts w:ascii="Symbol" w:hAnsi="Symbol" w:cs="Symbol"/>
      <w:color w:val="auto"/>
      <w:sz w:val="28"/>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color w:val="auto"/>
      <w:sz w:val="28"/>
    </w:rPr>
  </w:style>
  <w:style w:type="character" w:styleId="WW8Num75z1">
    <w:name w:val="WW8Num75z1"/>
    <w:qFormat/>
    <w:rPr>
      <w:rFonts w:ascii="Times New Roman" w:hAnsi="Times New Roman" w:eastAsia="Times New Roman" w:cs="Times New Roman"/>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5z4">
    <w:name w:val="WW8Num75z4"/>
    <w:qFormat/>
    <w:rPr>
      <w:rFonts w:ascii="Courier New" w:hAnsi="Courier New" w:cs="Courier New"/>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color w:val="auto"/>
      <w:sz w:val="28"/>
    </w:rPr>
  </w:style>
  <w:style w:type="character" w:styleId="WW8Num80z0">
    <w:name w:val="WW8Num80z0"/>
    <w:qFormat/>
    <w:rPr>
      <w:rFonts w:ascii="Symbol" w:hAnsi="Symbol" w:cs="Symbol"/>
    </w:rPr>
  </w:style>
  <w:style w:type="character" w:styleId="WW8Num81z0">
    <w:name w:val="WW8Num81z0"/>
    <w:qFormat/>
    <w:rPr>
      <w:rFonts w:ascii="Symbol" w:hAnsi="Symbol" w:cs="Symbol"/>
      <w:color w:val="auto"/>
      <w:sz w:val="28"/>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color w:val="auto"/>
      <w:sz w:val="28"/>
    </w:rPr>
  </w:style>
  <w:style w:type="character" w:styleId="WW8Num84z0">
    <w:name w:val="WW8Num84z0"/>
    <w:qFormat/>
    <w:rPr/>
  </w:style>
  <w:style w:type="character" w:styleId="WW8Num84z1">
    <w:name w:val="WW8Num84z1"/>
    <w:qFormat/>
    <w:rPr>
      <w:rFonts w:ascii="Symbol" w:hAnsi="Symbol" w:cs="Symbol"/>
    </w:rPr>
  </w:style>
  <w:style w:type="character" w:styleId="WW8Num85z0">
    <w:name w:val="WW8Num85z0"/>
    <w:qFormat/>
    <w:rPr>
      <w:rFonts w:ascii="Symbol" w:hAnsi="Symbol" w:cs="Symbol"/>
      <w:color w:val="auto"/>
      <w:sz w:val="28"/>
    </w:rPr>
  </w:style>
  <w:style w:type="character" w:styleId="WW8Num86z0">
    <w:name w:val="WW8Num86z0"/>
    <w:qFormat/>
    <w:rPr>
      <w:rFonts w:ascii="Symbol" w:hAnsi="Symbol" w:cs="Symbol"/>
      <w:color w:val="auto"/>
      <w:sz w:val="28"/>
    </w:rPr>
  </w:style>
  <w:style w:type="character" w:styleId="WW8Num87z0">
    <w:name w:val="WW8Num87z0"/>
    <w:qFormat/>
    <w:rPr>
      <w:rFonts w:ascii="Symbol" w:hAnsi="Symbol" w:cs="Symbol"/>
      <w:color w:val="auto"/>
      <w:sz w:val="28"/>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Symbol" w:hAnsi="Symbol" w:cs="Symbol"/>
      <w:color w:val="auto"/>
      <w:sz w:val="28"/>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color w:val="auto"/>
      <w:sz w:val="28"/>
    </w:rPr>
  </w:style>
  <w:style w:type="character" w:styleId="WW8Num95z0">
    <w:name w:val="WW8Num95z0"/>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Courier New" w:hAnsi="Courier New" w:cs="Courier New"/>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4z0">
    <w:name w:val="WW8Num104z0"/>
    <w:qFormat/>
    <w:rPr>
      <w:rFonts w:ascii="Times New Roman" w:hAnsi="Times New Roman" w:cs="Times New Roman"/>
    </w:rPr>
  </w:style>
  <w:style w:type="character" w:styleId="WW8Num105z0">
    <w:name w:val="WW8Num105z0"/>
    <w:qFormat/>
    <w:rPr>
      <w:rFonts w:ascii="Symbol" w:hAnsi="Symbol" w:cs="Symbol"/>
    </w:rPr>
  </w:style>
  <w:style w:type="character" w:styleId="WW8Num105z2">
    <w:name w:val="WW8Num105z2"/>
    <w:qFormat/>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color w:val="auto"/>
      <w:sz w:val="28"/>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color w:val="auto"/>
      <w:sz w:val="28"/>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color w:val="auto"/>
      <w:sz w:val="28"/>
    </w:rPr>
  </w:style>
  <w:style w:type="character" w:styleId="WW8Num116z0">
    <w:name w:val="WW8Num116z0"/>
    <w:qFormat/>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style>
  <w:style w:type="character" w:styleId="WW8Num119z0">
    <w:name w:val="WW8Num119z0"/>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Wingdings" w:hAnsi="Wingdings" w:cs="Wingdings"/>
    </w:rPr>
  </w:style>
  <w:style w:type="character" w:styleId="WW8Num123z0">
    <w:name w:val="WW8Num123z0"/>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rFonts w:ascii="Symbol" w:hAnsi="Symbol" w:cs="Symbol"/>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5z0">
    <w:name w:val="WW8Num125z0"/>
    <w:qFormat/>
    <w:rPr>
      <w:rFonts w:ascii="Symbol" w:hAnsi="Symbol" w:cs="Symbol"/>
    </w:rPr>
  </w:style>
  <w:style w:type="character" w:styleId="WW8Num126z0">
    <w:name w:val="WW8Num126z0"/>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00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5">
    <w:name w:val="WW8Num128z5"/>
    <w:qFormat/>
    <w:rPr>
      <w:rFonts w:ascii="Wingdings" w:hAnsi="Wingdings" w:cs="Wingdings"/>
    </w:rPr>
  </w:style>
  <w:style w:type="character" w:styleId="WW8Num129z0">
    <w:name w:val="WW8Num129z0"/>
    <w:qFormat/>
    <w:rPr>
      <w:rFonts w:ascii="Symbol" w:hAnsi="Symbol" w:cs="Symbol"/>
      <w:color w:val="auto"/>
      <w:sz w:val="28"/>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6z0">
    <w:name w:val="WW8Num136z0"/>
    <w:qFormat/>
    <w:rPr>
      <w:rFonts w:ascii="Symbol" w:hAnsi="Symbol" w:cs="Symbol"/>
      <w:color w:val="auto"/>
      <w:sz w:val="28"/>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40z0">
    <w:name w:val="WW8Num140z0"/>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5">
    <w:name w:val="WW8Num141z5"/>
    <w:qFormat/>
    <w:rPr>
      <w:rFonts w:ascii="Wingdings" w:hAnsi="Wingdings" w:cs="Wingdings"/>
    </w:rPr>
  </w:style>
  <w:style w:type="character" w:styleId="WW8Num142z0">
    <w:name w:val="WW8Num142z0"/>
    <w:qFormat/>
    <w:rPr>
      <w:rFonts w:ascii="Symbol" w:hAnsi="Symbol" w:cs="Symbol"/>
      <w:color w:val="auto"/>
      <w:sz w:val="28"/>
    </w:rPr>
  </w:style>
  <w:style w:type="character" w:styleId="WW8Num143z0">
    <w:name w:val="WW8Num143z0"/>
    <w:qFormat/>
    <w:rPr>
      <w:rFonts w:ascii="Symbol" w:hAnsi="Symbol" w:cs="Symbol"/>
      <w:color w:val="auto"/>
      <w:sz w:val="28"/>
    </w:rPr>
  </w:style>
  <w:style w:type="character" w:styleId="WW8Num144z0">
    <w:name w:val="WW8Num144z0"/>
    <w:qFormat/>
    <w:rPr/>
  </w:style>
  <w:style w:type="character" w:styleId="WW8Num145z0">
    <w:name w:val="WW8Num145z0"/>
    <w:qFormat/>
    <w:rPr>
      <w:rFonts w:ascii="Symbol" w:hAnsi="Symbol" w:cs="Symbol"/>
      <w:color w:val="auto"/>
      <w:sz w:val="28"/>
    </w:rPr>
  </w:style>
  <w:style w:type="character" w:styleId="WW8Num146z0">
    <w:name w:val="WW8Num146z0"/>
    <w:qFormat/>
    <w:rPr>
      <w:rFonts w:ascii="Wingdings" w:hAnsi="Wingdings" w:cs="Wingdings"/>
    </w:rPr>
  </w:style>
  <w:style w:type="character" w:styleId="WW8Num147z0">
    <w:name w:val="WW8Num147z0"/>
    <w:qFormat/>
    <w:rPr>
      <w:rFonts w:ascii="Symbol" w:hAnsi="Symbol" w:cs="Symbol"/>
      <w:color w:val="auto"/>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BodyTextIndent">
    <w:name w:val="Body Text Indent"/>
    <w:basedOn w:val="Normal"/>
    <w:pPr>
      <w:ind w:hanging="0" w:start="360" w:end="0"/>
    </w:pPr>
    <w:rPr/>
  </w:style>
  <w:style w:type="paragraph" w:styleId="BodyTextIndent2">
    <w:name w:val="Body Text Indent 2"/>
    <w:basedOn w:val="Normal"/>
    <w:qFormat/>
    <w:pPr>
      <w:spacing w:lineRule="atLeast" w:line="240"/>
      <w:ind w:hanging="0" w:start="360" w:end="0"/>
    </w:pPr>
    <w:rPr>
      <w:b/>
      <w:color w:val="000000"/>
    </w:rPr>
  </w:style>
  <w:style w:type="paragraph" w:styleId="BodyText2">
    <w:name w:val="Body Text 2"/>
    <w:basedOn w:val="Normal"/>
    <w:qFormat/>
    <w:pPr/>
    <w:rPr>
      <w:color w:val="000000"/>
    </w:rPr>
  </w:style>
  <w:style w:type="paragraph" w:styleId="xl24">
    <w:name w:val="xl24"/>
    <w:basedOn w:val="Normal"/>
    <w:qFormat/>
    <w:pPr>
      <w:pBdr>
        <w:top w:val="single" w:sz="8" w:space="0" w:color="000000"/>
      </w:pBdr>
      <w:spacing w:before="100" w:after="100"/>
    </w:pPr>
    <w:rPr>
      <w:rFonts w:eastAsia="Arial Unicode MS"/>
      <w:szCs w:val="24"/>
    </w:rPr>
  </w:style>
  <w:style w:type="paragraph" w:styleId="xl25">
    <w:name w:val="xl25"/>
    <w:basedOn w:val="Normal"/>
    <w:qFormat/>
    <w:pPr>
      <w:pBdr>
        <w:top w:val="single" w:sz="8" w:space="0" w:color="000000"/>
        <w:right w:val="single" w:sz="8" w:space="0" w:color="000000"/>
      </w:pBdr>
      <w:spacing w:before="100" w:after="100"/>
    </w:pPr>
    <w:rPr>
      <w:rFonts w:eastAsia="Arial Unicode MS"/>
      <w:szCs w:val="24"/>
    </w:rPr>
  </w:style>
  <w:style w:type="paragraph" w:styleId="xl26">
    <w:name w:val="xl26"/>
    <w:basedOn w:val="Normal"/>
    <w:qFormat/>
    <w:pPr>
      <w:pBdr>
        <w:left w:val="single" w:sz="8" w:space="0" w:color="000000"/>
      </w:pBdr>
      <w:spacing w:before="100" w:after="100"/>
    </w:pPr>
    <w:rPr>
      <w:rFonts w:eastAsia="Arial Unicode MS"/>
      <w:b/>
      <w:bCs/>
      <w:szCs w:val="24"/>
      <w:u w:val="single"/>
    </w:rPr>
  </w:style>
  <w:style w:type="paragraph" w:styleId="xl27">
    <w:name w:val="xl27"/>
    <w:basedOn w:val="Normal"/>
    <w:qFormat/>
    <w:pPr>
      <w:spacing w:before="100" w:after="100"/>
    </w:pPr>
    <w:rPr>
      <w:rFonts w:eastAsia="Arial Unicode MS"/>
      <w:szCs w:val="24"/>
    </w:rPr>
  </w:style>
  <w:style w:type="paragraph" w:styleId="xl28">
    <w:name w:val="xl28"/>
    <w:basedOn w:val="Normal"/>
    <w:qFormat/>
    <w:pPr>
      <w:spacing w:before="100" w:after="100"/>
      <w:jc w:val="end"/>
    </w:pPr>
    <w:rPr>
      <w:rFonts w:eastAsia="Arial Unicode MS"/>
      <w:b/>
      <w:bCs/>
      <w:szCs w:val="24"/>
      <w:u w:val="single"/>
    </w:rPr>
  </w:style>
  <w:style w:type="paragraph" w:styleId="xl29">
    <w:name w:val="xl29"/>
    <w:basedOn w:val="Normal"/>
    <w:qFormat/>
    <w:pPr>
      <w:spacing w:before="100" w:after="100"/>
    </w:pPr>
    <w:rPr>
      <w:rFonts w:eastAsia="Arial Unicode MS"/>
      <w:b/>
      <w:bCs/>
      <w:szCs w:val="24"/>
      <w:u w:val="single"/>
    </w:rPr>
  </w:style>
  <w:style w:type="paragraph" w:styleId="xl30">
    <w:name w:val="xl30"/>
    <w:basedOn w:val="Normal"/>
    <w:qFormat/>
    <w:pPr>
      <w:pBdr>
        <w:right w:val="single" w:sz="8" w:space="0" w:color="000000"/>
      </w:pBdr>
      <w:spacing w:before="100" w:after="100"/>
    </w:pPr>
    <w:rPr>
      <w:rFonts w:eastAsia="Arial Unicode MS"/>
      <w:b/>
      <w:bCs/>
      <w:szCs w:val="24"/>
      <w:u w:val="single"/>
    </w:rPr>
  </w:style>
  <w:style w:type="paragraph" w:styleId="xl31">
    <w:name w:val="xl31"/>
    <w:basedOn w:val="Normal"/>
    <w:qFormat/>
    <w:pPr>
      <w:pBdr>
        <w:left w:val="single" w:sz="8" w:space="0" w:color="000000"/>
      </w:pBdr>
      <w:spacing w:before="100" w:after="100"/>
    </w:pPr>
    <w:rPr>
      <w:rFonts w:eastAsia="Arial Unicode MS"/>
      <w:szCs w:val="24"/>
    </w:rPr>
  </w:style>
  <w:style w:type="paragraph" w:styleId="xl32">
    <w:name w:val="xl32"/>
    <w:basedOn w:val="Normal"/>
    <w:qFormat/>
    <w:pPr>
      <w:spacing w:before="100" w:after="100"/>
    </w:pPr>
    <w:rPr>
      <w:rFonts w:eastAsia="Arial Unicode MS"/>
      <w:szCs w:val="24"/>
    </w:rPr>
  </w:style>
  <w:style w:type="paragraph" w:styleId="xl33">
    <w:name w:val="xl33"/>
    <w:basedOn w:val="Normal"/>
    <w:qFormat/>
    <w:pPr>
      <w:spacing w:before="100" w:after="100"/>
    </w:pPr>
    <w:rPr>
      <w:rFonts w:eastAsia="Arial Unicode MS"/>
      <w:szCs w:val="24"/>
      <w:u w:val="single"/>
    </w:rPr>
  </w:style>
  <w:style w:type="paragraph" w:styleId="xl34">
    <w:name w:val="xl34"/>
    <w:basedOn w:val="Normal"/>
    <w:qFormat/>
    <w:pPr>
      <w:pBdr>
        <w:left w:val="single" w:sz="8" w:space="0" w:color="000000"/>
      </w:pBdr>
      <w:spacing w:before="100" w:after="100"/>
    </w:pPr>
    <w:rPr>
      <w:rFonts w:eastAsia="Arial Unicode MS"/>
      <w:szCs w:val="24"/>
    </w:rPr>
  </w:style>
  <w:style w:type="paragraph" w:styleId="xl35">
    <w:name w:val="xl35"/>
    <w:basedOn w:val="Normal"/>
    <w:qFormat/>
    <w:pPr>
      <w:pBdr>
        <w:left w:val="single" w:sz="8" w:space="0" w:color="000000"/>
      </w:pBdr>
      <w:spacing w:before="100" w:after="100"/>
    </w:pPr>
    <w:rPr>
      <w:rFonts w:eastAsia="Arial Unicode MS"/>
      <w:b/>
      <w:bCs/>
      <w:szCs w:val="24"/>
      <w:u w:val="single"/>
    </w:rPr>
  </w:style>
  <w:style w:type="paragraph" w:styleId="xl36">
    <w:name w:val="xl36"/>
    <w:basedOn w:val="Normal"/>
    <w:qFormat/>
    <w:pPr>
      <w:pBdr>
        <w:left w:val="single" w:sz="8" w:space="0" w:color="000000"/>
        <w:bottom w:val="single" w:sz="8" w:space="0" w:color="000000"/>
      </w:pBdr>
      <w:spacing w:before="100" w:after="100"/>
    </w:pPr>
    <w:rPr>
      <w:rFonts w:eastAsia="Arial Unicode MS"/>
      <w:szCs w:val="24"/>
    </w:rPr>
  </w:style>
  <w:style w:type="paragraph" w:styleId="xl37">
    <w:name w:val="xl37"/>
    <w:basedOn w:val="Normal"/>
    <w:qFormat/>
    <w:pPr>
      <w:pBdr>
        <w:bottom w:val="single" w:sz="8" w:space="0" w:color="000000"/>
      </w:pBdr>
      <w:spacing w:before="100" w:after="100"/>
    </w:pPr>
    <w:rPr>
      <w:rFonts w:eastAsia="Arial Unicode MS"/>
      <w:szCs w:val="24"/>
    </w:rPr>
  </w:style>
  <w:style w:type="paragraph" w:styleId="xl38">
    <w:name w:val="xl38"/>
    <w:basedOn w:val="Normal"/>
    <w:qFormat/>
    <w:pPr>
      <w:pBdr>
        <w:bottom w:val="single" w:sz="8" w:space="0" w:color="000000"/>
        <w:right w:val="single" w:sz="8" w:space="0" w:color="000000"/>
      </w:pBdr>
      <w:spacing w:before="100" w:after="100"/>
    </w:pPr>
    <w:rPr>
      <w:rFonts w:eastAsia="Arial Unicode MS"/>
      <w:szCs w:val="24"/>
    </w:rPr>
  </w:style>
  <w:style w:type="paragraph" w:styleId="xl39">
    <w:name w:val="xl39"/>
    <w:basedOn w:val="Normal"/>
    <w:qFormat/>
    <w:pPr>
      <w:pBdr>
        <w:bottom w:val="single" w:sz="8" w:space="0" w:color="000000"/>
      </w:pBdr>
      <w:spacing w:before="100" w:after="100"/>
    </w:pPr>
    <w:rPr>
      <w:rFonts w:eastAsia="Arial Unicode MS"/>
      <w:szCs w:val="24"/>
    </w:rPr>
  </w:style>
  <w:style w:type="paragraph" w:styleId="xl40">
    <w:name w:val="xl40"/>
    <w:basedOn w:val="Normal"/>
    <w:qFormat/>
    <w:pPr>
      <w:pBdr>
        <w:bottom w:val="single" w:sz="8" w:space="0" w:color="000000"/>
        <w:right w:val="single" w:sz="8" w:space="0" w:color="000000"/>
      </w:pBdr>
      <w:spacing w:before="100" w:after="100"/>
    </w:pPr>
    <w:rPr>
      <w:rFonts w:eastAsia="Arial Unicode MS"/>
      <w:szCs w:val="24"/>
    </w:rPr>
  </w:style>
  <w:style w:type="paragraph" w:styleId="BodyText3">
    <w:name w:val="Body Text 3"/>
    <w:basedOn w:val="Normal"/>
    <w:qFormat/>
    <w:pPr/>
    <w:rPr>
      <w:b/>
      <w:bCs/>
    </w:rPr>
  </w:style>
  <w:style w:type="paragraph" w:styleId="BodyTextIndent3">
    <w:name w:val="Body Text Indent 3"/>
    <w:basedOn w:val="Normal"/>
    <w:qFormat/>
    <w:pPr>
      <w:ind w:hanging="0" w:start="72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2001-11-14T19:49:00Z</dcterms:created>
  <dc:creator>ENRON</dc:creator>
  <dc:description/>
  <dc:language>en-CA</dc:language>
  <cp:lastModifiedBy>carolyngeorge</cp:lastModifiedBy>
  <cp:lastPrinted>2001-11-14T19:13:00Z</cp:lastPrinted>
  <dcterms:modified xsi:type="dcterms:W3CDTF">2001-11-14T22:43:00Z</dcterms:modified>
  <cp:revision>9</cp:revision>
  <dc:subject/>
  <dc:title>ENEQ400cc</dc:title>
</cp:coreProperties>
</file>