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16"/>
        </w:rPr>
      </w:pPr>
      <w:r>
        <w:rPr/>
        <w:t>Draft</w:t>
      </w:r>
    </w:p>
    <w:p>
      <w:pPr>
        <w:pStyle w:val="Normal"/>
        <w:rPr/>
      </w:pPr>
      <w:r>
        <w:rPr>
          <w:sz w:val="16"/>
        </w:rPr>
        <w:t xml:space="preserve">                                                                            </w:t>
      </w:r>
      <w:r>
        <w:rPr/>
        <w:t xml:space="preserve">– </w:t>
      </w:r>
      <w:r>
        <w:rPr/>
        <w:t xml:space="preserve">CONFIDENTIAL – as of </w:t>
      </w:r>
      <w:r>
        <w:rPr/>
        <w:fldChar w:fldCharType="begin"/>
      </w:r>
      <w:r>
        <w:rPr/>
        <w:instrText xml:space="preserve"> DATE \@"M\/d\/yyyy\ H:mm\ AM/PM" </w:instrText>
      </w:r>
      <w:r>
        <w:rPr/>
        <w:fldChar w:fldCharType="separate"/>
      </w:r>
      <w:r>
        <w:rPr/>
        <w:t>9/28/2025 8:06 AM</w:t>
      </w:r>
      <w:r>
        <w:rPr/>
        <w:fldChar w:fldCharType="end"/>
      </w:r>
    </w:p>
    <w:p>
      <w:pPr>
        <w:pStyle w:val="Normal"/>
        <w:rPr/>
      </w:pPr>
      <w:r>
        <w:rPr/>
      </w:r>
    </w:p>
    <w:p>
      <w:pPr>
        <w:pStyle w:val="Heading2"/>
        <w:ind w:hanging="0" w:start="0"/>
        <w:rPr>
          <w:rFonts w:ascii="Arial" w:hAnsi="Arial" w:cs="Arial"/>
          <w:bCs/>
        </w:rPr>
      </w:pPr>
      <w:ins w:id="0" w:author="lvalenc" w:date="2001-01-18T09:06:00Z">
        <w:r>
          <w:rPr>
            <w:bCs/>
          </w:rPr>
          <w:t>ENRON Corp</w:t>
        </w:r>
      </w:ins>
    </w:p>
    <w:p>
      <w:pPr>
        <w:pStyle w:val="Normal"/>
        <w:rPr>
          <w:rFonts w:ascii="Arial" w:hAnsi="Arial" w:cs="Arial"/>
          <w:ins w:id="1" w:author="lvalenc" w:date="2001-01-18T09:06:00Z"/>
        </w:rPr>
      </w:pPr>
      <w:r>
        <w:rPr>
          <w:rFonts w:cs="Arial" w:ascii="Arial" w:hAnsi="Arial"/>
        </w:rPr>
        <w:t>Investor Concerns</w:t>
      </w:r>
    </w:p>
    <w:p>
      <w:pPr>
        <w:pStyle w:val="Normal"/>
        <w:rPr>
          <w:b/>
          <w:ins w:id="3" w:author="lvalenc" w:date="2001-01-18T09:06:00Z"/>
        </w:rPr>
      </w:pPr>
      <w:ins w:id="2" w:author="lvalenc" w:date="2001-01-18T09:06:00Z">
        <w:r>
          <w:rPr>
            <w:b/>
          </w:rPr>
        </w:r>
      </w:ins>
    </w:p>
    <w:p>
      <w:pPr>
        <w:pStyle w:val="Normal"/>
        <w:rPr>
          <w:ins w:id="6" w:author="lvalenc" w:date="2001-01-18T09:06:00Z"/>
        </w:rPr>
      </w:pPr>
      <w:ins w:id="4" w:author="lvalenc" w:date="2001-01-18T09:06:00Z">
        <w:r>
          <w:rPr>
            <w:b/>
            <w:u w:val="single"/>
          </w:rPr>
          <w:t>Conference Call Information</w:t>
        </w:r>
      </w:ins>
      <w:ins w:id="5" w:author="lvalenc" w:date="2001-01-18T09:06:00Z">
        <w:r>
          <w:rPr>
            <w:b/>
          </w:rPr>
          <w:t xml:space="preserve"> </w:t>
        </w:r>
      </w:ins>
    </w:p>
    <w:p>
      <w:pPr>
        <w:pStyle w:val="Normal"/>
        <w:rPr>
          <w:del w:id="8" w:author="lvalenc" w:date="2001-01-18T09:07:00Z"/>
        </w:rPr>
      </w:pPr>
      <w:del w:id="7" w:author="lvalenc" w:date="2001-01-18T09:07:00Z">
        <w:r>
          <w:rPr/>
          <w:delText>ENRON CORP.</w:delText>
        </w:r>
      </w:del>
    </w:p>
    <w:p>
      <w:pPr>
        <w:pStyle w:val="Normal"/>
        <w:rPr>
          <w:del w:id="10" w:author="lvalenc" w:date="2001-01-18T09:07:00Z"/>
        </w:rPr>
      </w:pPr>
      <w:del w:id="9" w:author="lvalenc" w:date="2001-01-18T09:07:00Z">
        <w:r>
          <w:rPr/>
          <w:delText>Fourth Quarter and Full Year 2000 Earnings Release</w:delText>
        </w:r>
      </w:del>
    </w:p>
    <w:p>
      <w:pPr>
        <w:pStyle w:val="Normal"/>
        <w:rPr>
          <w:del w:id="12" w:author="lvalenc" w:date="2001-01-18T09:07:00Z"/>
        </w:rPr>
      </w:pPr>
      <w:del w:id="11" w:author="lvalenc" w:date="2001-01-18T09:07:00Z">
        <w:r>
          <w:rPr/>
        </w:r>
      </w:del>
    </w:p>
    <w:p>
      <w:pPr>
        <w:pStyle w:val="Normal"/>
        <w:rPr>
          <w:del w:id="14" w:author="lvalenc" w:date="2001-01-18T09:07:00Z"/>
        </w:rPr>
      </w:pPr>
      <w:del w:id="13" w:author="lvalenc" w:date="2001-01-18T09:07:00Z">
        <w:r>
          <w:rPr/>
          <w:delText>Conference Call Information</w:delText>
        </w:r>
      </w:del>
    </w:p>
    <w:p>
      <w:pPr>
        <w:pStyle w:val="Normal"/>
        <w:rPr/>
      </w:pPr>
      <w:r>
        <w:rPr/>
      </w:r>
    </w:p>
    <w:p>
      <w:pPr>
        <w:pStyle w:val="Normal"/>
        <w:rPr/>
      </w:pPr>
      <w:r>
        <w:rPr/>
        <w:t xml:space="preserve">Time:  </w:t>
      </w:r>
      <w:ins w:id="15" w:author="lvalenc" w:date="2001-01-18T09:07:00Z">
        <w:r>
          <w:rPr/>
          <w:tab/>
          <w:tab/>
        </w:r>
      </w:ins>
      <w:r>
        <w:rPr/>
        <w:t xml:space="preserve"> 8:30 am (Central)</w:t>
      </w:r>
    </w:p>
    <w:p>
      <w:pPr>
        <w:pStyle w:val="Normal"/>
        <w:rPr/>
      </w:pPr>
      <w:r>
        <w:rPr/>
        <w:t xml:space="preserve">           </w:t>
      </w:r>
      <w:ins w:id="16" w:author="lvalenc" w:date="2001-01-18T09:07:00Z">
        <w:r>
          <w:rPr/>
          <w:tab/>
          <w:tab/>
        </w:r>
      </w:ins>
      <w:r>
        <w:rPr/>
        <w:t xml:space="preserve"> 9:30 am (Eastern)</w:t>
      </w:r>
    </w:p>
    <w:p>
      <w:pPr>
        <w:pStyle w:val="Normal"/>
        <w:rPr/>
      </w:pPr>
      <w:r>
        <w:rPr/>
      </w:r>
    </w:p>
    <w:p>
      <w:pPr>
        <w:pStyle w:val="Normal"/>
        <w:rPr/>
      </w:pPr>
      <w:r>
        <w:rPr/>
        <w:t>Dial In</w:t>
      </w:r>
      <w:del w:id="17" w:author="lvalenc" w:date="2001-01-18T09:07:00Z">
        <w:r>
          <w:rPr/>
          <w:delText xml:space="preserve">:   </w:delText>
        </w:r>
      </w:del>
      <w:ins w:id="18" w:author="lvalenc" w:date="2001-01-18T09:07:00Z">
        <w:r>
          <w:rPr/>
          <w:t xml:space="preserve">: </w:t>
          <w:tab/>
          <w:t xml:space="preserve"> </w:t>
        </w:r>
      </w:ins>
      <w:r>
        <w:rPr/>
        <w:t>(719) 457-2633</w:t>
      </w:r>
    </w:p>
    <w:p>
      <w:pPr>
        <w:pStyle w:val="Normal"/>
        <w:rPr/>
      </w:pPr>
      <w:r>
        <w:rPr/>
        <w:t xml:space="preserve">Website: </w:t>
      </w:r>
      <w:ins w:id="19" w:author="lvalenc" w:date="2001-01-18T09:07:00Z">
        <w:r>
          <w:rPr/>
          <w:tab/>
        </w:r>
      </w:ins>
      <w:r>
        <w:rPr/>
        <w:t xml:space="preserve"> </w:t>
      </w:r>
      <w:hyperlink r:id="rId2">
        <w:r>
          <w:rPr>
            <w:rStyle w:val="Hyperlink"/>
          </w:rPr>
          <w:t>www.enron.com;</w:t>
        </w:r>
      </w:hyperlink>
      <w:r>
        <w:rPr/>
        <w:t xml:space="preserve"> Click - Investor Relations</w:t>
      </w:r>
    </w:p>
    <w:p>
      <w:pPr>
        <w:pStyle w:val="Normal"/>
        <w:rPr/>
      </w:pPr>
      <w:r>
        <w:rPr/>
        <w:t xml:space="preserve">Replay:   </w:t>
      </w:r>
      <w:ins w:id="20" w:author="lvalenc" w:date="2001-01-18T09:07:00Z">
        <w:r>
          <w:rPr/>
          <w:tab/>
        </w:r>
      </w:ins>
      <w:r>
        <w:rPr/>
        <w:t>(719) 457-0820 Code 627675 (available until midnight on October 30)</w:t>
      </w:r>
    </w:p>
    <w:p>
      <w:pPr>
        <w:pStyle w:val="Normal"/>
        <w:rPr/>
      </w:pPr>
      <w:r>
        <w:rPr/>
      </w:r>
    </w:p>
    <w:p>
      <w:pPr>
        <w:pStyle w:val="Heading2"/>
        <w:ind w:hanging="0" w:start="0"/>
        <w:rPr>
          <w:u w:val="single"/>
        </w:rPr>
      </w:pPr>
      <w:r>
        <w:rPr>
          <w:u w:val="single"/>
          <w:rPrChange w:id="0" w:author="prieker" w:date="2001-01-17T20:34:00Z"/>
        </w:rPr>
        <w:t>Introductions</w:t>
      </w:r>
    </w:p>
    <w:p>
      <w:pPr>
        <w:pStyle w:val="Normal"/>
        <w:rPr>
          <w:u w:val="single"/>
        </w:rPr>
      </w:pPr>
      <w:r>
        <w:rPr>
          <w:u w:val="single"/>
        </w:rPr>
      </w:r>
    </w:p>
    <w:p>
      <w:pPr>
        <w:pStyle w:val="Normal"/>
        <w:rPr/>
      </w:pPr>
      <w:r>
        <w:rPr/>
        <w:t>Ken Lay, Chairman and Chief Executive Officer</w:t>
      </w:r>
    </w:p>
    <w:p>
      <w:pPr>
        <w:pStyle w:val="Normal"/>
        <w:rPr/>
      </w:pPr>
      <w:r>
        <w:rPr/>
        <w:t>Greg Whalley, President &amp; Chief Operating Officer</w:t>
      </w:r>
    </w:p>
    <w:p>
      <w:pPr>
        <w:pStyle w:val="Normal"/>
        <w:rPr/>
      </w:pPr>
      <w:ins w:id="22" w:author="prieker" w:date="2001-01-18T12:06:00Z">
        <w:r>
          <w:rPr/>
          <w:t xml:space="preserve">Mark Koenig, Executive VP, Investor Relations </w:t>
        </w:r>
      </w:ins>
      <w:del w:id="23" w:author="prieker" w:date="2001-01-18T12:06:00Z">
        <w:r>
          <w:rPr/>
          <w:delText>Ken Rice, Chairman and CEO, Enron Broadband Services</w:delText>
        </w:r>
      </w:del>
    </w:p>
    <w:p>
      <w:pPr>
        <w:pStyle w:val="Normal"/>
        <w:rPr/>
      </w:pPr>
      <w:ins w:id="24" w:author="prieker" w:date="2001-01-17T19:56:00Z">
        <w:r>
          <w:rPr/>
          <w:t>Rick Causey, Executive VP and Chief Accounting Officer</w:t>
        </w:r>
      </w:ins>
    </w:p>
    <w:p>
      <w:pPr>
        <w:pStyle w:val="Normal"/>
        <w:rPr/>
      </w:pPr>
      <w:r>
        <w:rPr/>
        <w:t>Andy Fastow, Executive VP and CFO</w:t>
      </w:r>
    </w:p>
    <w:p>
      <w:pPr>
        <w:pStyle w:val="Footer"/>
        <w:tabs>
          <w:tab w:val="clear" w:pos="4320"/>
          <w:tab w:val="clear" w:pos="8640"/>
        </w:tabs>
        <w:rPr/>
      </w:pPr>
      <w:r>
        <w:rPr/>
        <w:t>Ben Glisan, Managing Director and Treasurer</w:t>
      </w:r>
    </w:p>
    <w:p>
      <w:pPr>
        <w:pStyle w:val="Footer"/>
        <w:tabs>
          <w:tab w:val="clear" w:pos="4320"/>
          <w:tab w:val="clear" w:pos="8640"/>
        </w:tabs>
        <w:rPr>
          <w:del w:id="26" w:author="prieker" w:date="2001-01-17T19:56:00Z"/>
        </w:rPr>
      </w:pPr>
      <w:del w:id="25" w:author="prieker" w:date="2001-01-17T19:56:00Z">
        <w:r>
          <w:rPr/>
          <w:delText>Rick Causey, Executive VP and Chief Accounting Officer</w:delText>
        </w:r>
      </w:del>
    </w:p>
    <w:p>
      <w:pPr>
        <w:pStyle w:val="Footer"/>
        <w:rPr/>
      </w:pPr>
      <w:r>
        <w:rPr/>
      </w:r>
    </w:p>
    <w:p>
      <w:pPr>
        <w:pStyle w:val="Normal"/>
        <w:rPr/>
      </w:pPr>
      <w:r>
        <w:rPr/>
      </w:r>
    </w:p>
    <w:p>
      <w:pPr>
        <w:pStyle w:val="Heading1"/>
        <w:ind w:hanging="0" w:start="0"/>
        <w:rPr>
          <w:bCs/>
        </w:rPr>
      </w:pPr>
      <w:r>
        <w:rPr>
          <w:bCs/>
        </w:rPr>
      </w:r>
    </w:p>
    <w:p>
      <w:pPr>
        <w:pStyle w:val="Normal"/>
        <w:rPr/>
      </w:pPr>
      <w:r>
        <w:rPr/>
        <w:t>Good morning, this is Ken Lay.  Thank you for joining us on today’s investor call.</w:t>
      </w:r>
    </w:p>
    <w:p>
      <w:pPr>
        <w:pStyle w:val="Normal"/>
        <w:rPr/>
      </w:pPr>
      <w:r>
        <w:rPr/>
      </w:r>
    </w:p>
    <w:p>
      <w:pPr>
        <w:pStyle w:val="Normal"/>
        <w:rPr/>
      </w:pPr>
      <w:r>
        <w:rPr/>
        <w:t>We decided yesterday to set up this call to address questions and concerns raised over the last few days.   We are very disappointed with our stock price, but we are clearly not in a financial crisis. We are still conducting business as usual, and our businesses are performing very well</w:t>
      </w:r>
      <w:r>
        <w:rPr>
          <w:b/>
          <w:bCs/>
        </w:rPr>
        <w:t xml:space="preserve">.  </w:t>
      </w:r>
      <w:r>
        <w:rPr/>
        <w:t>We recognize, however, that these are uncertain times in the capital markets, and we will hold additional investor calls as we desire to proactively communicate essential information to our stakeholders.</w:t>
      </w:r>
    </w:p>
    <w:p>
      <w:pPr>
        <w:pStyle w:val="Normal"/>
        <w:rPr/>
      </w:pPr>
      <w:r>
        <w:rPr/>
      </w:r>
    </w:p>
    <w:p>
      <w:pPr>
        <w:pStyle w:val="xl33"/>
        <w:spacing w:before="0" w:after="0"/>
        <w:rPr>
          <w:rFonts w:eastAsia="Times New Roman"/>
          <w:szCs w:val="20"/>
        </w:rPr>
      </w:pPr>
      <w:r>
        <w:rPr>
          <w:rFonts w:eastAsia="Times New Roman"/>
          <w:szCs w:val="20"/>
        </w:rPr>
      </w:r>
    </w:p>
    <w:p>
      <w:pPr>
        <w:pStyle w:val="Normal"/>
        <w:rPr>
          <w:b/>
          <w:bCs/>
          <w:u w:val="single"/>
        </w:rPr>
      </w:pPr>
      <w:r>
        <w:rPr>
          <w:b/>
          <w:bCs/>
          <w:u w:val="single"/>
        </w:rPr>
        <w:t>SEC Inquiry</w:t>
      </w:r>
    </w:p>
    <w:p>
      <w:pPr>
        <w:pStyle w:val="Normal"/>
        <w:rPr/>
      </w:pPr>
      <w:r>
        <w:rPr/>
        <w:t xml:space="preserve">We announced yesterday that we received a request for information from the SEC regarding certain related party transactions.  As we said yesterday, </w:t>
      </w:r>
    </w:p>
    <w:p>
      <w:pPr>
        <w:pStyle w:val="Normal"/>
        <w:rPr/>
      </w:pPr>
      <w:r>
        <w:rPr/>
      </w:r>
    </w:p>
    <w:p>
      <w:pPr>
        <w:pStyle w:val="Normal"/>
        <w:numPr>
          <w:ilvl w:val="0"/>
          <w:numId w:val="5"/>
        </w:numPr>
        <w:rPr/>
      </w:pPr>
      <w:r>
        <w:rPr/>
        <w:t>We welcome this request and the opportunity it provides us to put these matters to rest.</w:t>
      </w:r>
    </w:p>
    <w:p>
      <w:pPr>
        <w:pStyle w:val="Normal"/>
        <w:numPr>
          <w:ilvl w:val="0"/>
          <w:numId w:val="5"/>
        </w:numPr>
        <w:rPr/>
      </w:pPr>
      <w:r>
        <w:rPr/>
        <w:t>We are cooperating fully with the SEC.</w:t>
      </w:r>
    </w:p>
    <w:p>
      <w:pPr>
        <w:pStyle w:val="Normal"/>
        <w:numPr>
          <w:ilvl w:val="0"/>
          <w:numId w:val="5"/>
        </w:numPr>
        <w:rPr/>
      </w:pPr>
      <w:r>
        <w:rPr/>
        <w:t>We believe everything that needed to be considered and done in connection with these transactions was considered and done.</w:t>
      </w:r>
    </w:p>
    <w:p>
      <w:pPr>
        <w:pStyle w:val="Normal"/>
        <w:rPr/>
      </w:pPr>
      <w:r>
        <w:rPr/>
      </w:r>
    </w:p>
    <w:p>
      <w:pPr>
        <w:pStyle w:val="Normal"/>
        <w:rPr/>
      </w:pPr>
      <w:r>
        <w:rPr/>
        <w:t>As you can appreciate, while this matter is pending, we cannot say much more about it.</w:t>
      </w:r>
    </w:p>
    <w:p>
      <w:pPr>
        <w:pStyle w:val="Normal"/>
        <w:rPr/>
      </w:pPr>
      <w:r>
        <w:rPr/>
      </w:r>
    </w:p>
    <w:p>
      <w:pPr>
        <w:pStyle w:val="Normal"/>
        <w:rPr/>
      </w:pPr>
      <w:r>
        <w:rPr/>
        <w:t>However, a number of other, unrelated questions have been raised, and we will do our best to address those here.</w:t>
      </w:r>
    </w:p>
    <w:p>
      <w:pPr>
        <w:pStyle w:val="Normal"/>
        <w:rPr/>
      </w:pPr>
      <w:r>
        <w:rPr/>
      </w:r>
    </w:p>
    <w:p>
      <w:pPr>
        <w:pStyle w:val="Heading1"/>
        <w:ind w:hanging="0" w:start="0"/>
        <w:rPr>
          <w:bCs/>
        </w:rPr>
      </w:pPr>
      <w:r>
        <w:rPr>
          <w:bCs/>
        </w:rPr>
        <w:t>Equity Reduction</w:t>
      </w:r>
    </w:p>
    <w:p>
      <w:pPr>
        <w:pStyle w:val="Normal"/>
        <w:rPr>
          <w:bCs/>
        </w:rPr>
      </w:pPr>
      <w:r>
        <w:rPr>
          <w:bCs/>
        </w:rPr>
      </w:r>
    </w:p>
    <w:p>
      <w:pPr>
        <w:pStyle w:val="BodyText3"/>
        <w:rPr>
          <w:b w:val="false"/>
          <w:bCs w:val="false"/>
        </w:rPr>
      </w:pPr>
      <w:r>
        <w:rPr>
          <w:b w:val="false"/>
          <w:bCs w:val="false"/>
        </w:rPr>
        <w:t>In an effort to increase transparency in financial reporting, our third quarter earnings conference call included information associated with a $1.2 billion reduction of shareholders’ equity.  There have been a number of questions surrounding the equity adjustment since the call, so we want to take the opportunity to clearly spell out the basis of the adjustment.</w:t>
      </w:r>
    </w:p>
    <w:p>
      <w:pPr>
        <w:pStyle w:val="Normal"/>
        <w:rPr>
          <w:b/>
          <w:bCs/>
        </w:rPr>
      </w:pPr>
      <w:r>
        <w:rPr>
          <w:b/>
          <w:bCs/>
        </w:rPr>
      </w:r>
    </w:p>
    <w:p>
      <w:pPr>
        <w:pStyle w:val="Normal"/>
        <w:rPr/>
      </w:pPr>
      <w:r>
        <w:rPr/>
        <w:t>A structured finance vehicle, in which LJM was an investor, was established to mitigate volatility associated with certain of Enron’s merchant investments, including investments in The New Power Company and other broadband and technology investments.</w:t>
      </w:r>
    </w:p>
    <w:p>
      <w:pPr>
        <w:pStyle w:val="Normal"/>
        <w:rPr/>
      </w:pPr>
      <w:r>
        <w:rPr/>
      </w:r>
    </w:p>
    <w:p>
      <w:pPr>
        <w:pStyle w:val="Normal"/>
        <w:rPr/>
      </w:pPr>
      <w:r>
        <w:rPr/>
        <w:t>In conjunction with the September 2001 termination of these vehicles, Enron recorded a $1.2 billion reduction to shareholders’ equity.  The reduction to shareholders’ equity (and related reduction in notes receivable) is the result of Enron’s termination of previously recorded contractual obligations to deliver Enron shares in future periods.  There was also a corresponding decline in the number of diluted Enron shares outstanding totaling 62 million for the third quarter of 2001.</w:t>
      </w:r>
    </w:p>
    <w:p>
      <w:pPr>
        <w:pStyle w:val="Normal"/>
        <w:rPr/>
      </w:pPr>
      <w:r>
        <w:rPr/>
      </w:r>
    </w:p>
    <w:p>
      <w:pPr>
        <w:pStyle w:val="Normal"/>
        <w:rPr/>
      </w:pPr>
      <w:r>
        <w:rPr/>
      </w:r>
    </w:p>
    <w:p>
      <w:pPr>
        <w:pStyle w:val="Normal"/>
        <w:rPr/>
      </w:pPr>
      <w:r>
        <w:rPr/>
        <w:t>And now I will turn this over to our CFO, Andy Fastow, to discuss our current liquidity and credit rating.</w:t>
      </w:r>
    </w:p>
    <w:p>
      <w:pPr>
        <w:pStyle w:val="Normal"/>
        <w:rPr/>
      </w:pPr>
      <w:r>
        <w:rPr/>
      </w:r>
    </w:p>
    <w:p>
      <w:pPr>
        <w:pStyle w:val="Heading1"/>
        <w:ind w:hanging="0" w:start="0"/>
        <w:rPr>
          <w:bCs/>
        </w:rPr>
      </w:pPr>
      <w:r>
        <w:rPr>
          <w:bCs/>
        </w:rPr>
      </w:r>
    </w:p>
    <w:p>
      <w:pPr>
        <w:pStyle w:val="Heading1"/>
        <w:ind w:hanging="0" w:start="0"/>
        <w:rPr>
          <w:bCs/>
        </w:rPr>
      </w:pPr>
      <w:r>
        <w:rPr>
          <w:bCs/>
        </w:rPr>
        <w:t xml:space="preserve">Liquidity/Credit Rating </w:t>
      </w:r>
    </w:p>
    <w:p>
      <w:pPr>
        <w:pStyle w:val="Footer"/>
        <w:tabs>
          <w:tab w:val="clear" w:pos="4320"/>
          <w:tab w:val="clear" w:pos="8640"/>
        </w:tabs>
        <w:rPr>
          <w:bCs/>
        </w:rPr>
      </w:pPr>
      <w:r>
        <w:rPr>
          <w:bCs/>
        </w:rPr>
      </w:r>
    </w:p>
    <w:p>
      <w:pPr>
        <w:pStyle w:val="Normal"/>
        <w:rPr/>
      </w:pPr>
      <w:r>
        <w:rPr/>
        <w:t xml:space="preserve">Enron has sufficient liquidity to conduct normal operations and meet all of our projected capital requirements.  </w:t>
      </w:r>
    </w:p>
    <w:p>
      <w:pPr>
        <w:pStyle w:val="Normal"/>
        <w:numPr>
          <w:ilvl w:val="0"/>
          <w:numId w:val="3"/>
        </w:numPr>
        <w:rPr/>
      </w:pPr>
      <w:r>
        <w:rPr/>
        <w:t xml:space="preserve">We have committed credit facilities with domestic and foreign banks, which provide for an aggregate of $3.35 billion in credit.  These bank lines are undrawn but act as the backstop for the company’s issuance of commercial paper.  </w:t>
      </w:r>
    </w:p>
    <w:p>
      <w:pPr>
        <w:pStyle w:val="Normal"/>
        <w:numPr>
          <w:ilvl w:val="0"/>
          <w:numId w:val="3"/>
        </w:numPr>
        <w:rPr/>
      </w:pPr>
      <w:r>
        <w:rPr/>
        <w:t xml:space="preserve">Additionally, the company utilizes, on a consistent basis, uncommitted lines in excess of $500 million.  </w:t>
      </w:r>
    </w:p>
    <w:p>
      <w:pPr>
        <w:pStyle w:val="Normal"/>
        <w:rPr/>
      </w:pPr>
      <w:r>
        <w:rPr/>
      </w:r>
    </w:p>
    <w:p>
      <w:pPr>
        <w:pStyle w:val="Normal"/>
        <w:rPr/>
      </w:pPr>
      <w:r>
        <w:rPr/>
        <w:t xml:space="preserve">Currently, our commercial paper balance is approximately $1.8 billion (net, after consideration of cash balances on deposit) resulting in approximately $1.5 billion of liquidity available from committed sources today. </w:t>
      </w:r>
    </w:p>
    <w:p>
      <w:pPr>
        <w:pStyle w:val="Normal"/>
        <w:numPr>
          <w:ilvl w:val="0"/>
          <w:numId w:val="2"/>
        </w:numPr>
        <w:rPr/>
      </w:pPr>
      <w:r>
        <w:rPr/>
        <w:t xml:space="preserve">We have experienced no noticeable disruption in our day-to-day funding in the CP markets associated with the media coverage.  </w:t>
      </w:r>
    </w:p>
    <w:p>
      <w:pPr>
        <w:pStyle w:val="Normal"/>
        <w:numPr>
          <w:ilvl w:val="0"/>
          <w:numId w:val="2"/>
        </w:numPr>
        <w:rPr/>
      </w:pPr>
      <w:r>
        <w:rPr/>
        <w:t xml:space="preserve">Additionally, we have not experienced a material increase in our funded CP balances over the past two weeks. </w:t>
      </w:r>
    </w:p>
    <w:p>
      <w:pPr>
        <w:pStyle w:val="Normal"/>
        <w:numPr>
          <w:ilvl w:val="0"/>
          <w:numId w:val="2"/>
        </w:numPr>
        <w:rPr/>
      </w:pPr>
      <w:r>
        <w:rPr/>
        <w:t>Our policy of maintaining a multiple of liquidity under the committed lines to projected cash requirements remains in effect.</w:t>
      </w:r>
    </w:p>
    <w:p>
      <w:pPr>
        <w:pStyle w:val="Normal"/>
        <w:rPr/>
      </w:pPr>
      <w:r>
        <w:rPr/>
      </w:r>
    </w:p>
    <w:p>
      <w:pPr>
        <w:pStyle w:val="Normal"/>
        <w:rPr/>
      </w:pPr>
      <w:r>
        <w:rPr/>
        <w:t xml:space="preserve">In addition to the $1.5 billion in CP capacity, we are scheduled to receive approximately $800 million in proceeds from asset sales discussed in the third quarter conference call.  These proceeds will be realized over the next thirty days.  Further, liquidity support from the conversion of price risk management assets to cash will be realized between now and year end.  </w:t>
      </w:r>
    </w:p>
    <w:p>
      <w:pPr>
        <w:pStyle w:val="Normal"/>
        <w:rPr/>
      </w:pPr>
      <w:r>
        <w:rPr/>
      </w:r>
    </w:p>
    <w:p>
      <w:pPr>
        <w:pStyle w:val="Normal"/>
        <w:rPr/>
      </w:pPr>
      <w:r>
        <w:rPr/>
        <w:t>It is important to note that our key commercial banks and trade counterparties have been unwavering in their backing of the company.  We have not experienced, nor do we expect to, any decline in the amount of liquidity required to maintain our position as the world’s leading market maker of energy commodities.</w:t>
      </w:r>
    </w:p>
    <w:p>
      <w:pPr>
        <w:pStyle w:val="Normal"/>
        <w:rPr/>
      </w:pPr>
      <w:r>
        <w:rPr/>
      </w:r>
    </w:p>
    <w:p>
      <w:pPr>
        <w:pStyle w:val="BodyText3"/>
        <w:rPr>
          <w:b w:val="false"/>
          <w:bCs w:val="false"/>
        </w:rPr>
      </w:pPr>
      <w:r>
        <w:rPr>
          <w:b w:val="false"/>
          <w:bCs w:val="false"/>
        </w:rPr>
        <w:t xml:space="preserve">Importantly, the transactions behind the equity adjustment have been reviewed with the rating agencies. </w:t>
      </w:r>
    </w:p>
    <w:p>
      <w:pPr>
        <w:pStyle w:val="Normal"/>
        <w:numPr>
          <w:ilvl w:val="0"/>
          <w:numId w:val="4"/>
        </w:numPr>
        <w:rPr/>
      </w:pPr>
      <w:r>
        <w:rPr/>
        <w:t xml:space="preserve">Both Standard &amp; Poor’s and Fitch have confirmed our BBB+ rating.  </w:t>
      </w:r>
    </w:p>
    <w:p>
      <w:pPr>
        <w:pStyle w:val="Normal"/>
        <w:numPr>
          <w:ilvl w:val="0"/>
          <w:numId w:val="4"/>
        </w:numPr>
        <w:rPr/>
      </w:pPr>
      <w:r>
        <w:rPr/>
        <w:t xml:space="preserve">We are now actively working with Moody’s Investor Service to address specific questions to facilitate a final rating decision.  Their review process should be completed over the next few months. </w:t>
      </w:r>
    </w:p>
    <w:p>
      <w:pPr>
        <w:pStyle w:val="Normal"/>
        <w:rPr/>
      </w:pPr>
      <w:r>
        <w:rPr/>
        <w:t xml:space="preserve"> </w:t>
      </w:r>
      <w:r>
        <w:rPr/>
        <w:t>As our credit ratings are important to our businesses, we will continue with our longstanding policy of protecting our ratings.</w:t>
      </w:r>
    </w:p>
    <w:p>
      <w:pPr>
        <w:pStyle w:val="Normal"/>
        <w:rPr/>
      </w:pPr>
      <w:r>
        <w:rPr/>
      </w:r>
    </w:p>
    <w:p>
      <w:pPr>
        <w:pStyle w:val="Normal"/>
        <w:rPr/>
      </w:pPr>
      <w:r>
        <w:rPr/>
        <w:t>Lastly, I would like to remind everyone that we have entered into a definitive agreement to sell Portland General to Northwest Natural Gas for approximately $1.9 billion and the assumption of $1.1 billion in Portland General debt.  The transaction is scheduled to close by the end of 2002.  We are highly confident that this transaction will close and has been structured in a manner acceptable to the Oregon PUC.</w:t>
      </w:r>
    </w:p>
    <w:p>
      <w:pPr>
        <w:pStyle w:val="Normal"/>
        <w:rPr/>
      </w:pPr>
      <w:r>
        <w:rPr/>
      </w:r>
    </w:p>
    <w:p>
      <w:pPr>
        <w:pStyle w:val="Normal"/>
        <w:rPr/>
      </w:pPr>
      <w:r>
        <w:rPr/>
        <w:t xml:space="preserve">   </w:t>
      </w:r>
    </w:p>
    <w:p>
      <w:pPr>
        <w:pStyle w:val="Heading1"/>
        <w:ind w:hanging="0" w:start="0"/>
        <w:rPr>
          <w:bCs/>
        </w:rPr>
      </w:pPr>
      <w:r>
        <w:rPr>
          <w:bCs/>
        </w:rPr>
        <w:t>Core Business</w:t>
      </w:r>
    </w:p>
    <w:p>
      <w:pPr>
        <w:pStyle w:val="Normal"/>
        <w:rPr>
          <w:bCs/>
        </w:rPr>
      </w:pPr>
      <w:r>
        <w:rPr>
          <w:bCs/>
        </w:rPr>
      </w:r>
    </w:p>
    <w:p>
      <w:pPr>
        <w:pStyle w:val="Normal"/>
        <w:rPr/>
      </w:pPr>
      <w:r>
        <w:rPr/>
        <w:t>As we discussed in the earnings conference call last week, our third quarter recurring operating results were outstanding, with a 26% increase in recurring earnings and a 65% increase in physical volumes.  These results reflect the superb performance of our core wholesale, retail and pipeline businesses.  In spite of the noise that is out there, we are continuing to stay focused on our businesses and remain well positioned for continued success.</w:t>
      </w:r>
    </w:p>
    <w:p>
      <w:pPr>
        <w:pStyle w:val="Normal"/>
        <w:rPr/>
      </w:pPr>
      <w:r>
        <w:rPr/>
      </w:r>
    </w:p>
    <w:p>
      <w:pPr>
        <w:pStyle w:val="Normal"/>
        <w:rPr/>
      </w:pPr>
      <w:r>
        <w:rPr/>
      </w:r>
    </w:p>
    <w:p>
      <w:pPr>
        <w:pStyle w:val="Heading1"/>
        <w:ind w:hanging="0" w:start="0"/>
        <w:rPr>
          <w:bCs/>
        </w:rPr>
      </w:pPr>
      <w:r>
        <w:rPr>
          <w:bCs/>
        </w:rPr>
        <w:t>Q&amp;A</w:t>
      </w:r>
    </w:p>
    <w:p>
      <w:pPr>
        <w:pStyle w:val="Normal"/>
        <w:rPr>
          <w:bCs/>
        </w:rPr>
      </w:pPr>
      <w:r>
        <w:rPr>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Say this after the Q&amp;A:</w:t>
      </w:r>
    </w:p>
    <w:p>
      <w:pPr>
        <w:pStyle w:val="Normal"/>
        <w:rPr>
          <w:b/>
          <w:bCs/>
        </w:rPr>
      </w:pPr>
      <w:r>
        <w:rPr>
          <w:b/>
          <w:bCs/>
        </w:rPr>
      </w:r>
    </w:p>
    <w:p>
      <w:pPr>
        <w:pStyle w:val="Normal"/>
        <w:rPr/>
      </w:pPr>
      <w:r>
        <w:rPr/>
        <w:t xml:space="preserve">As we said in the release yesterday, we are focused on our core businesses and delivering value to our customers around the world.  But, we also want to take the time we need to keep you informed.  We will set up another call in the next couple of weeks. Additionally, we will be posting on our website frequently asked questions and answers in order to get information out to you quickly.  Feel free to submit questions to </w:t>
      </w:r>
      <w:hyperlink r:id="rId3">
        <w:r>
          <w:rPr>
            <w:rStyle w:val="Hyperlink"/>
          </w:rPr>
          <w:t>answers@enron.com</w:t>
        </w:r>
      </w:hyperlink>
      <w:r>
        <w:rPr/>
        <w:t>.</w:t>
      </w:r>
    </w:p>
    <w:p>
      <w:pPr>
        <w:pStyle w:val="Normal"/>
        <w:rPr/>
      </w:pPr>
      <w:r>
        <w:rPr/>
      </w:r>
    </w:p>
    <w:p>
      <w:pPr>
        <w:pStyle w:val="Normal"/>
        <w:rPr/>
      </w:pPr>
      <w:r>
        <w:rPr/>
        <w:t>Thank you for your time and attention today.</w:t>
      </w:r>
    </w:p>
    <w:p>
      <w:pPr>
        <w:pStyle w:val="Normal"/>
        <w:rPr/>
      </w:pPr>
      <w:r>
        <w:rPr/>
      </w:r>
    </w:p>
    <w:p>
      <w:pPr>
        <w:pStyle w:val="Normal"/>
        <w:rPr/>
      </w:pPr>
      <w:r>
        <w:rPr/>
      </w:r>
    </w:p>
    <w:sectPr>
      <w:footerReference w:type="default" r:id="rId4"/>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152"/>
        </w:tabs>
        <w:ind w:start="115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ind w:hanging="1080" w:start="1080" w:end="0"/>
      <w:outlineLvl w:val="5"/>
    </w:pPr>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sz w:val="28"/>
    </w:rPr>
  </w:style>
  <w:style w:type="character" w:styleId="WW8Num8z0">
    <w:name w:val="WW8Num8z0"/>
    <w:qFormat/>
    <w:rPr/>
  </w:style>
  <w:style w:type="character" w:styleId="WW8Num8z1">
    <w:name w:val="WW8Num8z1"/>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Symbol" w:hAnsi="Symbol" w:cs="Symbol"/>
      <w:color w:val="auto"/>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New Roman" w:hAnsi="Times New Roman" w:cs="Times New Roman"/>
    </w:rPr>
  </w:style>
  <w:style w:type="character" w:styleId="WW8Num13z0">
    <w:name w:val="WW8Num13z0"/>
    <w:qFormat/>
    <w:rPr>
      <w:rFonts w:ascii="Wingdings" w:hAnsi="Wingdings" w:cs="Wingdings"/>
    </w:rPr>
  </w:style>
  <w:style w:type="character" w:styleId="WW8Num14z0">
    <w:name w:val="WW8Num14z0"/>
    <w:qFormat/>
    <w:rPr>
      <w:rFonts w:ascii="Symbol" w:hAnsi="Symbol" w:cs="Symbol"/>
      <w:color w:val="auto"/>
      <w:sz w:val="28"/>
    </w:rPr>
  </w:style>
  <w:style w:type="character" w:styleId="WW8Num15z0">
    <w:name w:val="WW8Num15z0"/>
    <w:qFormat/>
    <w:rPr>
      <w:rFonts w:ascii="Symbol" w:hAnsi="Symbol" w:cs="Symbol"/>
    </w:rPr>
  </w:style>
  <w:style w:type="character" w:styleId="WW8Num15z2">
    <w:name w:val="WW8Num15z2"/>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color w:val="auto"/>
      <w:sz w:val="28"/>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sz w:val="28"/>
    </w:rPr>
  </w:style>
  <w:style w:type="character" w:styleId="WW8Num21z0">
    <w:name w:val="WW8Num21z0"/>
    <w:qFormat/>
    <w:rPr>
      <w:rFonts w:ascii="Symbol" w:hAnsi="Symbol" w:cs="Symbol"/>
      <w:color w:val="auto"/>
      <w:sz w:val="28"/>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2">
    <w:name w:val="WW8Num28z2"/>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auto"/>
      <w:sz w:val="28"/>
    </w:rPr>
  </w:style>
  <w:style w:type="character" w:styleId="WW8Num33z0">
    <w:name w:val="WW8Num33z0"/>
    <w:qFormat/>
    <w:rPr>
      <w:rFonts w:ascii="Symbol" w:hAnsi="Symbol" w:cs="Symbol"/>
      <w:color w:val="auto"/>
      <w:sz w:val="28"/>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2">
    <w:name w:val="WW8Num36z2"/>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auto"/>
      <w:sz w:val="28"/>
    </w:rPr>
  </w:style>
  <w:style w:type="character" w:styleId="WW8Num39z0">
    <w:name w:val="WW8Num39z0"/>
    <w:qFormat/>
    <w:rPr>
      <w:rFonts w:ascii="Symbol" w:hAnsi="Symbol" w:cs="Symbol"/>
      <w:color w:val="auto"/>
      <w:sz w:val="28"/>
    </w:rPr>
  </w:style>
  <w:style w:type="character" w:styleId="WW8Num40z0">
    <w:name w:val="WW8Num40z0"/>
    <w:qFormat/>
    <w:rPr>
      <w:rFonts w:ascii="Symbol" w:hAnsi="Symbol" w:cs="Symbol"/>
      <w:color w:val="auto"/>
      <w:sz w:val="28"/>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auto"/>
      <w:sz w:val="28"/>
    </w:rPr>
  </w:style>
  <w:style w:type="character" w:styleId="WW8Num43z0">
    <w:name w:val="WW8Num43z0"/>
    <w:qFormat/>
    <w:rPr>
      <w:rFonts w:ascii="Wingdings" w:hAnsi="Wingdings" w:cs="Wingdings"/>
    </w:rPr>
  </w:style>
  <w:style w:type="character" w:styleId="WW8Num44z0">
    <w:name w:val="WW8Num44z0"/>
    <w:qFormat/>
    <w:rPr>
      <w:rFonts w:ascii="Symbol" w:hAnsi="Symbol" w:cs="Symbol"/>
      <w:color w:val="auto"/>
      <w:sz w:val="28"/>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cs="Courier New"/>
    </w:rPr>
  </w:style>
  <w:style w:type="character" w:styleId="WW8Num49z2">
    <w:name w:val="WW8Num49z2"/>
    <w:qFormat/>
    <w:rPr>
      <w:rFonts w:ascii="Wingdings" w:hAnsi="Wingdings" w:cs="Wingdings"/>
    </w:rPr>
  </w:style>
  <w:style w:type="character" w:styleId="WW8Num49z4">
    <w:name w:val="WW8Num49z4"/>
    <w:qFormat/>
    <w:rPr>
      <w:rFonts w:ascii="Courier New" w:hAnsi="Courier New" w:cs="Courier New"/>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color w:val="auto"/>
      <w:sz w:val="28"/>
    </w:rPr>
  </w:style>
  <w:style w:type="character" w:styleId="WW8Num52z0">
    <w:name w:val="WW8Num52z0"/>
    <w:qFormat/>
    <w:rPr>
      <w:rFonts w:ascii="Symbol" w:hAnsi="Symbol" w:cs="Symbol"/>
      <w:color w:val="auto"/>
      <w:sz w:val="28"/>
    </w:rPr>
  </w:style>
  <w:style w:type="character" w:styleId="WW8Num52z1">
    <w:name w:val="WW8Num52z1"/>
    <w:qFormat/>
    <w:rPr>
      <w:rFonts w:ascii="Times New Roman" w:hAnsi="Times New Roman" w:eastAsia="Times New Roman" w:cs="Times New Roman"/>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rPr>
  </w:style>
  <w:style w:type="character" w:styleId="WW8Num57z0">
    <w:name w:val="WW8Num57z0"/>
    <w:qFormat/>
    <w:rPr>
      <w:rFonts w:ascii="Symbol" w:hAnsi="Symbol" w:cs="Symbol"/>
      <w:color w:val="auto"/>
      <w:sz w:val="28"/>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auto"/>
      <w:sz w:val="28"/>
    </w:rPr>
  </w:style>
  <w:style w:type="character" w:styleId="WW8Num60z0">
    <w:name w:val="WW8Num60z0"/>
    <w:qFormat/>
    <w:rPr/>
  </w:style>
  <w:style w:type="character" w:styleId="WW8Num60z1">
    <w:name w:val="WW8Num60z1"/>
    <w:qFormat/>
    <w:rPr>
      <w:rFonts w:ascii="Symbol" w:hAnsi="Symbol" w:cs="Symbol"/>
    </w:rPr>
  </w:style>
  <w:style w:type="character" w:styleId="WW8Num61z0">
    <w:name w:val="WW8Num61z0"/>
    <w:qFormat/>
    <w:rPr>
      <w:rFonts w:ascii="Symbol" w:hAnsi="Symbol" w:cs="Symbol"/>
      <w:color w:val="auto"/>
      <w:sz w:val="28"/>
    </w:rPr>
  </w:style>
  <w:style w:type="character" w:styleId="WW8Num62z0">
    <w:name w:val="WW8Num62z0"/>
    <w:qFormat/>
    <w:rPr>
      <w:rFonts w:ascii="Symbol" w:hAnsi="Symbol" w:cs="Symbol"/>
      <w:color w:val="auto"/>
      <w:sz w:val="28"/>
    </w:rPr>
  </w:style>
  <w:style w:type="character" w:styleId="WW8Num63z0">
    <w:name w:val="WW8Num63z0"/>
    <w:qFormat/>
    <w:rPr>
      <w:rFonts w:ascii="Symbol" w:hAnsi="Symbol" w:cs="Symbol"/>
      <w:color w:val="auto"/>
      <w:sz w:val="28"/>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sz w:val="28"/>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color w:val="auto"/>
      <w:sz w:val="28"/>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Times New Roman" w:hAnsi="Times New Roman" w:cs="Times New Roman"/>
    </w:rPr>
  </w:style>
  <w:style w:type="character" w:styleId="WW8Num75z0">
    <w:name w:val="WW8Num75z0"/>
    <w:qFormat/>
    <w:rPr>
      <w:rFonts w:ascii="Symbol" w:hAnsi="Symbol" w:cs="Symbol"/>
    </w:rPr>
  </w:style>
  <w:style w:type="character" w:styleId="WW8Num75z2">
    <w:name w:val="WW8Num75z2"/>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color w:val="auto"/>
      <w:sz w:val="28"/>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color w:val="auto"/>
      <w:sz w:val="28"/>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5">
    <w:name w:val="WW8Num90z5"/>
    <w:qFormat/>
    <w:rPr>
      <w:rFonts w:ascii="Wingdings" w:hAnsi="Wingdings" w:cs="Wingdings"/>
    </w:rPr>
  </w:style>
  <w:style w:type="character" w:styleId="WW8Num91z0">
    <w:name w:val="WW8Num91z0"/>
    <w:qFormat/>
    <w:rPr>
      <w:rFonts w:ascii="Symbol" w:hAnsi="Symbol" w:cs="Symbol"/>
      <w:color w:val="auto"/>
      <w:sz w:val="28"/>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color w:val="auto"/>
      <w:sz w:val="28"/>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color w:val="auto"/>
      <w:sz w:val="28"/>
    </w:rPr>
  </w:style>
  <w:style w:type="character" w:styleId="WW8Num101z0">
    <w:name w:val="WW8Num101z0"/>
    <w:qFormat/>
    <w:rPr>
      <w:rFonts w:ascii="Symbol" w:hAnsi="Symbol" w:cs="Symbol"/>
      <w:color w:val="auto"/>
      <w:sz w:val="28"/>
    </w:rPr>
  </w:style>
  <w:style w:type="character" w:styleId="WW8Num102z0">
    <w:name w:val="WW8Num102z0"/>
    <w:qFormat/>
    <w:rPr/>
  </w:style>
  <w:style w:type="character" w:styleId="WW8Num103z0">
    <w:name w:val="WW8Num103z0"/>
    <w:qFormat/>
    <w:rPr>
      <w:rFonts w:ascii="Symbol" w:hAnsi="Symbol" w:cs="Symbol"/>
      <w:color w:val="auto"/>
      <w:sz w:val="28"/>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tLeast" w:line="240"/>
      <w:ind w:hanging="0" w:start="360" w:end="0"/>
    </w:pPr>
    <w:rPr>
      <w:b/>
      <w:color w:val="000000"/>
    </w:rPr>
  </w:style>
  <w:style w:type="paragraph" w:styleId="BodyText2">
    <w:name w:val="Body Text 2"/>
    <w:basedOn w:val="Normal"/>
    <w:qFormat/>
    <w:pPr/>
    <w:rPr>
      <w:color w:val="000000"/>
    </w:rPr>
  </w:style>
  <w:style w:type="paragraph" w:styleId="xl24">
    <w:name w:val="xl24"/>
    <w:basedOn w:val="Normal"/>
    <w:qFormat/>
    <w:pPr>
      <w:pBdr>
        <w:top w:val="single" w:sz="8" w:space="0" w:color="000000"/>
      </w:pBdr>
      <w:spacing w:before="100" w:after="100"/>
    </w:pPr>
    <w:rPr>
      <w:rFonts w:eastAsia="Arial Unicode MS"/>
      <w:szCs w:val="24"/>
    </w:rPr>
  </w:style>
  <w:style w:type="paragraph" w:styleId="xl25">
    <w:name w:val="xl25"/>
    <w:basedOn w:val="Normal"/>
    <w:qFormat/>
    <w:pPr>
      <w:pBdr>
        <w:top w:val="single" w:sz="8" w:space="0" w:color="000000"/>
        <w:right w:val="single" w:sz="8" w:space="0" w:color="000000"/>
      </w:pBdr>
      <w:spacing w:before="100" w:after="100"/>
    </w:pPr>
    <w:rPr>
      <w:rFonts w:eastAsia="Arial Unicode MS"/>
      <w:szCs w:val="24"/>
    </w:rPr>
  </w:style>
  <w:style w:type="paragraph" w:styleId="xl26">
    <w:name w:val="xl26"/>
    <w:basedOn w:val="Normal"/>
    <w:qFormat/>
    <w:pPr>
      <w:pBdr>
        <w:left w:val="single" w:sz="8" w:space="0" w:color="000000"/>
      </w:pBdr>
      <w:spacing w:before="100" w:after="100"/>
    </w:pPr>
    <w:rPr>
      <w:rFonts w:eastAsia="Arial Unicode MS"/>
      <w:b/>
      <w:bCs/>
      <w:szCs w:val="24"/>
      <w:u w:val="single"/>
    </w:rPr>
  </w:style>
  <w:style w:type="paragraph" w:styleId="xl27">
    <w:name w:val="xl27"/>
    <w:basedOn w:val="Normal"/>
    <w:qFormat/>
    <w:pPr>
      <w:spacing w:before="100" w:after="100"/>
    </w:pPr>
    <w:rPr>
      <w:rFonts w:eastAsia="Arial Unicode MS"/>
      <w:szCs w:val="24"/>
    </w:rPr>
  </w:style>
  <w:style w:type="paragraph" w:styleId="xl28">
    <w:name w:val="xl28"/>
    <w:basedOn w:val="Normal"/>
    <w:qFormat/>
    <w:pPr>
      <w:spacing w:before="100" w:after="100"/>
      <w:jc w:val="end"/>
    </w:pPr>
    <w:rPr>
      <w:rFonts w:eastAsia="Arial Unicode MS"/>
      <w:b/>
      <w:bCs/>
      <w:szCs w:val="24"/>
      <w:u w:val="single"/>
    </w:rPr>
  </w:style>
  <w:style w:type="paragraph" w:styleId="xl29">
    <w:name w:val="xl29"/>
    <w:basedOn w:val="Normal"/>
    <w:qFormat/>
    <w:pPr>
      <w:spacing w:before="100" w:after="100"/>
    </w:pPr>
    <w:rPr>
      <w:rFonts w:eastAsia="Arial Unicode MS"/>
      <w:b/>
      <w:bCs/>
      <w:szCs w:val="24"/>
      <w:u w:val="single"/>
    </w:rPr>
  </w:style>
  <w:style w:type="paragraph" w:styleId="xl30">
    <w:name w:val="xl30"/>
    <w:basedOn w:val="Normal"/>
    <w:qFormat/>
    <w:pPr>
      <w:pBdr>
        <w:right w:val="single" w:sz="8" w:space="0" w:color="000000"/>
      </w:pBdr>
      <w:spacing w:before="100" w:after="100"/>
    </w:pPr>
    <w:rPr>
      <w:rFonts w:eastAsia="Arial Unicode MS"/>
      <w:b/>
      <w:bCs/>
      <w:szCs w:val="24"/>
      <w:u w:val="single"/>
    </w:rPr>
  </w:style>
  <w:style w:type="paragraph" w:styleId="xl31">
    <w:name w:val="xl31"/>
    <w:basedOn w:val="Normal"/>
    <w:qFormat/>
    <w:pPr>
      <w:pBdr>
        <w:left w:val="single" w:sz="8" w:space="0" w:color="000000"/>
      </w:pBdr>
      <w:spacing w:before="100" w:after="100"/>
    </w:pPr>
    <w:rPr>
      <w:rFonts w:eastAsia="Arial Unicode MS"/>
      <w:szCs w:val="24"/>
    </w:rPr>
  </w:style>
  <w:style w:type="paragraph" w:styleId="xl32">
    <w:name w:val="xl32"/>
    <w:basedOn w:val="Normal"/>
    <w:qFormat/>
    <w:pPr>
      <w:spacing w:before="100" w:after="100"/>
    </w:pPr>
    <w:rPr>
      <w:rFonts w:eastAsia="Arial Unicode MS"/>
      <w:szCs w:val="24"/>
    </w:rPr>
  </w:style>
  <w:style w:type="paragraph" w:styleId="xl33">
    <w:name w:val="xl33"/>
    <w:basedOn w:val="Normal"/>
    <w:qFormat/>
    <w:pPr>
      <w:spacing w:before="100" w:after="100"/>
    </w:pPr>
    <w:rPr>
      <w:rFonts w:eastAsia="Arial Unicode MS"/>
      <w:szCs w:val="24"/>
      <w:u w:val="single"/>
    </w:rPr>
  </w:style>
  <w:style w:type="paragraph" w:styleId="xl34">
    <w:name w:val="xl34"/>
    <w:basedOn w:val="Normal"/>
    <w:qFormat/>
    <w:pPr>
      <w:pBdr>
        <w:left w:val="single" w:sz="8" w:space="0" w:color="000000"/>
      </w:pBdr>
      <w:spacing w:before="100" w:after="100"/>
    </w:pPr>
    <w:rPr>
      <w:rFonts w:eastAsia="Arial Unicode MS"/>
      <w:szCs w:val="24"/>
    </w:rPr>
  </w:style>
  <w:style w:type="paragraph" w:styleId="xl35">
    <w:name w:val="xl35"/>
    <w:basedOn w:val="Normal"/>
    <w:qFormat/>
    <w:pPr>
      <w:pBdr>
        <w:left w:val="single" w:sz="8" w:space="0" w:color="000000"/>
      </w:pBdr>
      <w:spacing w:before="100" w:after="100"/>
    </w:pPr>
    <w:rPr>
      <w:rFonts w:eastAsia="Arial Unicode MS"/>
      <w:b/>
      <w:bCs/>
      <w:szCs w:val="24"/>
      <w:u w:val="single"/>
    </w:rPr>
  </w:style>
  <w:style w:type="paragraph" w:styleId="xl36">
    <w:name w:val="xl36"/>
    <w:basedOn w:val="Normal"/>
    <w:qFormat/>
    <w:pPr>
      <w:pBdr>
        <w:left w:val="single" w:sz="8" w:space="0" w:color="000000"/>
        <w:bottom w:val="single" w:sz="8" w:space="0" w:color="000000"/>
      </w:pBdr>
      <w:spacing w:before="100" w:after="100"/>
    </w:pPr>
    <w:rPr>
      <w:rFonts w:eastAsia="Arial Unicode MS"/>
      <w:szCs w:val="24"/>
    </w:rPr>
  </w:style>
  <w:style w:type="paragraph" w:styleId="xl37">
    <w:name w:val="xl37"/>
    <w:basedOn w:val="Normal"/>
    <w:qFormat/>
    <w:pPr>
      <w:pBdr>
        <w:bottom w:val="single" w:sz="8" w:space="0" w:color="000000"/>
      </w:pBdr>
      <w:spacing w:before="100" w:after="100"/>
    </w:pPr>
    <w:rPr>
      <w:rFonts w:eastAsia="Arial Unicode MS"/>
      <w:szCs w:val="24"/>
    </w:rPr>
  </w:style>
  <w:style w:type="paragraph" w:styleId="xl38">
    <w:name w:val="xl38"/>
    <w:basedOn w:val="Normal"/>
    <w:qFormat/>
    <w:pPr>
      <w:pBdr>
        <w:bottom w:val="single" w:sz="8" w:space="0" w:color="000000"/>
        <w:right w:val="single" w:sz="8" w:space="0" w:color="000000"/>
      </w:pBdr>
      <w:spacing w:before="100" w:after="100"/>
    </w:pPr>
    <w:rPr>
      <w:rFonts w:eastAsia="Arial Unicode MS"/>
      <w:szCs w:val="24"/>
    </w:rPr>
  </w:style>
  <w:style w:type="paragraph" w:styleId="xl39">
    <w:name w:val="xl39"/>
    <w:basedOn w:val="Normal"/>
    <w:qFormat/>
    <w:pPr>
      <w:pBdr>
        <w:bottom w:val="single" w:sz="8" w:space="0" w:color="000000"/>
      </w:pBdr>
      <w:spacing w:before="100" w:after="100"/>
    </w:pPr>
    <w:rPr>
      <w:rFonts w:eastAsia="Arial Unicode MS"/>
      <w:szCs w:val="24"/>
    </w:rPr>
  </w:style>
  <w:style w:type="paragraph" w:styleId="xl40">
    <w:name w:val="xl40"/>
    <w:basedOn w:val="Normal"/>
    <w:qFormat/>
    <w:pPr>
      <w:pBdr>
        <w:bottom w:val="single" w:sz="8" w:space="0" w:color="000000"/>
        <w:right w:val="single" w:sz="8" w:space="0" w:color="000000"/>
      </w:pBdr>
      <w:spacing w:before="100" w:after="100"/>
    </w:pPr>
    <w:rPr>
      <w:rFonts w:eastAsia="Arial Unicode MS"/>
      <w:szCs w:val="24"/>
    </w:rPr>
  </w:style>
  <w:style w:type="paragraph" w:styleId="BodyText3">
    <w:name w:val="Body Text 3"/>
    <w:basedOn w:val="Normal"/>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answers@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2001-10-22T20:54:00Z</dcterms:created>
  <dc:creator>ENRON</dc:creator>
  <dc:description/>
  <dc:language>en-CA</dc:language>
  <cp:lastModifiedBy>Gay Mayeux</cp:lastModifiedBy>
  <cp:lastPrinted>2001-10-22T20:19:00Z</cp:lastPrinted>
  <dcterms:modified xsi:type="dcterms:W3CDTF">2001-10-22T23:23:00Z</dcterms:modified>
  <cp:revision>15</cp:revision>
  <dc:subject/>
  <dc:title>ENEQ400cc</dc:title>
</cp:coreProperties>
</file>