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pPr>
            <w:r>
              <w:rPr>
                <w:b/>
                <w:sz w:val="24"/>
              </w:rPr>
              <w:t>Date:</w:t>
            </w:r>
            <w:r>
              <w:rPr>
                <w:sz w:val="24"/>
              </w:rPr>
              <w:t xml:space="preserve"> October 19, 2000</w:t>
            </w:r>
          </w:p>
        </w:tc>
      </w:tr>
    </w:tbl>
    <w:p>
      <w:pPr>
        <w:pStyle w:val="BodyText"/>
        <w:rPr/>
      </w:pPr>
      <w:r>
        <w:rPr/>
      </w:r>
    </w:p>
    <w:p>
      <w:pPr>
        <w:pStyle w:val="BodyText"/>
        <w:rPr/>
      </w:pPr>
      <w:r>
        <w:rPr/>
      </w:r>
    </w:p>
    <w:p>
      <w:pPr>
        <w:pStyle w:val="BodyText"/>
        <w:rPr/>
      </w:pPr>
      <w:r>
        <w:rPr>
          <w:b/>
        </w:rPr>
        <w:t>For Release:</w:t>
      </w:r>
      <w:r>
        <w:rPr/>
        <w:t xml:space="preserve"> Immediately</w:t>
      </w:r>
    </w:p>
    <w:p>
      <w:pPr>
        <w:pStyle w:val="BodyText"/>
        <w:rPr/>
      </w:pPr>
      <w:r>
        <w:rPr>
          <w:b/>
        </w:rPr>
        <w:t>Refer to:</w:t>
      </w:r>
      <w:r>
        <w:rPr/>
        <w:t xml:space="preserve"> (317) 276-5795 – Terra L. Fox </w:t>
      </w:r>
    </w:p>
    <w:p>
      <w:pPr>
        <w:pStyle w:val="BodyText"/>
        <w:ind w:hanging="990" w:start="990" w:end="0"/>
        <w:rPr/>
      </w:pPr>
      <w:r>
        <w:rPr/>
        <w:tab/>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Normal"/>
        <w:suppressAutoHyphens w:val="true"/>
        <w:spacing w:lineRule="atLeast" w:line="360"/>
        <w:jc w:val="center"/>
        <w:rPr>
          <w:b/>
          <w:sz w:val="24"/>
        </w:rPr>
      </w:pPr>
      <w:r>
        <w:rPr>
          <w:b/>
          <w:sz w:val="24"/>
        </w:rPr>
        <w:t>Lilly Announces Third-Quarter Earnings per Share of $.71,</w:t>
      </w:r>
    </w:p>
    <w:p>
      <w:pPr>
        <w:pStyle w:val="Normal"/>
        <w:suppressAutoHyphens w:val="true"/>
        <w:jc w:val="center"/>
        <w:rPr>
          <w:b/>
          <w:sz w:val="24"/>
        </w:rPr>
      </w:pPr>
      <w:r>
        <w:rPr>
          <w:b/>
          <w:sz w:val="24"/>
        </w:rPr>
        <w:t xml:space="preserve">An Increase of 15 Percent Over the Normalized Results of the Prior Year  </w:t>
      </w:r>
    </w:p>
    <w:p>
      <w:pPr>
        <w:pStyle w:val="Heading4"/>
        <w:suppressAutoHyphens w:val="true"/>
        <w:ind w:hanging="0" w:start="0"/>
        <w:rPr>
          <w:rFonts w:ascii="Times New Roman" w:hAnsi="Times New Roman" w:cs="Times New Roman"/>
        </w:rPr>
      </w:pPr>
      <w:r>
        <w:rPr>
          <w:rFonts w:cs="Times New Roman" w:ascii="Times New Roman" w:hAnsi="Times New Roman"/>
        </w:rPr>
        <w:t xml:space="preserve">The Company Provides an Update on Its Depression Portfolio Strategy </w:t>
      </w:r>
    </w:p>
    <w:p>
      <w:pPr>
        <w:pStyle w:val="Heading4"/>
        <w:suppressAutoHyphens w:val="true"/>
        <w:ind w:hanging="0" w:start="0"/>
        <w:rPr>
          <w:rFonts w:ascii="Times New Roman" w:hAnsi="Times New Roman" w:cs="Times New Roman"/>
        </w:rPr>
      </w:pPr>
      <w:r>
        <w:rPr>
          <w:rFonts w:cs="Times New Roman" w:ascii="Times New Roman" w:hAnsi="Times New Roman"/>
        </w:rPr>
        <w:t>and Guidance for 2000</w:t>
      </w:r>
    </w:p>
    <w:p>
      <w:pPr>
        <w:pStyle w:val="Normal"/>
        <w:suppressAutoHyphens w:val="true"/>
        <w:spacing w:lineRule="atLeast" w:line="360"/>
        <w:rPr>
          <w:rFonts w:ascii="Times New Roman" w:hAnsi="Times New Roman" w:cs="Times New Roman"/>
          <w:u w:val="single"/>
        </w:rPr>
      </w:pPr>
      <w:r>
        <w:rPr>
          <w:rFonts w:cs="Times New Roman"/>
          <w:u w:val="single"/>
        </w:rPr>
      </w:r>
    </w:p>
    <w:p>
      <w:pPr>
        <w:pStyle w:val="Normal"/>
        <w:suppressAutoHyphens w:val="true"/>
        <w:spacing w:lineRule="atLeast" w:line="360"/>
        <w:rPr>
          <w:color w:val="000000"/>
          <w:sz w:val="24"/>
        </w:rPr>
      </w:pPr>
      <w:r>
        <w:rPr>
          <w:color w:val="000000"/>
          <w:sz w:val="24"/>
        </w:rPr>
        <w:t>Eli Lilly and Company (NYSE: LLY) today announced financial results for the third quarter of 2000.</w:t>
      </w:r>
    </w:p>
    <w:p>
      <w:pPr>
        <w:pStyle w:val="Normal"/>
        <w:suppressAutoHyphens w:val="true"/>
        <w:spacing w:lineRule="atLeast" w:line="360"/>
        <w:rPr>
          <w:color w:val="000000"/>
          <w:sz w:val="24"/>
        </w:rPr>
      </w:pPr>
      <w:r>
        <w:rPr>
          <w:color w:val="000000"/>
          <w:sz w:val="24"/>
        </w:rPr>
      </w:r>
    </w:p>
    <w:p>
      <w:pPr>
        <w:pStyle w:val="Normal"/>
        <w:suppressAutoHyphens w:val="true"/>
        <w:spacing w:lineRule="atLeast" w:line="360"/>
        <w:rPr>
          <w:color w:val="000000"/>
          <w:sz w:val="24"/>
          <w:u w:val="single"/>
        </w:rPr>
      </w:pPr>
      <w:r>
        <w:rPr>
          <w:color w:val="000000"/>
          <w:sz w:val="24"/>
          <w:u w:val="single"/>
        </w:rPr>
        <w:t>Third-Quarter Highlights</w:t>
      </w:r>
    </w:p>
    <w:p>
      <w:pPr>
        <w:pStyle w:val="Normal"/>
        <w:numPr>
          <w:ilvl w:val="0"/>
          <w:numId w:val="7"/>
        </w:numPr>
        <w:suppressAutoHyphens w:val="true"/>
        <w:spacing w:lineRule="atLeast" w:line="360"/>
        <w:rPr>
          <w:color w:val="000000"/>
          <w:sz w:val="24"/>
        </w:rPr>
      </w:pPr>
      <w:r>
        <w:rPr>
          <w:color w:val="000000"/>
          <w:sz w:val="24"/>
        </w:rPr>
        <w:t>Worldwide sales increased 9 percent, to $2.812 billion.</w:t>
      </w:r>
    </w:p>
    <w:p>
      <w:pPr>
        <w:pStyle w:val="Normal"/>
        <w:numPr>
          <w:ilvl w:val="0"/>
          <w:numId w:val="7"/>
        </w:numPr>
        <w:suppressAutoHyphens w:val="true"/>
        <w:spacing w:lineRule="atLeast" w:line="360"/>
        <w:ind w:hanging="360" w:start="360" w:end="-360"/>
        <w:rPr>
          <w:color w:val="000000"/>
          <w:sz w:val="24"/>
        </w:rPr>
      </w:pPr>
      <w:r>
        <w:rPr>
          <w:color w:val="000000"/>
          <w:sz w:val="24"/>
        </w:rPr>
        <w:t>Excluding the effect of a one-time gain on the sale of Lorabid</w:t>
      </w:r>
      <w:r>
        <w:rPr>
          <w:color w:val="000000"/>
          <w:sz w:val="24"/>
          <w:vertAlign w:val="superscript"/>
        </w:rPr>
        <w:t>®</w:t>
      </w:r>
      <w:r>
        <w:rPr>
          <w:color w:val="000000"/>
          <w:sz w:val="24"/>
        </w:rPr>
        <w:t xml:space="preserve"> marketing rights during the third quarter of 1999, net income increased 15 percent, to $778.8 million, and diluted earnings per share increased 15 percent, to $.71 per share.</w:t>
      </w:r>
    </w:p>
    <w:p>
      <w:pPr>
        <w:pStyle w:val="Normal"/>
        <w:suppressAutoHyphens w:val="true"/>
        <w:spacing w:lineRule="atLeast" w:line="360"/>
        <w:ind w:end="-360"/>
        <w:rPr>
          <w:color w:val="000000"/>
          <w:sz w:val="24"/>
        </w:rPr>
      </w:pPr>
      <w:r>
        <w:rPr>
          <w:color w:val="000000"/>
          <w:sz w:val="24"/>
        </w:rPr>
      </w:r>
    </w:p>
    <w:p>
      <w:pPr>
        <w:pStyle w:val="Normal"/>
        <w:tabs>
          <w:tab w:val="clear" w:pos="720"/>
          <w:tab w:val="left" w:pos="3870" w:leader="none"/>
          <w:tab w:val="left" w:pos="5040" w:leader="none"/>
          <w:tab w:val="left" w:pos="6840" w:leader="none"/>
          <w:tab w:val="left" w:pos="8370" w:leader="none"/>
        </w:tabs>
        <w:suppressAutoHyphens w:val="true"/>
        <w:ind w:end="-1440"/>
        <w:rPr>
          <w:color w:val="000000"/>
          <w:sz w:val="24"/>
          <w:u w:val="single"/>
        </w:rPr>
      </w:pPr>
      <w:r>
        <w:rPr>
          <w:color w:val="000000"/>
          <w:sz w:val="24"/>
          <w:u w:val="single"/>
        </w:rPr>
        <w:t>Pharmaceutical Product Sales Highlights as Reported</w:t>
      </w:r>
    </w:p>
    <w:p>
      <w:pPr>
        <w:pStyle w:val="Normal"/>
        <w:tabs>
          <w:tab w:val="clear" w:pos="720"/>
          <w:tab w:val="left" w:pos="3870" w:leader="none"/>
          <w:tab w:val="left" w:pos="4770" w:leader="none"/>
          <w:tab w:val="left" w:pos="6930" w:leader="none"/>
          <w:tab w:val="left" w:pos="8460" w:leader="none"/>
        </w:tabs>
        <w:suppressAutoHyphens w:val="true"/>
        <w:ind w:end="-1440"/>
        <w:rPr/>
      </w:pPr>
      <w:r>
        <w:rPr>
          <w:color w:val="000000"/>
          <w:sz w:val="24"/>
        </w:rPr>
        <w:tab/>
        <w:tab/>
      </w:r>
      <w:r>
        <w:rPr>
          <w:color w:val="000000"/>
          <w:sz w:val="24"/>
          <w:u w:val="single"/>
        </w:rPr>
        <w:t xml:space="preserve">  % Change</w:t>
      </w:r>
      <w:r>
        <w:rPr>
          <w:color w:val="000000"/>
          <w:sz w:val="24"/>
        </w:rPr>
        <w:t xml:space="preserve"> </w:t>
        <w:tab/>
        <w:tab/>
      </w:r>
      <w:r>
        <w:rPr>
          <w:color w:val="000000"/>
          <w:sz w:val="24"/>
          <w:u w:val="single"/>
        </w:rPr>
        <w:t>% Change</w:t>
      </w:r>
    </w:p>
    <w:p>
      <w:pPr>
        <w:pStyle w:val="Normal"/>
        <w:tabs>
          <w:tab w:val="clear" w:pos="720"/>
          <w:tab w:val="left" w:pos="2880" w:leader="none"/>
          <w:tab w:val="left" w:pos="4770" w:leader="none"/>
          <w:tab w:val="left" w:pos="6570" w:leader="none"/>
          <w:tab w:val="left" w:pos="8280" w:leader="none"/>
          <w:tab w:val="left" w:pos="9360" w:leader="none"/>
        </w:tabs>
        <w:suppressAutoHyphens w:val="true"/>
        <w:ind w:end="-1440"/>
        <w:rPr>
          <w:color w:val="000000"/>
          <w:sz w:val="24"/>
        </w:rPr>
      </w:pPr>
      <w:r>
        <w:rPr>
          <w:color w:val="000000"/>
          <w:sz w:val="24"/>
        </w:rPr>
        <w:t>(Dollars in millions)</w:t>
        <w:tab/>
      </w:r>
      <w:r>
        <w:rPr>
          <w:color w:val="000000"/>
          <w:sz w:val="24"/>
          <w:u w:val="single"/>
        </w:rPr>
        <w:t>Third Quarter</w:t>
      </w:r>
      <w:r>
        <w:rPr>
          <w:color w:val="000000"/>
          <w:sz w:val="24"/>
        </w:rPr>
        <w:tab/>
      </w:r>
      <w:r>
        <w:rPr>
          <w:color w:val="000000"/>
          <w:sz w:val="24"/>
          <w:u w:val="single"/>
        </w:rPr>
        <w:t>Over/(Under)</w:t>
      </w:r>
      <w:r>
        <w:rPr>
          <w:color w:val="000000"/>
          <w:sz w:val="24"/>
        </w:rPr>
        <w:tab/>
      </w:r>
      <w:r>
        <w:rPr>
          <w:color w:val="000000"/>
          <w:sz w:val="24"/>
          <w:u w:val="single"/>
        </w:rPr>
        <w:t>Year-to-Date</w:t>
      </w:r>
      <w:r>
        <w:rPr>
          <w:color w:val="000000"/>
          <w:sz w:val="24"/>
        </w:rPr>
        <w:tab/>
      </w:r>
      <w:r>
        <w:rPr>
          <w:color w:val="000000"/>
          <w:sz w:val="24"/>
          <w:u w:val="single"/>
        </w:rPr>
        <w:t>Over/(Under)</w:t>
      </w:r>
    </w:p>
    <w:p>
      <w:pPr>
        <w:pStyle w:val="Normal"/>
        <w:tabs>
          <w:tab w:val="clear" w:pos="720"/>
          <w:tab w:val="left" w:pos="2880" w:leader="none"/>
          <w:tab w:val="left" w:pos="3960" w:leader="none"/>
          <w:tab w:val="left" w:pos="5130" w:leader="none"/>
          <w:tab w:val="left" w:pos="6570" w:leader="none"/>
          <w:tab w:val="left" w:pos="7650" w:leader="none"/>
          <w:tab w:val="left" w:pos="8730" w:leader="none"/>
          <w:tab w:val="left" w:pos="9360" w:leader="none"/>
        </w:tabs>
        <w:suppressAutoHyphens w:val="true"/>
        <w:ind w:end="-1440"/>
        <w:rPr/>
      </w:pPr>
      <w:r>
        <w:rPr>
          <w:color w:val="000000"/>
          <w:sz w:val="24"/>
        </w:rPr>
        <w:tab/>
      </w:r>
      <w:r>
        <w:rPr>
          <w:color w:val="000000"/>
          <w:sz w:val="24"/>
          <w:u w:val="single"/>
        </w:rPr>
        <w:t>2000</w:t>
      </w:r>
      <w:r>
        <w:rPr>
          <w:color w:val="000000"/>
          <w:sz w:val="24"/>
        </w:rPr>
        <w:tab/>
      </w:r>
      <w:r>
        <w:rPr>
          <w:color w:val="000000"/>
          <w:sz w:val="24"/>
          <w:u w:val="single"/>
        </w:rPr>
        <w:t>1999</w:t>
      </w:r>
      <w:r>
        <w:rPr>
          <w:color w:val="000000"/>
          <w:sz w:val="24"/>
        </w:rPr>
        <w:tab/>
      </w:r>
      <w:r>
        <w:rPr>
          <w:color w:val="000000"/>
          <w:sz w:val="24"/>
          <w:u w:val="single"/>
        </w:rPr>
        <w:t>1999</w:t>
      </w:r>
      <w:r>
        <w:rPr>
          <w:color w:val="000000"/>
          <w:sz w:val="24"/>
        </w:rPr>
        <w:tab/>
      </w:r>
      <w:r>
        <w:rPr>
          <w:color w:val="000000"/>
          <w:sz w:val="24"/>
          <w:u w:val="single"/>
        </w:rPr>
        <w:t>2000</w:t>
      </w:r>
      <w:r>
        <w:rPr>
          <w:color w:val="000000"/>
          <w:sz w:val="24"/>
        </w:rPr>
        <w:tab/>
      </w:r>
      <w:r>
        <w:rPr>
          <w:color w:val="000000"/>
          <w:sz w:val="24"/>
          <w:u w:val="single"/>
        </w:rPr>
        <w:t>1999</w:t>
      </w:r>
      <w:r>
        <w:rPr>
          <w:color w:val="000000"/>
          <w:sz w:val="24"/>
        </w:rPr>
        <w:tab/>
      </w:r>
      <w:r>
        <w:rPr>
          <w:color w:val="000000"/>
          <w:sz w:val="24"/>
          <w:u w:val="single"/>
        </w:rPr>
        <w:t>1999</w:t>
      </w:r>
    </w:p>
    <w:p>
      <w:pPr>
        <w:pStyle w:val="List"/>
        <w:tabs>
          <w:tab w:val="clear" w:pos="720"/>
          <w:tab w:val="right" w:pos="3420" w:leader="none"/>
          <w:tab w:val="right" w:pos="4500" w:leader="none"/>
          <w:tab w:val="right" w:pos="5670" w:leader="none"/>
          <w:tab w:val="right" w:pos="7110" w:leader="none"/>
          <w:tab w:val="right" w:pos="8190" w:leader="none"/>
          <w:tab w:val="right" w:pos="9270" w:leader="none"/>
        </w:tabs>
        <w:suppressAutoHyphens w:val="true"/>
        <w:ind w:hanging="0" w:start="0" w:end="-1440"/>
        <w:rPr/>
      </w:pPr>
      <w:r>
        <w:rPr>
          <w:color w:val="000000"/>
          <w:sz w:val="24"/>
        </w:rPr>
        <w:t>Prozac</w:t>
      </w:r>
      <w:r>
        <w:rPr>
          <w:color w:val="000000"/>
          <w:sz w:val="24"/>
          <w:vertAlign w:val="superscript"/>
        </w:rPr>
        <w:t>®</w:t>
      </w:r>
      <w:r>
        <w:rPr>
          <w:color w:val="000000"/>
          <w:sz w:val="24"/>
        </w:rPr>
        <w:t xml:space="preserve"> and Sarafem</w:t>
      </w:r>
      <w:r>
        <w:rPr>
          <w:color w:val="000000"/>
        </w:rPr>
        <w:t>™</w:t>
      </w:r>
      <w:r>
        <w:rPr>
          <w:color w:val="000000"/>
          <w:sz w:val="24"/>
        </w:rPr>
        <w:tab/>
        <w:t>$680.2</w:t>
        <w:tab/>
        <w:t>$690.2</w:t>
        <w:tab/>
        <w:t>(1)%</w:t>
        <w:tab/>
        <w:t>$1,903.8</w:t>
        <w:tab/>
        <w:t>$1,968.1</w:t>
        <w:tab/>
        <w:t>(3)%</w:t>
      </w:r>
    </w:p>
    <w:p>
      <w:pPr>
        <w:pStyle w:val="List"/>
        <w:tabs>
          <w:tab w:val="clear" w:pos="720"/>
          <w:tab w:val="right" w:pos="3420" w:leader="none"/>
          <w:tab w:val="right" w:pos="3870" w:leader="none"/>
          <w:tab w:val="right" w:pos="4500" w:leader="none"/>
          <w:tab w:val="right" w:pos="5670" w:leader="none"/>
          <w:tab w:val="right" w:pos="7110" w:leader="none"/>
          <w:tab w:val="right" w:pos="8190" w:leader="none"/>
          <w:tab w:val="right" w:pos="9270" w:leader="none"/>
        </w:tabs>
        <w:suppressAutoHyphens w:val="true"/>
        <w:ind w:hanging="0" w:start="0" w:end="-1440"/>
        <w:rPr/>
      </w:pPr>
      <w:r>
        <w:rPr>
          <w:color w:val="000000"/>
          <w:sz w:val="24"/>
        </w:rPr>
        <w:t>Zyprexa</w:t>
      </w:r>
      <w:r>
        <w:rPr>
          <w:color w:val="000000"/>
          <w:sz w:val="24"/>
          <w:vertAlign w:val="superscript"/>
        </w:rPr>
        <w:t>®</w:t>
      </w:r>
      <w:r>
        <w:rPr>
          <w:color w:val="000000"/>
          <w:sz w:val="24"/>
        </w:rPr>
        <w:tab/>
        <w:t>644.9</w:t>
        <w:tab/>
        <w:tab/>
        <w:t>502.9</w:t>
        <w:tab/>
        <w:t>28%</w:t>
        <w:tab/>
        <w:t>1,653.7</w:t>
        <w:tab/>
        <w:t>1,297.2</w:t>
        <w:tab/>
        <w:t>27%</w:t>
      </w:r>
    </w:p>
    <w:p>
      <w:pPr>
        <w:pStyle w:val="List"/>
        <w:tabs>
          <w:tab w:val="clear" w:pos="720"/>
          <w:tab w:val="right" w:pos="3420" w:leader="none"/>
          <w:tab w:val="right" w:pos="3870" w:leader="none"/>
          <w:tab w:val="right" w:pos="4500" w:leader="none"/>
          <w:tab w:val="right" w:pos="5670" w:leader="none"/>
          <w:tab w:val="right" w:pos="7110" w:leader="none"/>
          <w:tab w:val="right" w:pos="8190" w:leader="none"/>
          <w:tab w:val="right" w:pos="9270" w:leader="none"/>
        </w:tabs>
        <w:suppressAutoHyphens w:val="true"/>
        <w:ind w:hanging="0" w:start="0" w:end="-1440"/>
        <w:rPr>
          <w:color w:val="000000"/>
          <w:sz w:val="24"/>
        </w:rPr>
      </w:pPr>
      <w:r>
        <w:rPr>
          <w:color w:val="000000"/>
          <w:sz w:val="24"/>
        </w:rPr>
        <w:t>Diabetes Care Products</w:t>
        <w:tab/>
        <w:t>450.0</w:t>
        <w:tab/>
        <w:tab/>
        <w:t>393.4</w:t>
        <w:tab/>
        <w:t>14%</w:t>
        <w:tab/>
        <w:t>1,295.6</w:t>
        <w:tab/>
        <w:t>1,018.5</w:t>
        <w:tab/>
        <w:t>27%</w:t>
      </w:r>
    </w:p>
    <w:p>
      <w:pPr>
        <w:pStyle w:val="List"/>
        <w:tabs>
          <w:tab w:val="clear" w:pos="720"/>
          <w:tab w:val="right" w:pos="3420" w:leader="none"/>
          <w:tab w:val="right" w:pos="4500" w:leader="none"/>
          <w:tab w:val="right" w:pos="5670" w:leader="none"/>
          <w:tab w:val="right" w:pos="7110" w:leader="none"/>
          <w:tab w:val="right" w:pos="8190" w:leader="none"/>
          <w:tab w:val="right" w:pos="9270" w:leader="none"/>
        </w:tabs>
        <w:suppressAutoHyphens w:val="true"/>
        <w:ind w:hanging="0" w:start="0" w:end="-1440"/>
        <w:rPr/>
      </w:pPr>
      <w:r>
        <w:rPr>
          <w:color w:val="000000"/>
          <w:sz w:val="24"/>
        </w:rPr>
        <w:t>Gemzar</w:t>
      </w:r>
      <w:r>
        <w:rPr>
          <w:color w:val="000000"/>
          <w:sz w:val="24"/>
          <w:vertAlign w:val="superscript"/>
        </w:rPr>
        <w:t>®</w:t>
      </w:r>
      <w:r>
        <w:rPr>
          <w:color w:val="000000"/>
          <w:sz w:val="24"/>
        </w:rPr>
        <w:tab/>
        <w:t>155.1</w:t>
        <w:tab/>
        <w:t>119.2</w:t>
        <w:tab/>
        <w:t>30%</w:t>
        <w:tab/>
        <w:t>399.0</w:t>
        <w:tab/>
        <w:t>320.1</w:t>
        <w:tab/>
        <w:t>25%</w:t>
      </w:r>
    </w:p>
    <w:p>
      <w:pPr>
        <w:pStyle w:val="List"/>
        <w:tabs>
          <w:tab w:val="clear" w:pos="720"/>
          <w:tab w:val="right" w:pos="3420" w:leader="none"/>
          <w:tab w:val="right" w:pos="4500" w:leader="none"/>
          <w:tab w:val="right" w:pos="5670" w:leader="none"/>
          <w:tab w:val="right" w:pos="7110" w:leader="none"/>
          <w:tab w:val="right" w:pos="8190" w:leader="none"/>
          <w:tab w:val="right" w:pos="9270" w:leader="none"/>
        </w:tabs>
        <w:suppressAutoHyphens w:val="true"/>
        <w:ind w:hanging="0" w:start="0" w:end="-1440"/>
        <w:rPr/>
      </w:pPr>
      <w:r>
        <w:rPr>
          <w:color w:val="000000"/>
          <w:sz w:val="24"/>
        </w:rPr>
        <w:t>Evista</w:t>
      </w:r>
      <w:r>
        <w:rPr>
          <w:color w:val="000000"/>
          <w:sz w:val="24"/>
          <w:vertAlign w:val="superscript"/>
        </w:rPr>
        <w:t>®</w:t>
      </w:r>
      <w:r>
        <w:rPr>
          <w:color w:val="000000"/>
          <w:sz w:val="24"/>
        </w:rPr>
        <w:tab/>
        <w:t>141.5</w:t>
        <w:tab/>
        <w:t>92.8</w:t>
        <w:tab/>
        <w:t>53%</w:t>
        <w:tab/>
        <w:t>375.7</w:t>
        <w:tab/>
        <w:t>213.9</w:t>
        <w:tab/>
        <w:t>76%</w:t>
      </w:r>
    </w:p>
    <w:p>
      <w:pPr>
        <w:pStyle w:val="List"/>
        <w:tabs>
          <w:tab w:val="clear" w:pos="720"/>
          <w:tab w:val="right" w:pos="3420" w:leader="none"/>
          <w:tab w:val="right" w:pos="4500" w:leader="none"/>
          <w:tab w:val="right" w:pos="5670" w:leader="none"/>
          <w:tab w:val="right" w:pos="7110" w:leader="none"/>
          <w:tab w:val="right" w:pos="8190" w:leader="none"/>
          <w:tab w:val="right" w:pos="9270" w:leader="none"/>
        </w:tabs>
        <w:suppressAutoHyphens w:val="true"/>
        <w:ind w:hanging="0" w:start="0" w:end="-1440"/>
        <w:rPr/>
      </w:pPr>
      <w:r>
        <w:rPr>
          <w:color w:val="000000"/>
          <w:sz w:val="24"/>
        </w:rPr>
        <w:t>ReoPro</w:t>
      </w:r>
      <w:r>
        <w:rPr>
          <w:color w:val="000000"/>
          <w:sz w:val="24"/>
          <w:vertAlign w:val="superscript"/>
        </w:rPr>
        <w:t>®</w:t>
      </w:r>
      <w:r>
        <w:rPr>
          <w:color w:val="000000"/>
          <w:sz w:val="24"/>
        </w:rPr>
        <w:tab/>
        <w:t>97.7</w:t>
        <w:tab/>
        <w:t>107.3</w:t>
        <w:tab/>
        <w:t>(9)%</w:t>
        <w:tab/>
        <w:t>312.5</w:t>
        <w:tab/>
        <w:t>322.5</w:t>
        <w:tab/>
        <w:t>(3)%</w:t>
      </w:r>
    </w:p>
    <w:p>
      <w:pPr>
        <w:pStyle w:val="List"/>
        <w:tabs>
          <w:tab w:val="clear" w:pos="720"/>
          <w:tab w:val="right" w:pos="3420" w:leader="none"/>
          <w:tab w:val="right" w:pos="4500" w:leader="none"/>
          <w:tab w:val="right" w:pos="5760" w:leader="none"/>
          <w:tab w:val="right" w:pos="7290" w:leader="none"/>
          <w:tab w:val="right" w:pos="8190" w:leader="none"/>
          <w:tab w:val="right" w:pos="9270" w:leader="none"/>
        </w:tabs>
        <w:suppressAutoHyphens w:val="true"/>
        <w:ind w:hanging="0" w:start="0" w:end="-1440"/>
        <w:rPr>
          <w:color w:val="000000"/>
          <w:sz w:val="24"/>
        </w:rPr>
      </w:pPr>
      <w:r>
        <w:rPr>
          <w:color w:val="000000"/>
          <w:sz w:val="24"/>
        </w:rPr>
      </w:r>
    </w:p>
    <w:p>
      <w:pPr>
        <w:pStyle w:val="Normal"/>
        <w:suppressAutoHyphens w:val="true"/>
        <w:spacing w:lineRule="atLeast" w:line="360"/>
        <w:rPr>
          <w:color w:val="000000"/>
          <w:sz w:val="24"/>
          <w:u w:val="single"/>
        </w:rPr>
      </w:pPr>
      <w:r>
        <w:rPr>
          <w:color w:val="000000"/>
          <w:sz w:val="24"/>
          <w:u w:val="single"/>
        </w:rPr>
        <w:t>Third-Quarter Results</w:t>
      </w:r>
    </w:p>
    <w:p>
      <w:pPr>
        <w:pStyle w:val="Normal"/>
        <w:suppressAutoHyphens w:val="true"/>
        <w:spacing w:lineRule="atLeast" w:line="360"/>
        <w:rPr>
          <w:color w:val="000000"/>
          <w:sz w:val="24"/>
        </w:rPr>
      </w:pPr>
      <w:r>
        <w:rPr>
          <w:color w:val="000000"/>
          <w:sz w:val="24"/>
        </w:rPr>
        <w:t xml:space="preserve">Worldwide sales for the quarter were $2.812 billion, an increase of 9 percent compared with sales of $2.585 billion in the third quarter of 1999.  Zyprexa, Gemzar, Evista, and diabetes care revenue continued to lead the growth.  This growth was partially offset by lower sales of Prozac, ReoPro, and anti-infectives.  Worldwide sales volume growth of 10 percent and a 1 percent increase in global selling prices were partially offset by an unfavorable exchange rate effect of </w:t>
      </w:r>
    </w:p>
    <w:p>
      <w:pPr>
        <w:pStyle w:val="Normal"/>
        <w:suppressAutoHyphens w:val="true"/>
        <w:spacing w:lineRule="atLeast" w:line="360"/>
        <w:rPr>
          <w:color w:val="000000"/>
          <w:sz w:val="24"/>
        </w:rPr>
      </w:pPr>
      <w:r>
        <w:rPr>
          <w:color w:val="000000"/>
          <w:sz w:val="24"/>
        </w:rPr>
        <w:t xml:space="preserve">2 percent.  </w:t>
      </w:r>
    </w:p>
    <w:p>
      <w:pPr>
        <w:pStyle w:val="Normal"/>
        <w:suppressAutoHyphens w:val="true"/>
        <w:spacing w:lineRule="atLeast" w:line="360"/>
        <w:rPr>
          <w:color w:val="000000"/>
          <w:sz w:val="24"/>
        </w:rPr>
      </w:pPr>
      <w:r>
        <w:rPr>
          <w:color w:val="000000"/>
          <w:sz w:val="24"/>
        </w:rPr>
      </w:r>
    </w:p>
    <w:p>
      <w:pPr>
        <w:pStyle w:val="Normal"/>
        <w:suppressAutoHyphens w:val="true"/>
        <w:spacing w:lineRule="atLeast" w:line="360"/>
        <w:rPr/>
      </w:pPr>
      <w:r>
        <w:rPr>
          <w:color w:val="000000"/>
          <w:sz w:val="24"/>
        </w:rPr>
        <w:t>Gross margins as a percent of sales improved by 3.8 percentage points due to a favorable mix of product sales, manufacturing productivity and volume increases.  During the quarter, higher margin products, such as Zyprexa, Actos</w:t>
      </w:r>
      <w:r>
        <w:rPr>
          <w:color w:val="000000"/>
          <w:sz w:val="24"/>
          <w:vertAlign w:val="superscript"/>
        </w:rPr>
        <w:t>®</w:t>
      </w:r>
      <w:r>
        <w:rPr>
          <w:color w:val="000000"/>
          <w:sz w:val="24"/>
        </w:rPr>
        <w:t xml:space="preserve">, and Evista, experienced strong growth, while lower margin products, such as anti-infectives and ReoPro, declined.  Operating income increased to $1.015 billion, a 13 percent increase over the third quarter of 1999 due to the improved gross margins. </w:t>
      </w:r>
    </w:p>
    <w:p>
      <w:pPr>
        <w:pStyle w:val="Normal"/>
        <w:suppressAutoHyphens w:val="true"/>
        <w:spacing w:lineRule="atLeast" w:line="360"/>
        <w:rPr>
          <w:color w:val="000000"/>
          <w:sz w:val="24"/>
        </w:rPr>
      </w:pPr>
      <w:r>
        <w:rPr>
          <w:color w:val="000000"/>
          <w:sz w:val="24"/>
        </w:rPr>
      </w:r>
    </w:p>
    <w:p>
      <w:pPr>
        <w:pStyle w:val="Normal"/>
        <w:suppressAutoHyphens w:val="true"/>
        <w:spacing w:lineRule="atLeast" w:line="360"/>
        <w:rPr>
          <w:color w:val="000000"/>
          <w:sz w:val="24"/>
        </w:rPr>
      </w:pPr>
      <w:r>
        <w:rPr>
          <w:color w:val="000000"/>
          <w:sz w:val="24"/>
        </w:rPr>
        <w:t xml:space="preserve">Net income and diluted earnings per share increased 15 percent over the normalized results of the third quarter of 1999, which reflect the elimination of a one-time gain of $67.8 million for the sale of Lorabid marketing rights. Reported net income and diluted earnings per share for the third quarter were $778.8 million and $.71, respectively, representing increases of 6 percent over the results of the third quarter of 1999. </w:t>
      </w:r>
    </w:p>
    <w:p>
      <w:pPr>
        <w:pStyle w:val="Normal"/>
        <w:suppressAutoHyphens w:val="true"/>
        <w:spacing w:lineRule="atLeast" w:line="360"/>
        <w:rPr>
          <w:color w:val="000000"/>
          <w:sz w:val="24"/>
        </w:rPr>
      </w:pPr>
      <w:r>
        <w:rPr>
          <w:color w:val="000000"/>
          <w:sz w:val="24"/>
        </w:rPr>
      </w:r>
    </w:p>
    <w:p>
      <w:pPr>
        <w:pStyle w:val="Normal"/>
        <w:suppressAutoHyphens w:val="true"/>
        <w:spacing w:lineRule="atLeast" w:line="360"/>
        <w:jc w:val="center"/>
        <w:rPr>
          <w:b/>
          <w:color w:val="000000"/>
          <w:sz w:val="24"/>
        </w:rPr>
      </w:pPr>
      <w:r>
        <w:rPr>
          <w:b/>
          <w:color w:val="000000"/>
          <w:sz w:val="24"/>
        </w:rPr>
        <w:t>Summary of Third-Quarter Earnings per Share</w:t>
      </w:r>
    </w:p>
    <w:p>
      <w:pPr>
        <w:pStyle w:val="Normal"/>
        <w:suppressAutoHyphens w:val="true"/>
        <w:spacing w:lineRule="atLeast" w:line="360"/>
        <w:rPr>
          <w:color w:val="000000"/>
          <w:sz w:val="24"/>
        </w:rPr>
      </w:pPr>
      <w:r>
        <w:rPr>
          <w:color w:val="000000"/>
          <w:sz w:val="24"/>
        </w:rPr>
        <w:tab/>
        <w:tab/>
        <w:tab/>
        <w:tab/>
        <w:tab/>
        <w:tab/>
        <w:t xml:space="preserve"> </w:t>
      </w:r>
      <w:r>
        <w:rPr>
          <w:color w:val="000000"/>
          <w:sz w:val="24"/>
          <w:u w:val="single"/>
        </w:rPr>
        <w:t>2000</w:t>
      </w:r>
      <w:r>
        <w:rPr>
          <w:color w:val="000000"/>
          <w:sz w:val="24"/>
        </w:rPr>
        <w:tab/>
        <w:tab/>
      </w:r>
      <w:r>
        <w:rPr>
          <w:color w:val="000000"/>
          <w:sz w:val="24"/>
          <w:u w:val="single"/>
        </w:rPr>
        <w:t>1999</w:t>
      </w:r>
      <w:r>
        <w:rPr>
          <w:color w:val="000000"/>
          <w:sz w:val="24"/>
        </w:rPr>
        <w:tab/>
        <w:tab/>
      </w:r>
      <w:r>
        <w:rPr>
          <w:color w:val="000000"/>
          <w:sz w:val="24"/>
          <w:u w:val="single"/>
        </w:rPr>
        <w:t>% Over/(Under)</w:t>
      </w:r>
    </w:p>
    <w:p>
      <w:pPr>
        <w:pStyle w:val="Normal"/>
        <w:suppressAutoHyphens w:val="true"/>
        <w:spacing w:lineRule="auto" w:line="360"/>
        <w:rPr>
          <w:color w:val="000000"/>
          <w:sz w:val="24"/>
        </w:rPr>
      </w:pPr>
      <w:r>
        <w:rPr>
          <w:color w:val="000000"/>
          <w:sz w:val="24"/>
        </w:rPr>
        <w:t>E.P.S. (as reported, diluted)</w:t>
        <w:tab/>
        <w:tab/>
        <w:t xml:space="preserve">  </w:t>
        <w:tab/>
        <w:t>$.71</w:t>
        <w:tab/>
        <w:tab/>
        <w:t xml:space="preserve"> $.67</w:t>
        <w:tab/>
        <w:tab/>
        <w:tab/>
        <w:t>6%</w:t>
      </w:r>
    </w:p>
    <w:p>
      <w:pPr>
        <w:pStyle w:val="Normal"/>
        <w:suppressAutoHyphens w:val="true"/>
        <w:rPr>
          <w:color w:val="000000"/>
          <w:sz w:val="24"/>
        </w:rPr>
      </w:pPr>
      <w:r>
        <w:rPr>
          <w:color w:val="000000"/>
          <w:sz w:val="24"/>
        </w:rPr>
        <w:t>Eliminate one-time gains:</w:t>
      </w:r>
    </w:p>
    <w:p>
      <w:pPr>
        <w:pStyle w:val="Normal"/>
        <w:suppressAutoHyphens w:val="true"/>
        <w:ind w:start="360" w:end="0"/>
        <w:rPr/>
      </w:pPr>
      <w:r>
        <w:rPr>
          <w:color w:val="000000"/>
          <w:sz w:val="24"/>
        </w:rPr>
        <w:t>Sale of Lorabid Rights</w:t>
        <w:tab/>
        <w:tab/>
        <w:tab/>
        <w:t xml:space="preserve">  </w:t>
      </w:r>
      <w:r>
        <w:rPr>
          <w:color w:val="000000"/>
          <w:sz w:val="24"/>
          <w:u w:val="single"/>
        </w:rPr>
        <w:t>N/A</w:t>
      </w:r>
      <w:r>
        <w:rPr>
          <w:color w:val="000000"/>
          <w:sz w:val="24"/>
        </w:rPr>
        <w:tab/>
        <w:t xml:space="preserve">  </w:t>
        <w:tab/>
      </w:r>
      <w:r>
        <w:rPr>
          <w:color w:val="000000"/>
          <w:sz w:val="24"/>
          <w:u w:val="single"/>
        </w:rPr>
        <w:t xml:space="preserve">  (.05)</w:t>
      </w:r>
    </w:p>
    <w:p>
      <w:pPr>
        <w:pStyle w:val="Normal"/>
        <w:suppressAutoHyphens w:val="true"/>
        <w:ind w:start="360" w:end="0"/>
        <w:rPr>
          <w:color w:val="000000"/>
          <w:sz w:val="24"/>
          <w:u w:val="single"/>
        </w:rPr>
      </w:pPr>
      <w:r>
        <w:rPr>
          <w:color w:val="000000"/>
          <w:sz w:val="24"/>
          <w:u w:val="single"/>
        </w:rPr>
      </w:r>
    </w:p>
    <w:p>
      <w:pPr>
        <w:pStyle w:val="Heading1"/>
        <w:suppressAutoHyphens w:val="true"/>
        <w:ind w:hanging="0" w:start="0"/>
        <w:rPr>
          <w:rFonts w:ascii="Times New Roman" w:hAnsi="Times New Roman" w:cs="Times New Roman"/>
          <w:b/>
          <w:color w:val="000000"/>
        </w:rPr>
      </w:pPr>
      <w:r>
        <w:rPr>
          <w:rFonts w:cs="Times New Roman" w:ascii="Times New Roman" w:hAnsi="Times New Roman"/>
          <w:b/>
          <w:color w:val="000000"/>
        </w:rPr>
        <w:t>E.P.S. (normalized and diluted)</w:t>
        <w:tab/>
        <w:t xml:space="preserve">  </w:t>
        <w:tab/>
        <w:t>$.71</w:t>
        <w:tab/>
        <w:tab/>
        <w:t xml:space="preserve"> $.62</w:t>
        <w:tab/>
        <w:tab/>
        <w:tab/>
        <w:t>15%</w:t>
      </w:r>
    </w:p>
    <w:p>
      <w:pPr>
        <w:pStyle w:val="Normal"/>
        <w:suppressAutoHyphens w:val="true"/>
        <w:spacing w:lineRule="atLeast" w:line="360"/>
        <w:rPr>
          <w:rFonts w:ascii="Times New Roman" w:hAnsi="Times New Roman" w:cs="Times New Roman"/>
          <w:b/>
          <w:color w:val="000000"/>
          <w:sz w:val="24"/>
        </w:rPr>
      </w:pPr>
      <w:r>
        <w:rPr>
          <w:rFonts w:cs="Times New Roman"/>
          <w:b/>
          <w:color w:val="000000"/>
          <w:sz w:val="24"/>
        </w:rPr>
      </w:r>
    </w:p>
    <w:p>
      <w:pPr>
        <w:pStyle w:val="Normal"/>
        <w:suppressAutoHyphens w:val="true"/>
        <w:spacing w:lineRule="atLeast" w:line="360"/>
        <w:rPr>
          <w:color w:val="000000"/>
          <w:sz w:val="24"/>
          <w:u w:val="single"/>
        </w:rPr>
      </w:pPr>
      <w:r>
        <w:rPr>
          <w:color w:val="000000"/>
          <w:sz w:val="24"/>
          <w:u w:val="single"/>
        </w:rPr>
        <w:t xml:space="preserve">Significant Operating Events </w:t>
      </w:r>
    </w:p>
    <w:p>
      <w:pPr>
        <w:pStyle w:val="Normal"/>
        <w:numPr>
          <w:ilvl w:val="0"/>
          <w:numId w:val="2"/>
        </w:numPr>
        <w:suppressAutoHyphens w:val="true"/>
        <w:spacing w:lineRule="atLeast" w:line="360"/>
        <w:ind w:hanging="360" w:start="360" w:end="-187"/>
        <w:rPr>
          <w:sz w:val="24"/>
        </w:rPr>
      </w:pPr>
      <w:r>
        <w:rPr>
          <w:sz w:val="24"/>
        </w:rPr>
        <w:t>On August 9, 2000, the Court of Appeals for the Federal Circuit affirmed a lower court decision upholding the company's February 2001 U.S. patent on Prozac but ruled that the company's December 2003 patent is invalid. On October 6, 2000, the company filed a petition for rehearing with the Court of Appeals. For information on the expected financial impact of the ruling, see "Financial Expectations for 2001 and 2002."</w:t>
      </w:r>
    </w:p>
    <w:p>
      <w:pPr>
        <w:pStyle w:val="Normal"/>
        <w:numPr>
          <w:ilvl w:val="0"/>
          <w:numId w:val="2"/>
        </w:numPr>
        <w:suppressAutoHyphens w:val="true"/>
        <w:spacing w:lineRule="atLeast" w:line="360"/>
        <w:ind w:hanging="360" w:start="360" w:end="-187"/>
        <w:rPr>
          <w:sz w:val="24"/>
        </w:rPr>
      </w:pPr>
      <w:r>
        <w:rPr>
          <w:sz w:val="24"/>
        </w:rPr>
        <w:t>Sarafem was launched in the United States for the treatment of premenstrual dysphoric disorder (PMDD),</w:t>
      </w:r>
      <w:r>
        <w:rPr/>
        <w:t xml:space="preserve"> </w:t>
      </w:r>
      <w:r>
        <w:rPr>
          <w:sz w:val="24"/>
        </w:rPr>
        <w:t>which is characterized by severe mood and physical symptoms around a woman's menstrual cycle. Sarafem is the first and only prescription medication indicated for the treatment of PMDD.</w:t>
      </w:r>
    </w:p>
    <w:p>
      <w:pPr>
        <w:pStyle w:val="BodyText"/>
        <w:numPr>
          <w:ilvl w:val="0"/>
          <w:numId w:val="4"/>
        </w:numPr>
        <w:spacing w:lineRule="atLeast" w:line="360"/>
        <w:rPr>
          <w:color w:val="000000"/>
        </w:rPr>
      </w:pPr>
      <w:r>
        <w:rPr/>
        <w:t>Lilly launched in the United States a new tablet formulation of Zyprexa that dissolves in the patient's mouth on contact with saliva, offering greater ease of use.  Zyprexa Zydis</w:t>
      </w:r>
      <w:r>
        <w:rPr>
          <w:rFonts w:eastAsia="Symbol" w:cs="Symbol" w:ascii="Symbol" w:hAnsi="Symbol"/>
          <w:vertAlign w:val="superscript"/>
        </w:rPr>
        <w:sym w:font="Symbol" w:char="f0e2"/>
      </w:r>
      <w:r>
        <w:rPr>
          <w:vertAlign w:val="superscript"/>
        </w:rPr>
        <w:t xml:space="preserve"> </w:t>
      </w:r>
      <w:r>
        <w:rPr/>
        <w:t xml:space="preserve">is the first antipsychotic approved in this formulation in the pharmacological treatment of schizophrenia and bipolar mania. </w:t>
      </w:r>
    </w:p>
    <w:p>
      <w:pPr>
        <w:pStyle w:val="BodyText"/>
        <w:numPr>
          <w:ilvl w:val="0"/>
          <w:numId w:val="4"/>
        </w:numPr>
        <w:spacing w:lineRule="atLeast" w:line="360"/>
        <w:rPr>
          <w:color w:val="000000"/>
        </w:rPr>
      </w:pPr>
      <w:r>
        <w:rPr/>
        <w:t xml:space="preserve">Lilly received an approvable letter on October 12, 2000, from the U.S. Food and Drug Administration for Zyprexa for maintaining a treatment response in schizophrenia patients.  If approved, Zyprexa would be the only antipsychotic with this indication. </w:t>
      </w:r>
    </w:p>
    <w:p>
      <w:pPr>
        <w:pStyle w:val="Normal"/>
        <w:numPr>
          <w:ilvl w:val="0"/>
          <w:numId w:val="6"/>
        </w:numPr>
        <w:suppressAutoHyphens w:val="true"/>
        <w:spacing w:lineRule="atLeast" w:line="360"/>
        <w:ind w:hanging="360" w:start="360" w:end="-180"/>
        <w:rPr>
          <w:sz w:val="24"/>
        </w:rPr>
      </w:pPr>
      <w:r>
        <w:rPr>
          <w:sz w:val="24"/>
        </w:rPr>
        <w:t>Takeda Europe Research &amp; Development Centre, Ltd., a wholly owned subsidiary of Takeda Chemical Industries, Ltd, received approval for Actos as an oral treatment for type 2 diabetes from the European Commission.  In 1999, Lilly received marketing rights for Actos from Takeda in a number of European countries, including Spain.</w:t>
      </w:r>
    </w:p>
    <w:p>
      <w:pPr>
        <w:pStyle w:val="BodyText"/>
        <w:spacing w:lineRule="atLeast" w:line="360"/>
        <w:rPr>
          <w:color w:val="000000"/>
          <w:sz w:val="24"/>
        </w:rPr>
      </w:pPr>
      <w:r>
        <w:rPr>
          <w:color w:val="000000"/>
          <w:sz w:val="24"/>
        </w:rPr>
      </w:r>
    </w:p>
    <w:p>
      <w:pPr>
        <w:pStyle w:val="Normal"/>
        <w:suppressAutoHyphens w:val="true"/>
        <w:spacing w:lineRule="atLeast" w:line="360"/>
        <w:ind w:end="-180"/>
        <w:rPr/>
      </w:pPr>
      <w:r>
        <w:rPr>
          <w:color w:val="000000"/>
          <w:sz w:val="24"/>
        </w:rPr>
        <w:t>"We have realized good growth throughout 2000 and fully expect to end the year with strong results," said Sidney Taurel, Lilly chairman, president, and chief executive officer. "We continue to aggressively move our pipeline forward and feel confident our new products will ultimately drive our future growth.  The launch of the first two of these, Zovant</w:t>
      </w:r>
      <w:r>
        <w:rPr>
          <w:color w:val="000000"/>
        </w:rPr>
        <w:t>™</w:t>
      </w:r>
      <w:r>
        <w:rPr>
          <w:color w:val="000000"/>
          <w:sz w:val="24"/>
        </w:rPr>
        <w:t xml:space="preserve"> and Forteo</w:t>
      </w:r>
      <w:r>
        <w:rPr>
          <w:color w:val="000000"/>
        </w:rPr>
        <w:t>™</w:t>
      </w:r>
      <w:r>
        <w:rPr>
          <w:color w:val="000000"/>
          <w:sz w:val="24"/>
        </w:rPr>
        <w:t>, is expected in the second half of next year."</w:t>
      </w:r>
    </w:p>
    <w:p>
      <w:pPr>
        <w:pStyle w:val="BodyText"/>
        <w:spacing w:lineRule="atLeast" w:line="360"/>
        <w:rPr>
          <w:color w:val="000000"/>
          <w:sz w:val="24"/>
          <w:u w:val="single"/>
        </w:rPr>
      </w:pPr>
      <w:r>
        <w:rPr>
          <w:color w:val="000000"/>
          <w:sz w:val="24"/>
          <w:u w:val="single"/>
        </w:rPr>
      </w:r>
    </w:p>
    <w:p>
      <w:pPr>
        <w:pStyle w:val="BodyText"/>
        <w:spacing w:lineRule="atLeast" w:line="360"/>
        <w:rPr>
          <w:color w:val="000000"/>
          <w:u w:val="single"/>
        </w:rPr>
      </w:pPr>
      <w:r>
        <w:rPr>
          <w:u w:val="single"/>
        </w:rPr>
        <w:t xml:space="preserve">Update on Depression Portfolio Strategy </w:t>
      </w:r>
    </w:p>
    <w:p>
      <w:pPr>
        <w:pStyle w:val="Normal"/>
        <w:suppressAutoHyphens w:val="true"/>
        <w:spacing w:lineRule="atLeast" w:line="360"/>
        <w:rPr/>
      </w:pPr>
      <w:r>
        <w:rPr>
          <w:color w:val="000000"/>
          <w:sz w:val="24"/>
        </w:rPr>
        <w:t xml:space="preserve">The company also announced that it has completed a strategic review of its antidepressant candidate portfolio based on recently analyzed clinical data.  Consequently an overall prioritization of Lilly’s short-term depression research and development candidates has occurred.  The resulting decisions for the program are:  </w:t>
      </w:r>
    </w:p>
    <w:p>
      <w:pPr>
        <w:pStyle w:val="Normal"/>
        <w:numPr>
          <w:ilvl w:val="0"/>
          <w:numId w:val="5"/>
        </w:numPr>
        <w:suppressAutoHyphens w:val="true"/>
        <w:spacing w:lineRule="atLeast" w:line="360"/>
        <w:rPr>
          <w:b/>
          <w:color w:val="000000"/>
          <w:sz w:val="24"/>
        </w:rPr>
      </w:pPr>
      <w:r>
        <w:rPr>
          <w:color w:val="000000"/>
          <w:sz w:val="24"/>
        </w:rPr>
        <w:t>Based on data from a recently analyzed clinical trial, the company will focus significantly more resources on the rapid completion of additional trials necessary for the regulatory filing of duloxetine, a dual re-uptake inhibitor of both serotonin and norepinephrine, for the treatment of major depression.   Clinical data will be presented in scientific venues in the spring of 2001.  Assuming successful completion of the additional trials, we expect to submit the duloxetine application to the U.S. Food and Drug Administration in late 2001 or early 2002.</w:t>
      </w:r>
    </w:p>
    <w:p>
      <w:pPr>
        <w:pStyle w:val="Normal"/>
        <w:numPr>
          <w:ilvl w:val="0"/>
          <w:numId w:val="5"/>
        </w:numPr>
        <w:suppressAutoHyphens w:val="true"/>
        <w:spacing w:lineRule="atLeast" w:line="360"/>
        <w:rPr>
          <w:b/>
          <w:color w:val="000000"/>
          <w:sz w:val="24"/>
        </w:rPr>
      </w:pPr>
      <w:r>
        <w:rPr>
          <w:color w:val="000000"/>
          <w:sz w:val="24"/>
        </w:rPr>
        <w:t>The company will continue to pursue the olanzapine/fluoxetine combination in treatment-resistant depression and development continues to progress per our registration time lines.  Consistent with positioning of the OFC product offering for the "difficult-to-treat depressed patient," several recent clinical trial results, including a just-completed study, also suggest a robust efficacy and safety profile in the treatment of psychotic depression.  Estimates are that up to one in three depressed patients manifests psychotic features and the historical literature shows a low response rate to conventional antidepressant agents.  Results from an open-label trial conducted at Harvard University showed OFC to have a considerably greater response rate than typically seen with studies of other antidepressant therapies. Lilly has also recently completed one of the largest randomized, double-blind studies to date in psychotic depression.  The olanzapine/fluoxetine combination was significantly superior to placebo and demonstrated a strong trend toward an advantage over olanzapine alone in patients with psychotic depression.  Additional data on OFC in psychotic depression will be presented at the American Psychiatric Association in 2001.</w:t>
      </w:r>
    </w:p>
    <w:p>
      <w:pPr>
        <w:pStyle w:val="Normal"/>
        <w:numPr>
          <w:ilvl w:val="0"/>
          <w:numId w:val="3"/>
        </w:numPr>
        <w:suppressAutoHyphens w:val="true"/>
        <w:spacing w:lineRule="atLeast" w:line="360"/>
        <w:rPr>
          <w:color w:val="000000"/>
          <w:sz w:val="24"/>
        </w:rPr>
      </w:pPr>
      <w:r>
        <w:rPr>
          <w:color w:val="000000"/>
          <w:sz w:val="24"/>
        </w:rPr>
        <w:t xml:space="preserve">The company has elected to return all rights to develop and market R-fluoxetine to the patent holder, Sepracor, Inc.  The decision to return R-fluoxetine back to Sepracor was based on an evaluation of evolving clinical data.  In accordance with the license agreement between the companies, Lilly will return the existing scientific data to Sepracor. </w:t>
      </w:r>
    </w:p>
    <w:p>
      <w:pPr>
        <w:pStyle w:val="Normal"/>
        <w:suppressAutoHyphens w:val="true"/>
        <w:spacing w:lineRule="atLeast" w:line="360"/>
        <w:rPr>
          <w:b/>
          <w:color w:val="000000"/>
          <w:sz w:val="24"/>
        </w:rPr>
      </w:pPr>
      <w:r>
        <w:rPr>
          <w:b/>
          <w:color w:val="000000"/>
          <w:sz w:val="24"/>
        </w:rPr>
      </w:r>
    </w:p>
    <w:p>
      <w:pPr>
        <w:pStyle w:val="BodyText3"/>
        <w:suppressAutoHyphens w:val="true"/>
        <w:spacing w:lineRule="atLeast" w:line="360"/>
        <w:jc w:val="start"/>
        <w:rPr>
          <w:rFonts w:ascii="Times New Roman" w:hAnsi="Times New Roman" w:cs="Times New Roman"/>
          <w:b w:val="false"/>
        </w:rPr>
      </w:pPr>
      <w:r>
        <w:rPr>
          <w:rFonts w:cs="Times New Roman" w:ascii="Times New Roman" w:hAnsi="Times New Roman"/>
          <w:b w:val="false"/>
        </w:rPr>
        <w:t>The decision on duloxetine brings the total number of new molecules in late-stage clinical trials for all indications from eight to nine.</w:t>
      </w:r>
    </w:p>
    <w:p>
      <w:pPr>
        <w:pStyle w:val="Normal"/>
        <w:suppressAutoHyphens w:val="true"/>
        <w:spacing w:lineRule="atLeast" w:line="360"/>
        <w:rPr>
          <w:rFonts w:ascii="Times New Roman" w:hAnsi="Times New Roman" w:cs="Times New Roman"/>
          <w:b/>
          <w:color w:val="000000"/>
          <w:sz w:val="24"/>
        </w:rPr>
      </w:pPr>
      <w:r>
        <w:rPr>
          <w:rFonts w:cs="Times New Roman"/>
          <w:b/>
          <w:color w:val="000000"/>
          <w:sz w:val="24"/>
        </w:rPr>
      </w:r>
    </w:p>
    <w:p>
      <w:pPr>
        <w:pStyle w:val="Normal"/>
        <w:suppressAutoHyphens w:val="true"/>
        <w:spacing w:lineRule="atLeast" w:line="360"/>
        <w:rPr>
          <w:color w:val="000000"/>
          <w:sz w:val="24"/>
        </w:rPr>
      </w:pPr>
      <w:r>
        <w:rPr>
          <w:color w:val="000000"/>
          <w:sz w:val="24"/>
        </w:rPr>
        <w:t>"We are enthusiastic about the potential for duloxetine and OFC to fill an important medical need within the area of depression and will invest our considerable resources to complete the trials and prepare for commercialization as quickly as possible," said Gary Tollefson, M.D., Ph.D., president of Lilly’s neuroscience product group.</w:t>
      </w:r>
    </w:p>
    <w:p>
      <w:pPr>
        <w:pStyle w:val="Normal"/>
        <w:suppressAutoHyphens w:val="true"/>
        <w:spacing w:lineRule="atLeast" w:line="360"/>
        <w:rPr>
          <w:color w:val="000000"/>
          <w:sz w:val="24"/>
        </w:rPr>
      </w:pPr>
      <w:r>
        <w:rPr>
          <w:color w:val="000000"/>
          <w:sz w:val="24"/>
        </w:rPr>
      </w:r>
    </w:p>
    <w:p>
      <w:pPr>
        <w:pStyle w:val="Normal"/>
        <w:suppressAutoHyphens w:val="true"/>
        <w:spacing w:lineRule="atLeast" w:line="360"/>
        <w:rPr>
          <w:color w:val="000000"/>
          <w:sz w:val="24"/>
          <w:u w:val="single"/>
        </w:rPr>
      </w:pPr>
      <w:r>
        <w:rPr>
          <w:color w:val="000000"/>
          <w:sz w:val="24"/>
          <w:u w:val="single"/>
        </w:rPr>
        <w:t xml:space="preserve">Prozac and Sarafem  </w:t>
      </w:r>
    </w:p>
    <w:p>
      <w:pPr>
        <w:pStyle w:val="BodyText2"/>
        <w:suppressAutoHyphens w:val="true"/>
        <w:spacing w:lineRule="atLeast" w:line="360"/>
        <w:rPr>
          <w:rFonts w:ascii="Times New Roman" w:hAnsi="Times New Roman" w:cs="Times New Roman"/>
          <w:color w:val="000000"/>
          <w:sz w:val="24"/>
        </w:rPr>
      </w:pPr>
      <w:r>
        <w:rPr>
          <w:rFonts w:cs="Times New Roman" w:ascii="Times New Roman" w:hAnsi="Times New Roman"/>
          <w:color w:val="000000"/>
          <w:sz w:val="24"/>
        </w:rPr>
        <w:t>Overall, combined Prozac and Sarafem sales for the quarter decreased 1 percent, to $680.2 million.  Prozac and Sarafem combined sales in the United States increased 6 percent, to $598.7 million. Prozac sales outside the United States decreased 35 percent, to $81.5 million, primarily due to continuing generic competition in the U.K.  Sarafem, launched in the United States in August 2000, had sales of $10.0 million for the quarter.</w:t>
      </w:r>
    </w:p>
    <w:p>
      <w:pPr>
        <w:pStyle w:val="Normal"/>
        <w:suppressAutoHyphens w:val="true"/>
        <w:spacing w:lineRule="atLeast" w:line="360"/>
        <w:rPr>
          <w:rFonts w:ascii="Times New Roman" w:hAnsi="Times New Roman" w:cs="Times New Roman"/>
          <w:color w:val="000000"/>
          <w:sz w:val="24"/>
        </w:rPr>
      </w:pPr>
      <w:r>
        <w:rPr>
          <w:rFonts w:cs="Times New Roman"/>
          <w:color w:val="000000"/>
          <w:sz w:val="24"/>
        </w:rPr>
      </w:r>
    </w:p>
    <w:p>
      <w:pPr>
        <w:pStyle w:val="Normal"/>
        <w:suppressAutoHyphens w:val="true"/>
        <w:spacing w:lineRule="atLeast" w:line="360"/>
        <w:rPr>
          <w:color w:val="000000"/>
          <w:sz w:val="24"/>
          <w:u w:val="single"/>
        </w:rPr>
      </w:pPr>
      <w:r>
        <w:rPr>
          <w:color w:val="000000"/>
          <w:sz w:val="24"/>
          <w:u w:val="single"/>
        </w:rPr>
        <w:t>Zyprexa</w:t>
      </w:r>
    </w:p>
    <w:p>
      <w:pPr>
        <w:pStyle w:val="Normal"/>
        <w:suppressAutoHyphens w:val="true"/>
        <w:spacing w:lineRule="atLeast" w:line="360"/>
        <w:ind w:end="180"/>
        <w:rPr>
          <w:color w:val="000000"/>
          <w:sz w:val="24"/>
        </w:rPr>
      </w:pPr>
      <w:r>
        <w:rPr>
          <w:color w:val="000000"/>
          <w:sz w:val="24"/>
        </w:rPr>
        <w:t xml:space="preserve">In the third quarter of 2000, Zyprexa sales totaled $644.9 million, a 28 percent increase over the third quarter of 1999.  U.S. sales of Zyprexa increased 28 percent, to $474.6 million, while sales outside the United States increased 29 percent, to $170.3 million. During the quarter, Zyprexa was launched in Mexico, Brazil, and South Africa for the treatment of acute mania associated with bipolar disorder. </w:t>
      </w:r>
    </w:p>
    <w:p>
      <w:pPr>
        <w:pStyle w:val="Normal"/>
        <w:suppressAutoHyphens w:val="true"/>
        <w:spacing w:lineRule="atLeast" w:line="360"/>
        <w:rPr>
          <w:color w:val="000000"/>
          <w:sz w:val="24"/>
          <w:u w:val="single"/>
        </w:rPr>
      </w:pPr>
      <w:r>
        <w:rPr>
          <w:color w:val="000000"/>
          <w:sz w:val="24"/>
          <w:u w:val="single"/>
        </w:rPr>
        <w:t>Diabetes Care Products</w:t>
      </w:r>
    </w:p>
    <w:p>
      <w:pPr>
        <w:pStyle w:val="Normal"/>
        <w:suppressAutoHyphens w:val="true"/>
        <w:spacing w:lineRule="atLeast" w:line="360"/>
        <w:ind w:end="180"/>
        <w:rPr/>
      </w:pPr>
      <w:r>
        <w:rPr>
          <w:color w:val="000000"/>
          <w:sz w:val="24"/>
        </w:rPr>
        <w:t xml:space="preserve">Diabetes care revenue, composed of Humulin®, Humalog, Actos, and Iletin®, increased 14 percent, to $450.0 million, compared with the third quarter of 1999. Diabetes care revenue increased 14 percent in the U.S., to $285.1 million, and increased 16 percent in international markets, to $164.9 million. Worldwide Humulin sales decreased 3 percent, to $282.6 million, compared with the third quarter of 1999.  Humulin sales declined largely as a result of patients shifting to Humalog and Humalog mix products. Worldwide Humalog sales for the third quarter were $90.6 million, an increase of 54 percent compared with a year ago. </w:t>
      </w:r>
      <w:r>
        <w:rPr>
          <w:sz w:val="24"/>
        </w:rPr>
        <w:t>Sales of Humalog continued to benefit from the first-quarter 2000 launch of Humalog Mix75/25</w:t>
      </w:r>
      <w:r>
        <w:rPr>
          <w:rFonts w:eastAsia="Symbol" w:cs="Symbol" w:ascii="Symbol" w:hAnsi="Symbol"/>
          <w:sz w:val="24"/>
        </w:rPr>
        <w:sym w:font="Symbol" w:char="f0d4"/>
      </w:r>
      <w:r>
        <w:rPr>
          <w:sz w:val="24"/>
        </w:rPr>
        <w:t xml:space="preserve"> Pen in the United States.</w:t>
      </w:r>
      <w:r>
        <w:rPr>
          <w:color w:val="000000"/>
          <w:sz w:val="24"/>
        </w:rPr>
        <w:t xml:space="preserve"> Actos, launched in the United States by Takeda and Lilly one year ago, generated revenue of  $61.2 million for Lilly in the third quarter. Also during the quarter, Actos was launched in Canada where Lilly has exclusive sales and marketing rights. </w:t>
      </w:r>
    </w:p>
    <w:p>
      <w:pPr>
        <w:pStyle w:val="Normal"/>
        <w:suppressAutoHyphens w:val="true"/>
        <w:spacing w:lineRule="atLeast" w:line="360"/>
        <w:ind w:end="-720"/>
        <w:rPr>
          <w:color w:val="000000"/>
          <w:sz w:val="24"/>
          <w:u w:val="single"/>
        </w:rPr>
      </w:pPr>
      <w:r>
        <w:rPr>
          <w:color w:val="000000"/>
          <w:sz w:val="24"/>
          <w:u w:val="single"/>
        </w:rPr>
      </w:r>
    </w:p>
    <w:p>
      <w:pPr>
        <w:pStyle w:val="Normal"/>
        <w:suppressAutoHyphens w:val="true"/>
        <w:spacing w:lineRule="atLeast" w:line="360"/>
        <w:ind w:end="-720"/>
        <w:rPr>
          <w:color w:val="000000"/>
          <w:sz w:val="24"/>
          <w:u w:val="single"/>
        </w:rPr>
      </w:pPr>
      <w:r>
        <w:rPr>
          <w:color w:val="000000"/>
          <w:sz w:val="24"/>
          <w:u w:val="single"/>
        </w:rPr>
        <w:t>Gemzar</w:t>
      </w:r>
    </w:p>
    <w:p>
      <w:pPr>
        <w:pStyle w:val="Normal"/>
        <w:suppressAutoHyphens w:val="true"/>
        <w:spacing w:lineRule="atLeast" w:line="360"/>
        <w:ind w:end="-360"/>
        <w:rPr>
          <w:color w:val="000000"/>
          <w:sz w:val="24"/>
        </w:rPr>
      </w:pPr>
      <w:r>
        <w:rPr>
          <w:color w:val="000000"/>
          <w:sz w:val="24"/>
        </w:rPr>
        <w:t xml:space="preserve">Gemzar had sales totaling $155.1 million for the quarter, an increase of 30 percent from the third quarter of 1999. Gemzar sales increased 30 percent in both the United States and outside the United States, to $92.8 million and $62.3 million, respectively. </w:t>
      </w:r>
    </w:p>
    <w:p>
      <w:pPr>
        <w:pStyle w:val="Normal"/>
        <w:suppressAutoHyphens w:val="true"/>
        <w:spacing w:lineRule="atLeast" w:line="360"/>
        <w:ind w:end="-90"/>
        <w:rPr>
          <w:color w:val="000000"/>
          <w:sz w:val="24"/>
        </w:rPr>
      </w:pPr>
      <w:r>
        <w:rPr>
          <w:color w:val="000000"/>
          <w:sz w:val="24"/>
        </w:rPr>
      </w:r>
    </w:p>
    <w:p>
      <w:pPr>
        <w:pStyle w:val="Normal"/>
        <w:suppressAutoHyphens w:val="true"/>
        <w:spacing w:lineRule="atLeast" w:line="360"/>
        <w:rPr>
          <w:color w:val="000000"/>
          <w:sz w:val="24"/>
          <w:u w:val="single"/>
        </w:rPr>
      </w:pPr>
      <w:r>
        <w:rPr>
          <w:color w:val="000000"/>
          <w:sz w:val="24"/>
          <w:u w:val="single"/>
        </w:rPr>
        <w:t>Evista</w:t>
      </w:r>
    </w:p>
    <w:p>
      <w:pPr>
        <w:pStyle w:val="Normal"/>
        <w:suppressAutoHyphens w:val="true"/>
        <w:spacing w:lineRule="atLeast" w:line="360"/>
        <w:rPr>
          <w:color w:val="000000"/>
          <w:sz w:val="24"/>
        </w:rPr>
      </w:pPr>
      <w:r>
        <w:rPr>
          <w:color w:val="000000"/>
          <w:sz w:val="24"/>
        </w:rPr>
        <w:t>Evista had sales totaling $141.5 million, a 53 percent increase compared with the third quarter of 1999. U.S. sales of Evista increased 45 percent, to $119.3 million, while sales outside the United States increased 108 percent, to $22.2 million.  Since its approval in the United States for the treatment of osteoporosis in postmenopausal women one year ago, Evista has been approved for this indication in 45 countries.</w:t>
      </w:r>
    </w:p>
    <w:p>
      <w:pPr>
        <w:pStyle w:val="Normal"/>
        <w:suppressAutoHyphens w:val="true"/>
        <w:spacing w:lineRule="atLeast" w:line="360"/>
        <w:rPr>
          <w:color w:val="000000"/>
          <w:sz w:val="24"/>
          <w:u w:val="single"/>
        </w:rPr>
      </w:pPr>
      <w:r>
        <w:rPr>
          <w:color w:val="000000"/>
          <w:sz w:val="24"/>
          <w:u w:val="single"/>
        </w:rPr>
      </w:r>
    </w:p>
    <w:p>
      <w:pPr>
        <w:pStyle w:val="Normal"/>
        <w:suppressAutoHyphens w:val="true"/>
        <w:spacing w:lineRule="atLeast" w:line="360"/>
        <w:rPr>
          <w:color w:val="000000"/>
          <w:sz w:val="24"/>
          <w:u w:val="single"/>
        </w:rPr>
      </w:pPr>
      <w:r>
        <w:rPr>
          <w:color w:val="000000"/>
          <w:sz w:val="24"/>
          <w:u w:val="single"/>
        </w:rPr>
        <w:t>ReoPro</w:t>
      </w:r>
    </w:p>
    <w:p>
      <w:pPr>
        <w:pStyle w:val="Normal"/>
        <w:suppressAutoHyphens w:val="true"/>
        <w:spacing w:lineRule="atLeast" w:line="360"/>
        <w:ind w:end="-90"/>
        <w:rPr>
          <w:color w:val="000000"/>
          <w:sz w:val="24"/>
        </w:rPr>
      </w:pPr>
      <w:r>
        <w:rPr>
          <w:color w:val="000000"/>
          <w:sz w:val="24"/>
        </w:rPr>
        <w:t xml:space="preserve">ReoPro reported third quarter sales totaling $97.7 million, a decrease of 9 percent compared with the third quarter of 1999. This decline was due to increased competition in the United States.  </w:t>
      </w:r>
    </w:p>
    <w:p>
      <w:pPr>
        <w:pStyle w:val="Normal"/>
        <w:suppressAutoHyphens w:val="true"/>
        <w:spacing w:lineRule="atLeast" w:line="360"/>
        <w:rPr>
          <w:color w:val="000000"/>
          <w:sz w:val="24"/>
          <w:u w:val="single"/>
        </w:rPr>
      </w:pPr>
      <w:r>
        <w:rPr>
          <w:color w:val="000000"/>
          <w:sz w:val="24"/>
          <w:u w:val="single"/>
        </w:rPr>
      </w:r>
    </w:p>
    <w:p>
      <w:pPr>
        <w:pStyle w:val="Normal"/>
        <w:suppressAutoHyphens w:val="true"/>
        <w:spacing w:lineRule="atLeast" w:line="360"/>
        <w:rPr>
          <w:color w:val="000000"/>
          <w:sz w:val="24"/>
          <w:u w:val="single"/>
        </w:rPr>
      </w:pPr>
      <w:r>
        <w:rPr>
          <w:color w:val="000000"/>
          <w:sz w:val="24"/>
          <w:u w:val="single"/>
        </w:rPr>
        <w:t>Animal Health</w:t>
      </w:r>
    </w:p>
    <w:p>
      <w:pPr>
        <w:pStyle w:val="BodyText2"/>
        <w:suppressAutoHyphens w:val="true"/>
        <w:spacing w:lineRule="atLeast" w:line="360"/>
        <w:rPr>
          <w:rFonts w:ascii="Times New Roman" w:hAnsi="Times New Roman" w:cs="Times New Roman"/>
          <w:color w:val="000000"/>
          <w:sz w:val="24"/>
        </w:rPr>
      </w:pPr>
      <w:r>
        <w:rPr>
          <w:rFonts w:cs="Times New Roman" w:ascii="Times New Roman" w:hAnsi="Times New Roman"/>
          <w:color w:val="000000"/>
          <w:sz w:val="24"/>
        </w:rPr>
        <w:t xml:space="preserve">Worldwide sales of animal health products in the third quarter were $164.4 million, an increase of 10 percent when compared with the third quarter of 1999.  Excluding the effect of exchange rates, sales grew by 13 percent for the quarter.  </w:t>
      </w:r>
    </w:p>
    <w:p>
      <w:pPr>
        <w:pStyle w:val="Normal"/>
        <w:suppressAutoHyphens w:val="true"/>
        <w:spacing w:lineRule="atLeast" w:line="360"/>
        <w:rPr>
          <w:rFonts w:ascii="Times New Roman" w:hAnsi="Times New Roman" w:cs="Times New Roman"/>
          <w:color w:val="000000"/>
          <w:sz w:val="24"/>
          <w:u w:val="single"/>
        </w:rPr>
      </w:pPr>
      <w:r>
        <w:rPr>
          <w:rFonts w:cs="Times New Roman"/>
          <w:color w:val="000000"/>
          <w:sz w:val="24"/>
          <w:u w:val="single"/>
        </w:rPr>
      </w:r>
    </w:p>
    <w:p>
      <w:pPr>
        <w:pStyle w:val="Normal"/>
        <w:suppressAutoHyphens w:val="true"/>
        <w:spacing w:lineRule="atLeast" w:line="360"/>
        <w:rPr>
          <w:color w:val="000000"/>
          <w:sz w:val="24"/>
          <w:u w:val="single"/>
        </w:rPr>
      </w:pPr>
      <w:r>
        <w:rPr>
          <w:color w:val="000000"/>
          <w:sz w:val="24"/>
          <w:u w:val="single"/>
        </w:rPr>
      </w:r>
    </w:p>
    <w:p>
      <w:pPr>
        <w:pStyle w:val="Normal"/>
        <w:suppressAutoHyphens w:val="true"/>
        <w:spacing w:lineRule="atLeast" w:line="360"/>
        <w:rPr/>
      </w:pPr>
      <w:r>
        <w:rPr>
          <w:color w:val="000000"/>
          <w:sz w:val="24"/>
          <w:u w:val="single"/>
        </w:rPr>
        <w:t>Expenses and Other Income</w:t>
      </w:r>
      <w:r>
        <w:rPr>
          <w:rFonts w:eastAsia="Symbol" w:cs="Symbol" w:ascii="Symbol" w:hAnsi="Symbol"/>
          <w:color w:val="000000"/>
          <w:sz w:val="24"/>
          <w:u w:val="single"/>
        </w:rPr>
        <w:sym w:font="Symbol" w:char="f02d"/>
      </w:r>
      <w:r>
        <w:rPr>
          <w:color w:val="000000"/>
          <w:sz w:val="24"/>
          <w:u w:val="single"/>
        </w:rPr>
        <w:t>Third Quarter</w:t>
      </w:r>
    </w:p>
    <w:p>
      <w:pPr>
        <w:pStyle w:val="BodyText2"/>
        <w:suppressAutoHyphens w:val="true"/>
        <w:spacing w:lineRule="atLeast" w:line="360"/>
        <w:rPr>
          <w:rFonts w:ascii="Times New Roman" w:hAnsi="Times New Roman" w:cs="Times New Roman"/>
          <w:color w:val="000000"/>
          <w:sz w:val="24"/>
        </w:rPr>
      </w:pPr>
      <w:r>
        <w:rPr>
          <w:rFonts w:cs="Times New Roman" w:ascii="Times New Roman" w:hAnsi="Times New Roman"/>
          <w:color w:val="000000"/>
          <w:sz w:val="24"/>
        </w:rPr>
        <w:t xml:space="preserve">Marketing and administrative expenses increased 15 percent, to $800.3 million, while investment in research and development increased 14 percent, to $506.1 million, compared with the third quarter of 1999 as the company continues to invest in its research and development, sales force expansions, and increased marketing efforts.  The decrease in other income as reported was primarily driven by the one-time gain of $67.8 million for the sale of Lorabid marketing rights in the third quarter of 1999.  </w:t>
      </w:r>
    </w:p>
    <w:p>
      <w:pPr>
        <w:pStyle w:val="Normal"/>
        <w:suppressAutoHyphens w:val="true"/>
        <w:spacing w:lineRule="atLeast" w:line="360"/>
        <w:rPr>
          <w:rFonts w:ascii="Times New Roman" w:hAnsi="Times New Roman" w:cs="Times New Roman"/>
          <w:color w:val="000000"/>
          <w:sz w:val="24"/>
        </w:rPr>
      </w:pPr>
      <w:r>
        <w:rPr>
          <w:rFonts w:cs="Times New Roman"/>
          <w:color w:val="000000"/>
          <w:sz w:val="24"/>
        </w:rPr>
      </w:r>
    </w:p>
    <w:p>
      <w:pPr>
        <w:pStyle w:val="Normal"/>
        <w:suppressAutoHyphens w:val="true"/>
        <w:spacing w:lineRule="atLeast" w:line="360"/>
        <w:rPr>
          <w:color w:val="000000"/>
          <w:sz w:val="24"/>
          <w:u w:val="single"/>
        </w:rPr>
      </w:pPr>
      <w:r>
        <w:rPr>
          <w:color w:val="000000"/>
          <w:sz w:val="24"/>
          <w:u w:val="single"/>
        </w:rPr>
        <w:t>Year-to-Date Results</w:t>
      </w:r>
    </w:p>
    <w:p>
      <w:pPr>
        <w:pStyle w:val="BodyText2"/>
        <w:suppressAutoHyphens w:val="true"/>
        <w:spacing w:lineRule="atLeast" w:line="360"/>
        <w:rPr>
          <w:rFonts w:ascii="Times New Roman" w:hAnsi="Times New Roman" w:cs="Times New Roman"/>
          <w:color w:val="000000"/>
          <w:sz w:val="24"/>
        </w:rPr>
      </w:pPr>
      <w:r>
        <w:rPr>
          <w:rFonts w:cs="Times New Roman" w:ascii="Times New Roman" w:hAnsi="Times New Roman"/>
          <w:color w:val="000000"/>
          <w:sz w:val="24"/>
        </w:rPr>
        <w:t xml:space="preserve">For the first nine months of the year, worldwide sales as reported were $7.885 billion, an increase of 10 percent compared with the first nine months of 1999.  Reported net income and diluted earnings per share for the first nine months were $2.291 billion and $2.09, representing increases of 18 percent and 19 percent, respectively. Normalized net income and earnings per share for the first nine months were $2.137 billion and $1.95, representing increases of 16 percent and 17 percent, respectively, compared with 1999 due to improved gross margins and increased interest income. Earnings-per-share calculations benefited from a lower number of shares outstanding resulting from the company's share repurchase programs. Normalized results for the first nine months of 2000 have been adjusted to exclude the first-quarter gain realized from the sale of Kinetra and to add back certain Y2K-related sales.  Normalized results for the first nine months of 1999 have been adjusted to exclude the third-quarter gain on the sale of Lorabid marketing rights and three first-quarter events: a charge associated with funding commitments made to the Eli Lilly and Company Foundation, a charge resulting from the impairment of certain manufacturing assets, and the gain realized from the sale of PCS Health Systems, Inc. </w:t>
      </w:r>
    </w:p>
    <w:p>
      <w:pPr>
        <w:pStyle w:val="Normal"/>
        <w:suppressAutoHyphens w:val="true"/>
        <w:spacing w:lineRule="atLeast" w:line="360"/>
        <w:ind w:end="-180"/>
        <w:rPr>
          <w:rFonts w:ascii="Times New Roman" w:hAnsi="Times New Roman" w:cs="Times New Roman"/>
          <w:color w:val="000000"/>
          <w:sz w:val="24"/>
          <w:u w:val="single"/>
        </w:rPr>
      </w:pPr>
      <w:r>
        <w:rPr>
          <w:rFonts w:cs="Times New Roman"/>
          <w:color w:val="000000"/>
          <w:sz w:val="24"/>
          <w:u w:val="single"/>
        </w:rPr>
      </w:r>
    </w:p>
    <w:p>
      <w:pPr>
        <w:pStyle w:val="Normal"/>
        <w:suppressAutoHyphens w:val="true"/>
        <w:spacing w:lineRule="atLeast" w:line="360"/>
        <w:ind w:end="-180"/>
        <w:rPr>
          <w:color w:val="000000"/>
          <w:sz w:val="24"/>
          <w:u w:val="single"/>
        </w:rPr>
      </w:pPr>
      <w:r>
        <w:rPr>
          <w:color w:val="000000"/>
          <w:sz w:val="24"/>
          <w:u w:val="single"/>
        </w:rPr>
        <w:t>Financial Expectations for Full-Year 2000</w:t>
      </w:r>
    </w:p>
    <w:p>
      <w:pPr>
        <w:pStyle w:val="Normal"/>
        <w:suppressAutoHyphens w:val="true"/>
        <w:spacing w:lineRule="atLeast" w:line="360"/>
        <w:ind w:end="-90"/>
        <w:rPr>
          <w:color w:val="000000"/>
          <w:sz w:val="24"/>
        </w:rPr>
      </w:pPr>
      <w:r>
        <w:rPr>
          <w:color w:val="000000"/>
          <w:sz w:val="24"/>
        </w:rPr>
        <w:t>Looking forward to full-year 2000 normalized results, low double-digit sales growth combined with gross margin improvements are projected to lead to continued strong earnings growth of approximately 16 percent for 2000 over the normalized 1999 earnings per share of $2.28.</w:t>
      </w:r>
    </w:p>
    <w:p>
      <w:pPr>
        <w:pStyle w:val="Normal"/>
        <w:suppressAutoHyphens w:val="true"/>
        <w:spacing w:lineRule="atLeast" w:line="360"/>
        <w:ind w:end="-90"/>
        <w:rPr>
          <w:color w:val="000000"/>
          <w:sz w:val="24"/>
        </w:rPr>
      </w:pPr>
      <w:r>
        <w:rPr>
          <w:color w:val="000000"/>
          <w:sz w:val="24"/>
        </w:rPr>
      </w:r>
    </w:p>
    <w:p>
      <w:pPr>
        <w:pStyle w:val="Normal"/>
        <w:suppressAutoHyphens w:val="true"/>
        <w:spacing w:lineRule="atLeast" w:line="360"/>
        <w:ind w:end="-90"/>
        <w:rPr>
          <w:color w:val="000000"/>
          <w:sz w:val="24"/>
        </w:rPr>
      </w:pPr>
      <w:r>
        <w:rPr>
          <w:color w:val="000000"/>
          <w:sz w:val="24"/>
        </w:rPr>
        <w:t>The sales line will be driven by our portfolio of newer products and will grow despite the expected slight decline in combined Prozac and Sarafem sales. Notably, the company anticipates that Zyprexa sales will grow in the range of 25 to 30 percent and insulin products will increase in the low double digits. Gemzar, Evista, and Actos are expected to continue strong growth for the balance of the year.  The company continues to anticipate a decline in worldwide sales of ReoPro.</w:t>
      </w:r>
    </w:p>
    <w:p>
      <w:pPr>
        <w:pStyle w:val="BodyText3"/>
        <w:suppressAutoHyphens w:val="true"/>
        <w:spacing w:lineRule="atLeast" w:line="360"/>
        <w:ind w:end="-187"/>
        <w:jc w:val="start"/>
        <w:rPr>
          <w:rFonts w:ascii="Times New Roman" w:hAnsi="Times New Roman" w:cs="Times New Roman"/>
          <w:b w:val="false"/>
          <w:color w:val="000000"/>
        </w:rPr>
      </w:pPr>
      <w:r>
        <w:rPr>
          <w:rFonts w:cs="Times New Roman" w:ascii="Times New Roman" w:hAnsi="Times New Roman"/>
          <w:b w:val="false"/>
          <w:color w:val="000000"/>
        </w:rPr>
        <w:t>In addition, the company expects the full-year improvement in gross margin to be greater than 150 basis points. Research and development and marketing and administrative expenses are expected to grow at a rate above the rate of sales as we continue to invest in our commitment to scientific innovation and increased sales and marketing efforts.   The tax rate is expected to remain at approximately 22 percent for the full year.</w:t>
      </w:r>
    </w:p>
    <w:p>
      <w:pPr>
        <w:pStyle w:val="Normal"/>
        <w:suppressAutoHyphens w:val="true"/>
        <w:spacing w:lineRule="atLeast" w:line="360"/>
        <w:ind w:end="-180"/>
        <w:rPr>
          <w:rFonts w:ascii="Times New Roman" w:hAnsi="Times New Roman" w:cs="Times New Roman"/>
          <w:b/>
          <w:color w:val="000000"/>
          <w:sz w:val="24"/>
          <w:u w:val="single"/>
        </w:rPr>
      </w:pPr>
      <w:r>
        <w:rPr>
          <w:rFonts w:cs="Times New Roman"/>
          <w:b/>
          <w:color w:val="000000"/>
          <w:sz w:val="24"/>
          <w:u w:val="single"/>
        </w:rPr>
      </w:r>
    </w:p>
    <w:p>
      <w:pPr>
        <w:pStyle w:val="Normal"/>
        <w:suppressAutoHyphens w:val="true"/>
        <w:spacing w:lineRule="atLeast" w:line="360"/>
        <w:ind w:end="-180"/>
        <w:rPr>
          <w:color w:val="000000"/>
          <w:sz w:val="24"/>
        </w:rPr>
      </w:pPr>
      <w:r>
        <w:rPr>
          <w:color w:val="000000"/>
          <w:sz w:val="24"/>
          <w:u w:val="single"/>
        </w:rPr>
        <w:t>Financial Expectations for 2001 and 2002</w:t>
      </w:r>
    </w:p>
    <w:p>
      <w:pPr>
        <w:pStyle w:val="Normal"/>
        <w:suppressAutoHyphens w:val="true"/>
        <w:spacing w:lineRule="atLeast" w:line="360"/>
        <w:rPr>
          <w:sz w:val="24"/>
        </w:rPr>
      </w:pPr>
      <w:r>
        <w:rPr>
          <w:sz w:val="24"/>
        </w:rPr>
        <w:t xml:space="preserve">On August 9, 2000, Lilly issued guidance to investors about the expected financial impact of the Prozac patent ruling, assuming the ruling is not overturned and assuming the FDA grants the company market exclusivity until August 2, 2001, in connection with pediatric studies. In summary on a normalized basis, the company expects to post single-digit sales and earnings-per-share growth in the calendar years 2001 and 2002, accelerating to double-digit sales and earnings growth in 2003. Solid sales and earnings growth in the first half of 2001 are expected to more than offset declines in the second half of 2001 due to the anticipated generic entry in August.  For 2002, sales and earnings growth in the second half of the year are expected to more than offset declines in the first half of the year.  </w:t>
      </w:r>
    </w:p>
    <w:p>
      <w:pPr>
        <w:pStyle w:val="Normal"/>
        <w:suppressAutoHyphens w:val="true"/>
        <w:spacing w:lineRule="atLeast" w:line="360"/>
        <w:ind w:end="-180"/>
        <w:rPr>
          <w:color w:val="000000"/>
          <w:sz w:val="24"/>
          <w:u w:val="single"/>
        </w:rPr>
      </w:pPr>
      <w:r>
        <w:rPr>
          <w:color w:val="000000"/>
          <w:sz w:val="24"/>
          <w:u w:val="single"/>
        </w:rPr>
      </w:r>
    </w:p>
    <w:p>
      <w:pPr>
        <w:pStyle w:val="Normal"/>
        <w:suppressAutoHyphens w:val="true"/>
        <w:spacing w:lineRule="atLeast" w:line="360"/>
        <w:ind w:end="-180"/>
        <w:rPr>
          <w:color w:val="000000"/>
          <w:sz w:val="24"/>
          <w:u w:val="single"/>
        </w:rPr>
      </w:pPr>
      <w:r>
        <w:rPr>
          <w:color w:val="000000"/>
          <w:sz w:val="24"/>
          <w:u w:val="single"/>
        </w:rPr>
        <w:t>Webcast of Conference Call</w:t>
      </w:r>
    </w:p>
    <w:p>
      <w:pPr>
        <w:pStyle w:val="Normal"/>
        <w:suppressAutoHyphens w:val="true"/>
        <w:spacing w:lineRule="atLeast" w:line="360"/>
        <w:ind w:end="-180"/>
        <w:rPr/>
      </w:pPr>
      <w:r>
        <w:rPr>
          <w:color w:val="000000"/>
          <w:sz w:val="24"/>
        </w:rPr>
        <w:t xml:space="preserve">As previously announced, investors can access a live Webcast of the third quarter earnings conference call through a link that will be posted on Lilly's Web site at </w:t>
      </w:r>
      <w:hyperlink r:id="rId4">
        <w:r>
          <w:rPr>
            <w:rStyle w:val="Hyperlink"/>
          </w:rPr>
          <w:t>www.lilly.com</w:t>
        </w:r>
      </w:hyperlink>
      <w:r>
        <w:rPr>
          <w:color w:val="000000"/>
          <w:sz w:val="24"/>
        </w:rPr>
        <w:t>.  The conference call begins today at 10:30 a.m. Eastern Daylight Time and will be available for replay through October 31, 2000.</w:t>
      </w:r>
    </w:p>
    <w:p>
      <w:pPr>
        <w:pStyle w:val="Normal"/>
        <w:suppressAutoHyphens w:val="true"/>
        <w:spacing w:lineRule="atLeast" w:line="360"/>
        <w:ind w:end="-180"/>
        <w:rPr>
          <w:color w:val="000000"/>
          <w:sz w:val="24"/>
        </w:rPr>
      </w:pPr>
      <w:r>
        <w:rPr>
          <w:color w:val="000000"/>
          <w:sz w:val="24"/>
        </w:rPr>
      </w:r>
    </w:p>
    <w:p>
      <w:pPr>
        <w:pStyle w:val="Normal"/>
        <w:suppressAutoHyphens w:val="true"/>
        <w:spacing w:lineRule="atLeast" w:line="360"/>
        <w:ind w:end="-180"/>
        <w:rPr>
          <w:color w:val="000000"/>
          <w:sz w:val="24"/>
        </w:rPr>
      </w:pPr>
      <w:r>
        <w:rPr>
          <w:color w:val="000000"/>
          <w:sz w:val="24"/>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t>
      </w:r>
    </w:p>
    <w:p>
      <w:pPr>
        <w:pStyle w:val="Normal"/>
        <w:tabs>
          <w:tab w:val="clear" w:pos="720"/>
          <w:tab w:val="left" w:pos="3600" w:leader="none"/>
        </w:tabs>
        <w:suppressAutoHyphens w:val="true"/>
        <w:spacing w:lineRule="atLeast" w:line="360"/>
        <w:rPr>
          <w:color w:val="000000"/>
          <w:sz w:val="24"/>
        </w:rPr>
      </w:pPr>
      <w:r>
        <w:rPr>
          <w:color w:val="000000"/>
          <w:sz w:val="24"/>
        </w:rPr>
      </w:r>
    </w:p>
    <w:p>
      <w:pPr>
        <w:pStyle w:val="Normal"/>
        <w:suppressAutoHyphens w:val="true"/>
        <w:rPr>
          <w:color w:val="000000"/>
        </w:rPr>
      </w:pPr>
      <w:r>
        <w:rPr>
          <w:color w:val="000000"/>
        </w:rPr>
        <w:t>This release contains forward-looking information about the company's financial results, business prospects and products in research, including plans for development of future products and line extensions.  The information is based on management's current expectations but actual results may differ materially due to various factors.  In particular, the company's expectations may be affected by the timing of the entry of generic fluoxetine in the U.S., by competitive developments affecting its current growth products, and by the uncertainties of new product development.  For additional information about the factors that affect the company's business, please see Exhibit 99 to the company's latest Form 10-Q filed August 2000.  The company undertakes no duty to update forward-looking statements.</w:t>
      </w:r>
    </w:p>
    <w:p>
      <w:pPr>
        <w:pStyle w:val="Normal"/>
        <w:suppressAutoHyphens w:val="true"/>
        <w:spacing w:lineRule="atLeast" w:line="440"/>
        <w:jc w:val="center"/>
        <w:rPr>
          <w:color w:val="000000"/>
          <w:sz w:val="24"/>
        </w:rPr>
      </w:pPr>
      <w:r>
        <w:rPr>
          <w:color w:val="000000"/>
          <w:sz w:val="24"/>
        </w:rPr>
        <w:t>#</w:t>
        <w:tab/>
        <w:t>#</w:t>
        <w:tab/>
        <w:t>#</w:t>
      </w:r>
    </w:p>
    <w:p>
      <w:pPr>
        <w:pStyle w:val="Normal"/>
        <w:tabs>
          <w:tab w:val="clear" w:pos="720"/>
          <w:tab w:val="decimal" w:pos="4940" w:leader="none"/>
          <w:tab w:val="decimal" w:pos="7200" w:leader="none"/>
          <w:tab w:val="decimal" w:pos="8720" w:leader="none"/>
          <w:tab w:val="decimal" w:pos="10080" w:leader="none"/>
        </w:tabs>
        <w:suppressAutoHyphens w:val="true"/>
        <w:ind w:end="-1800"/>
        <w:rPr/>
      </w:pPr>
      <w:r>
        <w:rPr>
          <w:u w:val="single"/>
        </w:rPr>
        <w:tab/>
      </w:r>
      <w:r>
        <w:rPr>
          <w:color w:val="000000"/>
        </w:rPr>
        <w:tab/>
      </w:r>
    </w:p>
    <w:p>
      <w:pPr>
        <w:pStyle w:val="trademark"/>
        <w:suppressAutoHyphens w:val="true"/>
        <w:spacing w:lineRule="auto" w:line="240"/>
        <w:rPr>
          <w:rFonts w:ascii="Times New Roman" w:hAnsi="Times New Roman" w:cs="Times New Roman"/>
          <w:color w:val="000000"/>
          <w:sz w:val="20"/>
        </w:rPr>
      </w:pPr>
      <w:r>
        <w:rPr>
          <w:rFonts w:cs="Times New Roman" w:ascii="Times New Roman" w:hAnsi="Times New Roman"/>
          <w:color w:val="000000"/>
          <w:sz w:val="20"/>
        </w:rPr>
        <w:t>Actos® (pioglitazone hydrochloride, Takeda)</w:t>
      </w:r>
    </w:p>
    <w:p>
      <w:pPr>
        <w:pStyle w:val="trademark"/>
        <w:suppressAutoHyphens w:val="true"/>
        <w:spacing w:lineRule="auto" w:line="240"/>
        <w:rPr>
          <w:rFonts w:ascii="Times New Roman" w:hAnsi="Times New Roman" w:cs="Times New Roman"/>
          <w:color w:val="000000"/>
          <w:sz w:val="20"/>
        </w:rPr>
      </w:pPr>
      <w:r>
        <w:rPr>
          <w:rFonts w:cs="Times New Roman" w:ascii="Times New Roman" w:hAnsi="Times New Roman"/>
          <w:color w:val="000000"/>
          <w:sz w:val="20"/>
        </w:rPr>
        <w:t>Axid® (nizatidine, Lilly)</w:t>
      </w:r>
    </w:p>
    <w:p>
      <w:pPr>
        <w:pStyle w:val="trademark"/>
        <w:suppressAutoHyphens w:val="true"/>
        <w:spacing w:lineRule="auto" w:line="240"/>
        <w:rPr>
          <w:rFonts w:ascii="Times New Roman" w:hAnsi="Times New Roman" w:cs="Times New Roman"/>
          <w:color w:val="000000"/>
          <w:sz w:val="20"/>
        </w:rPr>
      </w:pPr>
      <w:r>
        <w:rPr>
          <w:rFonts w:cs="Times New Roman" w:ascii="Times New Roman" w:hAnsi="Times New Roman"/>
          <w:color w:val="000000"/>
          <w:sz w:val="20"/>
        </w:rPr>
        <w:t>Ceclor® (cefaclor, Lilly)</w:t>
      </w:r>
    </w:p>
    <w:p>
      <w:pPr>
        <w:pStyle w:val="trademark"/>
        <w:suppressAutoHyphens w:val="true"/>
        <w:spacing w:lineRule="auto" w:line="240"/>
        <w:rPr>
          <w:rFonts w:ascii="Times New Roman" w:hAnsi="Times New Roman" w:cs="Times New Roman"/>
          <w:color w:val="000000"/>
          <w:sz w:val="20"/>
        </w:rPr>
      </w:pPr>
      <w:r>
        <w:rPr>
          <w:rFonts w:cs="Times New Roman" w:ascii="Times New Roman" w:hAnsi="Times New Roman"/>
          <w:color w:val="000000"/>
          <w:sz w:val="20"/>
        </w:rPr>
        <w:t>Evista® (raloxifene hydrochloride, Lilly)</w:t>
      </w:r>
    </w:p>
    <w:p>
      <w:pPr>
        <w:pStyle w:val="Normal"/>
        <w:suppressAutoHyphens w:val="true"/>
        <w:rPr/>
      </w:pPr>
      <w:r>
        <w:rPr/>
        <w:t>Fortéo</w:t>
      </w:r>
      <w:r>
        <w:rPr>
          <w:rFonts w:eastAsia="Symbol" w:cs="Symbol" w:ascii="Symbol" w:hAnsi="Symbol"/>
        </w:rPr>
        <w:sym w:font="Symbol" w:char="f0e4"/>
      </w:r>
      <w:r>
        <w:rPr/>
        <w:t xml:space="preserve"> (teriparatide, Lilly)</w:t>
      </w:r>
    </w:p>
    <w:p>
      <w:pPr>
        <w:pStyle w:val="Normal"/>
        <w:suppressAutoHyphens w:val="true"/>
        <w:rPr>
          <w:color w:val="000000"/>
        </w:rPr>
      </w:pPr>
      <w:r>
        <w:rPr>
          <w:color w:val="000000"/>
        </w:rPr>
        <w:t>Gemzar® (gemcitabine hydrochloride, Lilly)</w:t>
      </w:r>
    </w:p>
    <w:p>
      <w:pPr>
        <w:pStyle w:val="Normal"/>
        <w:suppressAutoHyphens w:val="true"/>
        <w:rPr>
          <w:color w:val="000000"/>
        </w:rPr>
      </w:pPr>
      <w:r>
        <w:rPr>
          <w:color w:val="000000"/>
        </w:rPr>
        <w:t>Humalog® (insulin lispro, Lilly)</w:t>
      </w:r>
    </w:p>
    <w:p>
      <w:pPr>
        <w:pStyle w:val="Normal"/>
        <w:suppressAutoHyphens w:val="true"/>
        <w:rPr/>
      </w:pPr>
      <w:r>
        <w:rPr>
          <w:color w:val="000000"/>
        </w:rPr>
        <w:t>Humulin® (human insulin of recombinant DNA origin, Lilly)</w:t>
      </w:r>
    </w:p>
    <w:p>
      <w:pPr>
        <w:pStyle w:val="Normal"/>
        <w:suppressAutoHyphens w:val="true"/>
        <w:rPr>
          <w:color w:val="000000"/>
        </w:rPr>
      </w:pPr>
      <w:r>
        <w:rPr>
          <w:color w:val="000000"/>
        </w:rPr>
        <w:t>Humatrope® (somatropin of recombinant DNA origin, Lilly)</w:t>
      </w:r>
    </w:p>
    <w:p>
      <w:pPr>
        <w:pStyle w:val="Normal"/>
        <w:suppressAutoHyphens w:val="true"/>
        <w:rPr>
          <w:color w:val="000000"/>
        </w:rPr>
      </w:pPr>
      <w:r>
        <w:rPr>
          <w:color w:val="000000"/>
        </w:rPr>
        <w:t>Iletin® (insulin, Lilly)</w:t>
      </w:r>
    </w:p>
    <w:p>
      <w:pPr>
        <w:pStyle w:val="Normal"/>
        <w:suppressAutoHyphens w:val="true"/>
        <w:rPr>
          <w:color w:val="000000"/>
        </w:rPr>
      </w:pPr>
      <w:r>
        <w:rPr>
          <w:color w:val="000000"/>
        </w:rPr>
        <w:t>Lorabid® (loracarbef, Lilly)</w:t>
      </w:r>
    </w:p>
    <w:p>
      <w:pPr>
        <w:pStyle w:val="Normal"/>
        <w:suppressAutoHyphens w:val="true"/>
        <w:rPr>
          <w:color w:val="000000"/>
        </w:rPr>
      </w:pPr>
      <w:r>
        <w:rPr>
          <w:color w:val="000000"/>
        </w:rPr>
        <w:t>Prozac® (fluoxetine hydrochloride, Dista)</w:t>
      </w:r>
    </w:p>
    <w:p>
      <w:pPr>
        <w:pStyle w:val="Normal"/>
        <w:suppressAutoHyphens w:val="true"/>
        <w:rPr>
          <w:color w:val="000000"/>
        </w:rPr>
      </w:pPr>
      <w:r>
        <w:rPr>
          <w:color w:val="000000"/>
        </w:rPr>
        <w:t>ReoPro® (abciximab, Centocor), Lilly</w:t>
      </w:r>
    </w:p>
    <w:p>
      <w:pPr>
        <w:pStyle w:val="Normal"/>
        <w:suppressAutoHyphens w:val="true"/>
        <w:rPr>
          <w:color w:val="000000"/>
        </w:rPr>
      </w:pPr>
      <w:r>
        <w:rPr>
          <w:color w:val="000000"/>
        </w:rPr>
        <w:t>Sarafem™ (fluoxetine hydrochloride, Lilly)</w:t>
      </w:r>
    </w:p>
    <w:p>
      <w:pPr>
        <w:pStyle w:val="Normal"/>
        <w:suppressAutoHyphens w:val="true"/>
        <w:rPr/>
      </w:pPr>
      <w:r>
        <w:rPr>
          <w:color w:val="000000"/>
        </w:rPr>
        <w:t>Zovant™ (recombinant human activated protein C, Lilly)</w:t>
      </w:r>
    </w:p>
    <w:p>
      <w:pPr>
        <w:pStyle w:val="Normal"/>
        <w:suppressAutoHyphens w:val="true"/>
        <w:rPr>
          <w:color w:val="000000"/>
        </w:rPr>
      </w:pPr>
      <w:r>
        <w:rPr>
          <w:color w:val="000000"/>
        </w:rPr>
        <w:t>Zyprexa® (olanzapine, Lilly)</w:t>
      </w:r>
    </w:p>
    <w:p>
      <w:pPr>
        <w:pStyle w:val="Normal"/>
        <w:suppressAutoHyphens w:val="true"/>
        <w:rPr/>
      </w:pPr>
      <w:r>
        <w:rPr>
          <w:color w:val="000000"/>
        </w:rPr>
        <w:t>Zydis</w:t>
      </w:r>
      <w:r>
        <w:rPr>
          <w:rFonts w:eastAsia="Symbol" w:cs="Symbol" w:ascii="Symbol" w:hAnsi="Symbol"/>
          <w:color w:val="000000"/>
        </w:rPr>
        <w:sym w:font="Symbol" w:char="f0e2"/>
      </w:r>
      <w:r>
        <w:rPr>
          <w:color w:val="000000"/>
        </w:rPr>
        <w:t xml:space="preserve"> is a registered trademark of R.P. Scherer Corporation</w:t>
      </w:r>
    </w:p>
    <w:p>
      <w:pPr>
        <w:pStyle w:val="Normal"/>
        <w:suppressAutoHyphens w:val="true"/>
        <w:rPr>
          <w:color w:val="000000"/>
        </w:rPr>
      </w:pPr>
      <w:r>
        <w:rPr>
          <w:color w:val="000000"/>
        </w:rPr>
      </w:r>
    </w:p>
    <w:p>
      <w:pPr>
        <w:pStyle w:val="FootnoteText"/>
        <w:suppressAutoHyphens w:val="true"/>
        <w:rPr>
          <w:color w:val="000000"/>
        </w:rPr>
      </w:pPr>
      <w:r>
        <w:rPr>
          <w:color w:val="000000"/>
        </w:rPr>
      </w:r>
    </w:p>
    <w:p>
      <w:pPr>
        <w:pStyle w:val="Normal"/>
        <w:suppressAutoHyphens w:val="true"/>
        <w:spacing w:lineRule="atLeast" w:line="360"/>
        <w:ind w:end="-180"/>
        <w:rPr>
          <w:sz w:val="24"/>
        </w:rPr>
      </w:pPr>
      <w:r>
        <w:rPr>
          <w:sz w:val="24"/>
        </w:rPr>
      </w:r>
    </w:p>
    <w:p>
      <w:pPr>
        <w:pStyle w:val="Normal"/>
        <w:suppressAutoHyphens w:val="true"/>
        <w:rPr>
          <w:sz w:val="24"/>
        </w:rPr>
      </w:pPr>
      <w:r>
        <w:rPr>
          <w:sz w:val="24"/>
        </w:rPr>
      </w:r>
    </w:p>
    <w:p>
      <w:pPr>
        <w:pStyle w:val="Normal"/>
        <w:suppressAutoHyphens w:val="true"/>
        <w:rPr>
          <w:sz w:val="24"/>
        </w:rPr>
      </w:pPr>
      <w:r>
        <w:rPr>
          <w:sz w:val="24"/>
        </w:rPr>
      </w:r>
    </w:p>
    <w:p>
      <w:pPr>
        <w:pStyle w:val="Normal"/>
        <w:suppressAutoHyphens w:val="true"/>
        <w:spacing w:lineRule="atLeast" w:line="440"/>
        <w:rPr>
          <w:sz w:val="24"/>
        </w:rPr>
      </w:pPr>
      <w:r>
        <w:rPr>
          <w:sz w:val="24"/>
        </w:rPr>
      </w:r>
    </w:p>
    <w:p>
      <w:pPr>
        <w:pStyle w:val="Normal"/>
        <w:suppressAutoHyphens w:val="true"/>
        <w:rPr>
          <w:sz w:val="24"/>
        </w:rPr>
      </w:pPr>
      <w:r>
        <w:rPr>
          <w:sz w:val="24"/>
        </w:rPr>
      </w:r>
    </w:p>
    <w:p>
      <w:pPr>
        <w:pStyle w:val="Normal"/>
        <w:suppressAutoHyphens w:val="true"/>
        <w:rPr>
          <w:sz w:val="24"/>
        </w:rPr>
      </w:pPr>
      <w:r>
        <w:rPr>
          <w:sz w:val="24"/>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724661384"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2">
    <w:name w:val="heading 2"/>
    <w:basedOn w:val="Normal"/>
    <w:next w:val="Normal"/>
    <w:qFormat/>
    <w:pPr>
      <w:keepNext w:val="true"/>
      <w:numPr>
        <w:ilvl w:val="1"/>
        <w:numId w:val="1"/>
      </w:numPr>
      <w:spacing w:lineRule="atLeast" w:line="360"/>
      <w:outlineLvl w:val="1"/>
    </w:pPr>
    <w:rPr>
      <w:sz w:val="24"/>
      <w:u w:val="single"/>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paragraph" w:styleId="Heading5">
    <w:name w:val="heading 5"/>
    <w:basedOn w:val="Normal"/>
    <w:next w:val="Normal"/>
    <w:qFormat/>
    <w:pPr>
      <w:keepNext w:val="true"/>
      <w:numPr>
        <w:ilvl w:val="4"/>
        <w:numId w:val="1"/>
      </w:numPr>
      <w:suppressAutoHyphens w:val="true"/>
      <w:spacing w:lineRule="atLeast" w:line="360"/>
      <w:outlineLvl w:val="4"/>
    </w:pPr>
    <w:rPr>
      <w:i/>
      <w:sz w:val="24"/>
      <w:u w:val="single"/>
    </w:rPr>
  </w:style>
  <w:style w:type="paragraph" w:styleId="Heading6">
    <w:name w:val="heading 6"/>
    <w:basedOn w:val="Normal"/>
    <w:next w:val="Normal"/>
    <w:qFormat/>
    <w:pPr>
      <w:keepNext w:val="true"/>
      <w:numPr>
        <w:ilvl w:val="5"/>
        <w:numId w:val="1"/>
      </w:numPr>
      <w:suppressAutoHyphens w:val="true"/>
      <w:ind w:hanging="0" w:start="0" w:end="-180"/>
      <w:jc w:val="center"/>
      <w:outlineLvl w:val="5"/>
    </w:pPr>
    <w:rPr>
      <w:b/>
      <w:sz w:val="24"/>
    </w:rPr>
  </w:style>
  <w:style w:type="paragraph" w:styleId="Heading7">
    <w:name w:val="heading 7"/>
    <w:basedOn w:val="Normal"/>
    <w:next w:val="Normal"/>
    <w:qFormat/>
    <w:pPr>
      <w:keepNext w:val="true"/>
      <w:numPr>
        <w:ilvl w:val="6"/>
        <w:numId w:val="1"/>
      </w:numPr>
      <w:ind w:hanging="0" w:start="0" w:end="-180"/>
      <w:outlineLvl w:val="6"/>
    </w:pPr>
    <w:rPr>
      <w:rFonts w:ascii="Century Schoolbook" w:hAnsi="Century Schoolbook" w:cs="Century Schoolbook"/>
      <w:sz w:val="24"/>
      <w:u w:val="single"/>
    </w:rPr>
  </w:style>
  <w:style w:type="paragraph" w:styleId="Heading8">
    <w:name w:val="heading 8"/>
    <w:basedOn w:val="Normal"/>
    <w:next w:val="Normal"/>
    <w:qFormat/>
    <w:pPr>
      <w:keepNext w:val="true"/>
      <w:numPr>
        <w:ilvl w:val="7"/>
        <w:numId w:val="1"/>
      </w:numPr>
      <w:jc w:val="center"/>
      <w:outlineLvl w:val="7"/>
    </w:pPr>
    <w:rPr>
      <w:rFonts w:ascii="Century Schoolbook" w:hAnsi="Century Schoolbook" w:cs="Century Schoolbook"/>
      <w:b/>
      <w:sz w:val="24"/>
    </w:rPr>
  </w:style>
  <w:style w:type="paragraph" w:styleId="Heading9">
    <w:name w:val="heading 9"/>
    <w:basedOn w:val="Normal"/>
    <w:next w:val="Normal"/>
    <w:qFormat/>
    <w:pPr>
      <w:keepNext w:val="true"/>
      <w:numPr>
        <w:ilvl w:val="8"/>
        <w:numId w:val="1"/>
      </w:numPr>
      <w:spacing w:lineRule="atLeast" w:line="360"/>
      <w:outlineLvl w:val="8"/>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BodyText3">
    <w:name w:val="Body Text 3"/>
    <w:basedOn w:val="Normal"/>
    <w:qFormat/>
    <w:pPr>
      <w:ind w:hanging="0" w:start="0" w:end="-180"/>
      <w:jc w:val="center"/>
    </w:pPr>
    <w:rPr>
      <w:rFonts w:ascii="Century Schoolbook" w:hAnsi="Century Schoolbook" w:cs="Century Schoolbook"/>
      <w:b/>
      <w:sz w:val="24"/>
    </w:rPr>
  </w:style>
  <w:style w:type="paragraph" w:styleId="FootnoteText">
    <w:name w:val="footnote text"/>
    <w:basedOn w:val="Normal"/>
    <w:pPr/>
    <w:rPr/>
  </w:style>
  <w:style w:type="paragraph" w:styleId="BodyText2">
    <w:name w:val="Body Text 2"/>
    <w:basedOn w:val="Normal"/>
    <w:qFormat/>
    <w:pPr>
      <w:spacing w:lineRule="exact" w:line="260"/>
    </w:pPr>
    <w:rPr>
      <w:rFonts w:ascii="Century Gothic" w:hAnsi="Century Gothic" w:cs="Century Gothic"/>
    </w:rPr>
  </w:style>
  <w:style w:type="paragraph" w:styleId="EndnoteText">
    <w:name w:val="end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lilly.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2000-10-19T17:57:00Z</dcterms:created>
  <dc:creator>Colleen M Parker</dc:creator>
  <dc:description/>
  <dc:language>en-CA</dc:language>
  <cp:lastModifiedBy>Colleen M Parker</cp:lastModifiedBy>
  <cp:lastPrinted>2000-10-19T15:26:00Z</cp:lastPrinted>
  <dcterms:modified xsi:type="dcterms:W3CDTF">2000-10-19T17:57:00Z</dcterms:modified>
  <cp:revision>2</cp:revision>
  <dc:subject/>
  <dc:title>  </dc:title>
</cp:coreProperties>
</file>