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Azurix’s  Arbitration Themes</w:t>
      </w:r>
    </w:p>
    <w:p>
      <w:pPr>
        <w:pStyle w:val="Normal"/>
        <w:rPr/>
      </w:pPr>
      <w:r>
        <w:rPr/>
      </w:r>
    </w:p>
    <w:p>
      <w:pPr>
        <w:pStyle w:val="Normal"/>
        <w:spacing w:before="0" w:after="240"/>
        <w:jc w:val="both"/>
        <w:rPr/>
      </w:pPr>
      <w:r>
        <w:rPr/>
        <w:t>I.</w:t>
        <w:tab/>
      </w:r>
      <w:r>
        <w:rPr>
          <w:u w:val="single"/>
        </w:rPr>
        <w:t>Introduction</w:t>
      </w:r>
    </w:p>
    <w:p>
      <w:pPr>
        <w:pStyle w:val="Normal"/>
        <w:spacing w:before="0" w:after="240"/>
        <w:jc w:val="both"/>
        <w:rPr/>
      </w:pPr>
      <w:r>
        <w:rPr/>
        <w:tab/>
        <w:t>A.</w:t>
        <w:tab/>
      </w:r>
      <w:r>
        <w:rPr>
          <w:u w:val="single"/>
        </w:rPr>
        <w:t>Quotes</w:t>
      </w:r>
    </w:p>
    <w:p>
      <w:pPr>
        <w:pStyle w:val="Normal"/>
        <w:spacing w:before="0" w:after="240"/>
        <w:ind w:hanging="720" w:start="2160" w:end="0"/>
        <w:jc w:val="both"/>
        <w:rPr/>
      </w:pPr>
      <w:r>
        <w:rPr/>
        <w:t>1.</w:t>
        <w:tab/>
        <w:t>Elizabeth Moyano, President of the Commission of Control of Privatized Public Companies and Delegate to the House of Representatives of the Province of Buenos Aires</w:t>
      </w:r>
    </w:p>
    <w:p>
      <w:pPr>
        <w:pStyle w:val="Normal"/>
        <w:spacing w:before="0" w:after="240"/>
        <w:ind w:hanging="720" w:start="2880" w:end="0"/>
        <w:jc w:val="both"/>
        <w:rPr/>
      </w:pPr>
      <w:r>
        <w:rPr/>
        <w:t>(a)</w:t>
        <w:tab/>
        <w:t xml:space="preserve">“The OSBA privatization is a time bomb.  The bidders have access to little information, and there is uncertainty with respect to the tariff regime and the expansion plans …[t]he bidding process is being done in a rush of six months before the gubernatorial elections.”    </w:t>
      </w:r>
      <w:r>
        <w:rPr>
          <w:b/>
        </w:rPr>
        <w:t>[El Dia May 14, 1999]</w:t>
      </w:r>
    </w:p>
    <w:p>
      <w:pPr>
        <w:pStyle w:val="Normal"/>
        <w:spacing w:before="0" w:after="240"/>
        <w:ind w:hanging="720" w:start="2880" w:end="0"/>
        <w:jc w:val="both"/>
        <w:rPr/>
      </w:pPr>
      <w:r>
        <w:rPr/>
        <w:t>(b)</w:t>
        <w:tab/>
        <w:t xml:space="preserve">“The process of privatization was carried out with a series of technical irregularities and other anomalies, which originated in political urgencies, that were identified from the beginning, resulting in problems that were foreseeable.”  </w:t>
      </w:r>
      <w:r>
        <w:rPr>
          <w:b/>
        </w:rPr>
        <w:t>[Representatives Commission meeting May 11, 2000]</w:t>
      </w:r>
    </w:p>
    <w:p>
      <w:pPr>
        <w:pStyle w:val="Normal"/>
        <w:spacing w:before="0" w:after="240"/>
        <w:ind w:hanging="720" w:start="2160" w:end="0"/>
        <w:jc w:val="both"/>
        <w:rPr/>
      </w:pPr>
      <w:r>
        <w:rPr/>
        <w:t>2.</w:t>
        <w:tab/>
        <w:t>Julian Dominquez, Minister of Public Works and Services of the Province of Buenos Aires</w:t>
      </w:r>
    </w:p>
    <w:p>
      <w:pPr>
        <w:pStyle w:val="Normal"/>
        <w:spacing w:before="0" w:after="240"/>
        <w:ind w:hanging="720" w:start="2880" w:end="0"/>
        <w:jc w:val="both"/>
        <w:rPr/>
      </w:pPr>
      <w:r>
        <w:rPr/>
        <w:t>(a)</w:t>
        <w:tab/>
        <w:t xml:space="preserve">“We are conscious that we have forced ORAB to make decisions for political reasons thereby violating the Concession Contract by going beyond the </w:t>
      </w:r>
      <w:r>
        <w:rPr>
          <w:i/>
        </w:rPr>
        <w:t>espiritu de la letra.</w:t>
      </w:r>
      <w:r>
        <w:rPr/>
        <w:t>”</w:t>
      </w:r>
    </w:p>
    <w:p>
      <w:pPr>
        <w:pStyle w:val="Normal"/>
        <w:spacing w:before="0" w:after="240"/>
        <w:ind w:hanging="720" w:start="2880" w:end="0"/>
        <w:jc w:val="both"/>
        <w:rPr/>
      </w:pPr>
      <w:r>
        <w:rPr/>
        <w:tab/>
      </w:r>
      <w:r>
        <w:rPr>
          <w:b/>
        </w:rPr>
        <w:t>[Report to the House of Representatives May 18, 2000]</w:t>
      </w:r>
    </w:p>
    <w:p>
      <w:pPr>
        <w:pStyle w:val="Normal"/>
        <w:spacing w:before="0" w:after="240"/>
        <w:ind w:hanging="720" w:start="2880" w:end="0"/>
        <w:jc w:val="both"/>
        <w:rPr/>
      </w:pPr>
      <w:r>
        <w:rPr/>
        <w:t>(b)</w:t>
        <w:tab/>
        <w:t xml:space="preserve">“The government superseded the Concession Contract.  The government must protect users no matter what the Concession Contract says.”  </w:t>
      </w:r>
      <w:r>
        <w:rPr>
          <w:b/>
        </w:rPr>
        <w:t>[La Voz, Zarate May 19, 2000]</w:t>
      </w:r>
    </w:p>
    <w:p>
      <w:pPr>
        <w:pStyle w:val="Normal"/>
        <w:spacing w:before="0" w:after="240"/>
        <w:ind w:hanging="720" w:start="2880" w:end="0"/>
        <w:jc w:val="both"/>
        <w:rPr/>
      </w:pPr>
      <w:r>
        <w:rPr/>
        <w:t>(c)</w:t>
        <w:tab/>
        <w:t xml:space="preserve">“The Canon is the price that [Azurix] offered for the Concession, and Azurix assumed the risk that it might not be able to recover such amount.”  </w:t>
      </w:r>
      <w:r>
        <w:rPr>
          <w:b/>
        </w:rPr>
        <w:t>[Reply to Azurix’s Cure Letter]</w:t>
      </w:r>
    </w:p>
    <w:p>
      <w:pPr>
        <w:pStyle w:val="Normal"/>
        <w:spacing w:before="0" w:after="240"/>
        <w:ind w:hanging="720" w:start="2880" w:end="0"/>
        <w:jc w:val="both"/>
        <w:rPr/>
      </w:pPr>
      <w:r>
        <w:rPr/>
        <w:t>(d)</w:t>
        <w:tab/>
        <w:t xml:space="preserve">“The Canon represents the cost of entering new markets through this Concession, [Azurix] should bear such cost and should not attempt to pass through to the users of the Province of Buenos Aires the costs of other unsuccessful business it may have undertaken.”  </w:t>
      </w:r>
      <w:r>
        <w:rPr>
          <w:b/>
        </w:rPr>
        <w:t>[Reply to Azurix’s Cure Letter]</w:t>
      </w:r>
      <w:r>
        <w:br w:type="page"/>
      </w:r>
    </w:p>
    <w:p>
      <w:pPr>
        <w:pStyle w:val="Normal"/>
        <w:spacing w:before="0" w:after="240"/>
        <w:ind w:hanging="720" w:start="1440" w:end="0"/>
        <w:jc w:val="both"/>
        <w:rPr/>
      </w:pPr>
      <w:r>
        <w:rPr/>
        <w:t>B.</w:t>
        <w:tab/>
      </w:r>
      <w:r>
        <w:rPr>
          <w:u w:val="single"/>
        </w:rPr>
        <w:t>Theme Statement</w:t>
      </w:r>
    </w:p>
    <w:p>
      <w:pPr>
        <w:pStyle w:val="Normal"/>
        <w:spacing w:before="0" w:after="240"/>
        <w:ind w:hanging="720" w:start="2160" w:end="0"/>
        <w:jc w:val="both"/>
        <w:rPr/>
      </w:pPr>
      <w:r>
        <w:rPr/>
        <w:t>1.</w:t>
        <w:tab/>
        <w:t xml:space="preserve">Azurix paid $438.6 million for a 30-year water Concession, which was terminated after only two years.  This payment is referred to as the “Canon”.  The Province expressly represented that the Canon was an investment within the meaning of the Concession Contract that could be amortized during the term of the Concession.  This means that by the terms of the Contract, it could be recovered in the tariffs over the concession term, and the unamortized portion could be recovered by the Concessionaire in the event the concession was terminated.  </w:t>
      </w:r>
    </w:p>
    <w:p>
      <w:pPr>
        <w:pStyle w:val="Normal"/>
        <w:spacing w:before="0" w:after="240"/>
        <w:ind w:hanging="720" w:start="2160" w:end="0"/>
        <w:jc w:val="both"/>
        <w:rPr/>
      </w:pPr>
      <w:r>
        <w:rPr/>
        <w:t>2.</w:t>
        <w:tab/>
        <w:t xml:space="preserve">In addition to the Canon, during the two-and-a-half years of the Concession, Azurix invested an additional $100 million in the Concession for operations, maintenance and expansion of the water system. </w:t>
      </w:r>
    </w:p>
    <w:p>
      <w:pPr>
        <w:pStyle w:val="Normal"/>
        <w:spacing w:before="0" w:after="240"/>
        <w:ind w:hanging="720" w:start="2160" w:end="0"/>
        <w:jc w:val="both"/>
        <w:rPr/>
      </w:pPr>
      <w:r>
        <w:rPr/>
        <w:t>3.</w:t>
        <w:tab/>
        <w:t>Provincial law, which takes precedence over the Contract, expressly provides that prices and tariffs will reflect the economic costs of providing services, including a margin of profit and infrastructure expansion costs.  This is consistent with customary practice for utilities.</w:t>
      </w:r>
    </w:p>
    <w:p>
      <w:pPr>
        <w:pStyle w:val="Normal"/>
        <w:spacing w:before="0" w:after="240"/>
        <w:ind w:hanging="720" w:start="2160" w:end="0"/>
        <w:jc w:val="both"/>
        <w:rPr/>
      </w:pPr>
      <w:r>
        <w:rPr/>
        <w:t>4.</w:t>
        <w:tab/>
        <w:t>At the time the Concession was transferred to the Concessionaire, tariffs were set at artificially-low levels that did not cover the costs of the service, the service had not been expanded in many years, and AGOSBA would have been losing money but for Provincial subsidies.</w:t>
      </w:r>
    </w:p>
    <w:p>
      <w:pPr>
        <w:pStyle w:val="Normal"/>
        <w:spacing w:before="0" w:after="240"/>
        <w:ind w:hanging="720" w:start="2160" w:end="0"/>
        <w:jc w:val="both"/>
        <w:rPr/>
      </w:pPr>
      <w:r>
        <w:rPr/>
        <w:t>5.</w:t>
        <w:tab/>
        <w:t>Although the Concessionaire agreed to the maintenance of the existing tariffs for five years, it was clear to all that additional revenues had to be generated to cover the costs of the service and the $950 million expansion costs imposed on the Concessionaire.  The Contract allowed additional revenues to be generated in four ways:  (a) prices (not tariffs) could be increased for non-metered property (90% of the Province) that had undergone improvements (AGOSBA’s records were outdated), (2) prices could be adjusted for inflation, (3) tariffs could be increased after five years or after only three years for extraordinary reasons, and (4) by adding new ratepayers through the expansion of the system.</w:t>
      </w:r>
    </w:p>
    <w:p>
      <w:pPr>
        <w:pStyle w:val="Normal"/>
        <w:spacing w:before="0" w:after="240"/>
        <w:ind w:hanging="720" w:start="2160" w:end="0"/>
        <w:jc w:val="both"/>
        <w:rPr/>
      </w:pPr>
      <w:r>
        <w:rPr/>
        <w:t>6.</w:t>
        <w:tab/>
        <w:t>Only five weeks after the Concession began, ORAB refused to allow the Concessionaire to increase prices for non-metered property that had been improved.  This resulted in lost revenues of $700,000 per month.  A year later, the Concessionaire demonstrated that the inflation index had increased 6%, but ORAB refused to allow an inflationary adjustment, indefinitely delaying the necessary increase in revenues.  This resulted in lost revenues of $_______.</w:t>
      </w:r>
    </w:p>
    <w:p>
      <w:pPr>
        <w:pStyle w:val="Normal"/>
        <w:spacing w:before="0" w:after="240"/>
        <w:ind w:hanging="720" w:start="2160" w:end="0"/>
        <w:jc w:val="both"/>
        <w:rPr/>
      </w:pPr>
      <w:r>
        <w:rPr/>
        <w:t>7.</w:t>
        <w:tab/>
        <w:t xml:space="preserve">The Province admitted that ORAB’s decisions were really made by the Ministry of Public Works and Services and were made for political reasons. </w:t>
      </w:r>
    </w:p>
    <w:p>
      <w:pPr>
        <w:pStyle w:val="Normal"/>
        <w:spacing w:before="0" w:after="240"/>
        <w:ind w:hanging="720" w:start="2160" w:end="0"/>
        <w:jc w:val="both"/>
        <w:rPr/>
      </w:pPr>
      <w:r>
        <w:rPr/>
        <w:t>8.</w:t>
        <w:tab/>
        <w:t>The Province’s regulatory decisions on prices, its failures to complete the infrastructure works it promised to construct and the lack of a clear and transparent tariff regime caused a negative cash flow to the Concessionaire of $2 million per month, an inability to finance or sell the Concession, and insolvency of the Concessionaire.</w:t>
      </w:r>
    </w:p>
    <w:p>
      <w:pPr>
        <w:pStyle w:val="Normal"/>
        <w:spacing w:before="0" w:after="240"/>
        <w:ind w:hanging="720" w:start="2160" w:end="0"/>
        <w:jc w:val="both"/>
        <w:rPr/>
      </w:pPr>
      <w:r>
        <w:rPr/>
        <w:t>9.</w:t>
        <w:tab/>
        <w:t xml:space="preserve">During discussions with the Province, Provincial officials stated they would agree, after the October 2001 elections, to have ORAB permit the increase of prices requested by the Concessionaire (which were already allowed by the Contract), but only if the Concessionaire would waive its right to recover the Canon through tariffs over the term of the Concession.  The Concessionaire was unwilling to waive this important right, and the Province did not allow the Concessionaire to recover the revenues to which it was entitled under both the Contract and Provincial law. </w:t>
      </w:r>
    </w:p>
    <w:p>
      <w:pPr>
        <w:pStyle w:val="Normal"/>
        <w:spacing w:before="0" w:after="240"/>
        <w:ind w:hanging="720" w:start="2160" w:end="0"/>
        <w:jc w:val="both"/>
        <w:rPr/>
      </w:pPr>
      <w:r>
        <w:rPr/>
        <w:t>10.</w:t>
        <w:tab/>
        <w:t xml:space="preserve">The Concession was terminated by the Concessionaire after only two years for serious violations of both the Contract and Provincial law by the Province.  Despite a demand by the Concessionaire that the Province return the unamortized portion of the Canon, the Province refused to do so.  </w:t>
      </w:r>
    </w:p>
    <w:p>
      <w:pPr>
        <w:pStyle w:val="Normal"/>
        <w:spacing w:before="0" w:after="240"/>
        <w:ind w:hanging="720" w:start="720" w:end="0"/>
        <w:jc w:val="both"/>
        <w:rPr/>
      </w:pPr>
      <w:r>
        <w:rPr/>
        <w:t>II.</w:t>
        <w:tab/>
      </w:r>
      <w:r>
        <w:rPr>
          <w:u w:val="single"/>
        </w:rPr>
        <w:t>The Province expropriated the Canon from the moment it accepted the money</w:t>
      </w:r>
    </w:p>
    <w:p>
      <w:pPr>
        <w:pStyle w:val="Normal"/>
        <w:spacing w:before="0" w:after="240"/>
        <w:ind w:hanging="720" w:start="1440" w:end="0"/>
        <w:jc w:val="both"/>
        <w:rPr/>
      </w:pPr>
      <w:r>
        <w:rPr/>
        <w:t>A.</w:t>
        <w:tab/>
      </w:r>
      <w:r>
        <w:rPr>
          <w:u w:val="single"/>
        </w:rPr>
        <w:t>Duty of good faith disclosure in negotiations</w:t>
      </w:r>
    </w:p>
    <w:p>
      <w:pPr>
        <w:pStyle w:val="Normal"/>
        <w:spacing w:before="0" w:after="240"/>
        <w:ind w:hanging="720" w:start="2160" w:end="0"/>
        <w:jc w:val="both"/>
        <w:rPr/>
      </w:pPr>
      <w:r>
        <w:rPr/>
        <w:t>1.</w:t>
        <w:tab/>
        <w:t>Under Argentine Civil Code §1198, “contracts must be executed, construed, and performed in good faith and in accordance with what the parties intended or could have reasonably intended, if acting with care and foresight.”</w:t>
      </w:r>
    </w:p>
    <w:p>
      <w:pPr>
        <w:pStyle w:val="Normal"/>
        <w:spacing w:before="0" w:after="240"/>
        <w:ind w:hanging="720" w:start="2880" w:end="0"/>
        <w:jc w:val="both"/>
        <w:rPr/>
      </w:pPr>
      <w:r>
        <w:rPr/>
        <w:t>(a)</w:t>
        <w:tab/>
        <w:t>Good faith is a fundamental and general legal principle that underlies every social community with a legal system.  Decision of the Civil Court of Appeals, Division G, La Ley, 1988-B-607, Fallo 37.903, Summary III.</w:t>
      </w:r>
    </w:p>
    <w:p>
      <w:pPr>
        <w:pStyle w:val="Normal"/>
        <w:spacing w:before="0" w:after="240"/>
        <w:ind w:hanging="720" w:start="2880" w:end="0"/>
        <w:jc w:val="both"/>
        <w:rPr/>
      </w:pPr>
      <w:r>
        <w:rPr/>
        <w:t>(b)</w:t>
        <w:tab/>
        <w:t>Article 1198 requires an objective standard - what the parties would have intended if acting with care and foresight.</w:t>
      </w:r>
    </w:p>
    <w:p>
      <w:pPr>
        <w:pStyle w:val="Normal"/>
        <w:spacing w:before="0" w:after="240"/>
        <w:ind w:hanging="720" w:start="2160" w:end="0"/>
        <w:jc w:val="both"/>
        <w:rPr/>
      </w:pPr>
      <w:r>
        <w:rPr/>
        <w:t>2.</w:t>
        <w:tab/>
        <w:t xml:space="preserve">“Since the start of pre-contract negotiations, the parties are required to use good faith in execution . . .   This rule constitutes a basis for pre-contractual liability …”  Lavelle Cobo, Jorge E. in </w:t>
      </w:r>
      <w:r>
        <w:rPr>
          <w:u w:val="single"/>
        </w:rPr>
        <w:t>Codigo Civil y Leyes Complementarias</w:t>
      </w:r>
      <w:r>
        <w:rPr/>
        <w:t xml:space="preserve">.  </w:t>
      </w:r>
      <w:r>
        <w:rPr>
          <w:u w:val="single"/>
        </w:rPr>
        <w:t>Comentado, anotado y concordado</w:t>
      </w:r>
      <w:r>
        <w:rPr/>
        <w:t xml:space="preserve">. V, Astrea, Buenos Aires 1984, page 897. </w:t>
      </w:r>
    </w:p>
    <w:p>
      <w:pPr>
        <w:pStyle w:val="Normal"/>
        <w:spacing w:before="0" w:after="240"/>
        <w:ind w:hanging="720" w:start="2160" w:end="0"/>
        <w:jc w:val="both"/>
        <w:rPr/>
      </w:pPr>
      <w:r>
        <w:rPr/>
        <w:t>3.</w:t>
        <w:tab/>
        <w:t xml:space="preserve">Under the doctrine of good faith in pre-contractual negotiations, each side has a duty of disclosure.  Each party has a “duty of loyalty and honesty, based on which each party is required to communicate material circumstances; failure to comply with this duty may result in the avoidance of the agreement on grounds of willful omission (Section 933).” Llambias, Jorge Joaquin en Llambias y Alterini, </w:t>
      </w:r>
      <w:r>
        <w:rPr>
          <w:u w:val="single"/>
        </w:rPr>
        <w:t>Codigo Civil Anotado</w:t>
      </w:r>
      <w:r>
        <w:rPr/>
        <w:t xml:space="preserve">, III-A, Abeledo Perrot, Buenos Aires, 1982, page 153. </w:t>
      </w:r>
    </w:p>
    <w:p>
      <w:pPr>
        <w:pStyle w:val="Normal"/>
        <w:spacing w:before="0" w:after="240"/>
        <w:ind w:hanging="720" w:start="2160" w:end="0"/>
        <w:jc w:val="both"/>
        <w:rPr/>
      </w:pPr>
      <w:r>
        <w:rPr/>
        <w:t>4.</w:t>
        <w:tab/>
        <w:t xml:space="preserve">“… a willful omission takes place when a party is silent or fails to communicate a circumstance material to the other party and which should have been notified to such party …” Aguiar, Henoch, </w:t>
      </w:r>
      <w:r>
        <w:rPr>
          <w:u w:val="single"/>
        </w:rPr>
        <w:t>Hechos y actos juridicos</w:t>
      </w:r>
      <w:r>
        <w:rPr/>
        <w:t xml:space="preserve">, I, TEA, Buenos Aires, 1950, pages 183 and 184. </w:t>
      </w:r>
    </w:p>
    <w:p>
      <w:pPr>
        <w:pStyle w:val="Normal"/>
        <w:spacing w:before="0" w:after="240"/>
        <w:ind w:hanging="720" w:start="1440" w:end="0"/>
        <w:jc w:val="both"/>
        <w:rPr/>
      </w:pPr>
      <w:r>
        <w:rPr/>
        <w:t>B.</w:t>
        <w:tab/>
      </w:r>
      <w:r>
        <w:rPr>
          <w:u w:val="single"/>
        </w:rPr>
        <w:t>Azurix reasonably believed and expected it would be entitled to receive a return on the Canon</w:t>
      </w:r>
    </w:p>
    <w:p>
      <w:pPr>
        <w:pStyle w:val="Normal"/>
        <w:spacing w:before="0" w:after="240"/>
        <w:ind w:hanging="720" w:start="2160" w:end="0"/>
        <w:jc w:val="both"/>
        <w:rPr/>
      </w:pPr>
      <w:r>
        <w:rPr/>
        <w:t>1.</w:t>
        <w:tab/>
        <w:t>Law 11.820, which provides the regulatory framework and is the first in order of legal precedence (even taking precedence over the Contact) for the Concession, provides as a general principle that:</w:t>
      </w:r>
    </w:p>
    <w:p>
      <w:pPr>
        <w:pStyle w:val="Normal"/>
        <w:spacing w:before="0" w:after="240"/>
        <w:ind w:start="2160" w:end="720"/>
        <w:jc w:val="both"/>
        <w:rPr/>
      </w:pPr>
      <w:r>
        <w:rPr/>
        <w:t>“</w:t>
      </w:r>
      <w:r>
        <w:rPr/>
        <w:t xml:space="preserve">Prices and tariffs will tend to reflect the economic cost of providing potable water and sewer services, including the Concessionaire’s margin of profit and the resulting basic infrastructure costs of the P.O.E.S.”  </w:t>
      </w:r>
      <w:r>
        <w:rPr>
          <w:b/>
        </w:rPr>
        <w:t>[Article 28-II (e)]</w:t>
      </w:r>
    </w:p>
    <w:p>
      <w:pPr>
        <w:pStyle w:val="Normal"/>
        <w:spacing w:before="0" w:after="240"/>
        <w:ind w:hanging="720" w:start="2160" w:end="0"/>
        <w:jc w:val="both"/>
        <w:rPr/>
      </w:pPr>
      <w:r>
        <w:rPr/>
        <w:t>2.</w:t>
        <w:tab/>
        <w:t>In Circular 52(A), the Province declared:</w:t>
      </w:r>
    </w:p>
    <w:p>
      <w:pPr>
        <w:pStyle w:val="Normal"/>
        <w:spacing w:before="0" w:after="240"/>
        <w:ind w:start="2160" w:end="720"/>
        <w:jc w:val="both"/>
        <w:rPr/>
      </w:pPr>
      <w:r>
        <w:rPr/>
        <w:t>“</w:t>
      </w:r>
      <w:r>
        <w:rPr/>
        <w:t>It is clarified that the initial Canon which is so referred to in article 1.8 of the Concession Contract constitutes an investment that can be amortized during the concession period (article 7.8 correlative and concordant of the Concession Contract).”</w:t>
      </w:r>
    </w:p>
    <w:p>
      <w:pPr>
        <w:pStyle w:val="Normal"/>
        <w:spacing w:before="0" w:after="240"/>
        <w:ind w:hanging="720" w:start="2160" w:end="0"/>
        <w:jc w:val="both"/>
        <w:rPr/>
      </w:pPr>
      <w:r>
        <w:rPr/>
        <w:t>3.</w:t>
        <w:tab/>
        <w:t>In accordance with the principles established by Law 11.820 and Circular 52(A), the Concession Contract provides:</w:t>
      </w:r>
    </w:p>
    <w:p>
      <w:pPr>
        <w:pStyle w:val="Normal"/>
        <w:spacing w:before="0" w:after="240"/>
        <w:ind w:hanging="720" w:start="2880" w:end="720"/>
        <w:jc w:val="both"/>
        <w:rPr/>
      </w:pPr>
      <w:r>
        <w:rPr/>
        <w:t>(a)</w:t>
        <w:tab/>
        <w:t xml:space="preserve">Article 12.1.1 Amount of the Tariff </w:t>
      </w:r>
    </w:p>
    <w:p>
      <w:pPr>
        <w:pStyle w:val="Normal"/>
        <w:spacing w:before="0" w:after="240"/>
        <w:ind w:start="2880" w:end="720"/>
        <w:jc w:val="both"/>
        <w:rPr/>
      </w:pPr>
      <w:r>
        <w:rPr/>
        <w:t>“</w:t>
      </w:r>
      <w:r>
        <w:rPr/>
        <w:t xml:space="preserve">Determination of the amount of the tariff pursuant to Article 28 II of Law 11.820 shall be based on the general principle for determining tariff values including operational costs, maintenance costs and </w:t>
      </w:r>
      <w:r>
        <w:rPr>
          <w:b/>
        </w:rPr>
        <w:t>service amortization costs</w:t>
      </w:r>
      <w:r>
        <w:rPr/>
        <w:t xml:space="preserve"> and that permit reasonable profits for the Concessionaire due to investments made in the context of efficient operation and administration, and full compliance with the service quality and expansion goals involved.”</w:t>
      </w:r>
    </w:p>
    <w:p>
      <w:pPr>
        <w:pStyle w:val="Normal"/>
        <w:spacing w:before="0" w:after="240"/>
        <w:ind w:hanging="720" w:start="2880" w:end="720"/>
        <w:jc w:val="both"/>
        <w:rPr/>
      </w:pPr>
      <w:r>
        <w:rPr/>
        <w:t>(b)</w:t>
        <w:tab/>
        <w:t>Article 1.8 Concession Form</w:t>
      </w:r>
    </w:p>
    <w:p>
      <w:pPr>
        <w:pStyle w:val="Normal"/>
        <w:spacing w:before="0" w:after="240"/>
        <w:ind w:start="2880" w:end="720"/>
        <w:jc w:val="both"/>
        <w:rPr/>
      </w:pPr>
      <w:r>
        <w:rPr/>
        <w:t>“</w:t>
      </w:r>
      <w:r>
        <w:rPr/>
        <w:t>The Concession is granted in return for the Concessionaire’s payment of an initial Canon of US $438,555,554.   Said amount was paid by the Concessionaire to the Province at the date of execution of the Contract, and it is …the price for the Concession Area.”</w:t>
      </w:r>
    </w:p>
    <w:p>
      <w:pPr>
        <w:pStyle w:val="Normal"/>
        <w:spacing w:before="0" w:after="240"/>
        <w:ind w:hanging="720" w:start="2880" w:end="720"/>
        <w:jc w:val="both"/>
        <w:rPr/>
      </w:pPr>
      <w:r>
        <w:rPr/>
        <w:t>(c)</w:t>
        <w:tab/>
        <w:t>Article 7.8 Amortization</w:t>
      </w:r>
    </w:p>
    <w:p>
      <w:pPr>
        <w:pStyle w:val="Normal"/>
        <w:spacing w:before="0" w:after="240"/>
        <w:ind w:start="2880" w:end="720"/>
        <w:jc w:val="both"/>
        <w:rPr/>
      </w:pPr>
      <w:r>
        <w:rPr/>
        <w:t>“</w:t>
      </w:r>
      <w:r>
        <w:rPr/>
        <w:t xml:space="preserve">The Concessionaire’s proprietary </w:t>
      </w:r>
      <w:r>
        <w:rPr>
          <w:b/>
        </w:rPr>
        <w:t>Service Related Assets</w:t>
      </w:r>
      <w:r>
        <w:rPr/>
        <w:t xml:space="preserve">, acquired or constructed by it, as well as the improvements made, </w:t>
      </w:r>
      <w:r>
        <w:rPr>
          <w:b/>
        </w:rPr>
        <w:t>shall be</w:t>
      </w:r>
      <w:r>
        <w:rPr/>
        <w:t xml:space="preserve"> accounted for and </w:t>
      </w:r>
      <w:r>
        <w:rPr>
          <w:b/>
        </w:rPr>
        <w:t>fully amortized</w:t>
      </w:r>
      <w:r>
        <w:rPr/>
        <w:t xml:space="preserve"> during the term of the Concession …”</w:t>
      </w:r>
    </w:p>
    <w:p>
      <w:pPr>
        <w:pStyle w:val="Normal"/>
        <w:spacing w:before="0" w:after="240"/>
        <w:ind w:start="2880" w:end="720"/>
        <w:jc w:val="both"/>
        <w:rPr/>
      </w:pPr>
      <w:r>
        <w:rPr/>
        <w:t>“</w:t>
      </w:r>
      <w:r>
        <w:rPr>
          <w:b/>
        </w:rPr>
        <w:t>Investments</w:t>
      </w:r>
      <w:r>
        <w:rPr/>
        <w:t xml:space="preserve"> made by the Concessionaire</w:t>
      </w:r>
      <w:r>
        <w:rPr>
          <w:b/>
        </w:rPr>
        <w:t xml:space="preserve"> on the assets received from the Province upon the Taking of Possession shall be considered a cost of acquisition</w:t>
      </w:r>
      <w:r>
        <w:rPr/>
        <w:t xml:space="preserve"> and/or maintenance of the Concession, </w:t>
      </w:r>
      <w:r>
        <w:rPr>
          <w:b/>
        </w:rPr>
        <w:t xml:space="preserve">as established in Article 1.8,. </w:t>
      </w:r>
      <w:r>
        <w:rPr/>
        <w:t>and</w:t>
      </w:r>
      <w:r>
        <w:rPr>
          <w:b/>
        </w:rPr>
        <w:t xml:space="preserve"> shall be fully amortized </w:t>
      </w:r>
      <w:r>
        <w:rPr/>
        <w:t>during the term of the Concession.”</w:t>
      </w:r>
    </w:p>
    <w:p>
      <w:pPr>
        <w:pStyle w:val="Normal"/>
        <w:spacing w:before="0" w:after="240"/>
        <w:ind w:hanging="720" w:start="2160" w:end="0"/>
        <w:jc w:val="both"/>
        <w:rPr/>
      </w:pPr>
      <w:r>
        <w:rPr/>
        <w:t>4.</w:t>
        <w:tab/>
        <w:t xml:space="preserve">NERA Report - The Contract and Circular 52(A) are clear that the Concessionaire is entitled to have the Canon included in the tariffs and recovered, along with a reasonable rate of return, over the term of the Concession. </w:t>
      </w:r>
    </w:p>
    <w:p>
      <w:pPr>
        <w:pStyle w:val="Normal"/>
        <w:spacing w:before="0" w:after="240"/>
        <w:ind w:hanging="720" w:start="2160" w:end="0"/>
        <w:jc w:val="both"/>
        <w:rPr/>
      </w:pPr>
      <w:r>
        <w:rPr/>
        <w:t>5.</w:t>
        <w:tab/>
        <w:t>Azurix witness  (?) - Based on the negotiations (?), the Contract terms and Circular 52(A), Azurix reasonably believed and expected it would be entitled and allowed to recover the Canon, plus a reasonable rate of return, during the term of the Concession.</w:t>
      </w:r>
    </w:p>
    <w:p>
      <w:pPr>
        <w:pStyle w:val="Normal"/>
        <w:spacing w:before="0" w:after="240"/>
        <w:ind w:hanging="720" w:start="1440" w:end="0"/>
        <w:jc w:val="both"/>
        <w:rPr/>
      </w:pPr>
      <w:r>
        <w:rPr/>
        <w:t>C.</w:t>
        <w:tab/>
      </w:r>
      <w:r>
        <w:rPr>
          <w:u w:val="single"/>
        </w:rPr>
        <w:t>The Province failed to disclose in negotiations the material fact that it never intended to allow the Concessionaire to include the Canon in tariffs</w:t>
      </w:r>
    </w:p>
    <w:p>
      <w:pPr>
        <w:pStyle w:val="Normal"/>
        <w:spacing w:before="0" w:after="240"/>
        <w:ind w:hanging="720" w:start="2160" w:end="0"/>
        <w:jc w:val="both"/>
        <w:rPr/>
      </w:pPr>
      <w:r>
        <w:rPr/>
        <w:t>1.</w:t>
        <w:tab/>
        <w:t>Azurix witness (?) - The Province never disclosed to Azurix before the Contract was signed that the Province did not intend to allow the Concessionaire to include the Canon in the tariffs and recover it, along with a reasonable rate of return, over the term of the Concession.</w:t>
      </w:r>
    </w:p>
    <w:p>
      <w:pPr>
        <w:pStyle w:val="Normal"/>
        <w:spacing w:before="0" w:after="240"/>
        <w:ind w:hanging="720" w:start="2160" w:end="0"/>
        <w:jc w:val="both"/>
        <w:rPr/>
      </w:pPr>
      <w:r>
        <w:rPr/>
        <w:t>2.</w:t>
        <w:tab/>
        <w:t>Letter from Ministers Sicaro and Dominguez to ABA of September ___, 2001 - ABA paid too much; the Canon was not a reasonable investment that could be recovered in the tariffs</w:t>
      </w:r>
      <w:r>
        <w:rPr>
          <w:b/>
        </w:rPr>
        <w:t xml:space="preserve"> [quote the sentence]  [?]</w:t>
      </w:r>
    </w:p>
    <w:p>
      <w:pPr>
        <w:pStyle w:val="Normal"/>
        <w:spacing w:before="0" w:after="240"/>
        <w:ind w:hanging="720" w:start="2160" w:end="0"/>
        <w:jc w:val="both"/>
        <w:rPr/>
      </w:pPr>
      <w:r>
        <w:rPr/>
        <w:t>3.</w:t>
        <w:tab/>
        <w:t>Carlos Ruckhauf, Governor of the Province of Buenos Aires</w:t>
      </w:r>
    </w:p>
    <w:p>
      <w:pPr>
        <w:pStyle w:val="Normal"/>
        <w:spacing w:before="0" w:after="240"/>
        <w:ind w:hanging="720" w:start="2880" w:end="0"/>
        <w:jc w:val="both"/>
        <w:rPr/>
      </w:pPr>
      <w:r>
        <w:rPr/>
        <w:t>(a)</w:t>
        <w:tab/>
        <w:t xml:space="preserve">“I will not authorize a tariff increase… If the company made a miscalculation and invested too much money, it cannot charge the people for it.”  </w:t>
      </w:r>
      <w:r>
        <w:rPr>
          <w:b/>
        </w:rPr>
        <w:t>[La Nacion January 16, 2001]</w:t>
      </w:r>
    </w:p>
    <w:p>
      <w:pPr>
        <w:pStyle w:val="Normal"/>
        <w:spacing w:before="0" w:after="240"/>
        <w:ind w:hanging="720" w:start="2160" w:end="0"/>
        <w:jc w:val="both"/>
        <w:rPr/>
      </w:pPr>
      <w:r>
        <w:rPr/>
        <w:t>4.</w:t>
        <w:tab/>
        <w:t>Julian Dominguez, Minister of Public Works and Services of the Province of Buenos Aires</w:t>
      </w:r>
    </w:p>
    <w:p>
      <w:pPr>
        <w:pStyle w:val="Normal"/>
        <w:spacing w:before="0" w:after="240"/>
        <w:ind w:hanging="720" w:start="2880" w:end="0"/>
        <w:jc w:val="both"/>
        <w:rPr/>
      </w:pPr>
      <w:r>
        <w:rPr/>
        <w:t>(a)</w:t>
        <w:tab/>
        <w:t xml:space="preserve">“Although Azurix has not yet used this argument, the Executive Authority will not allow any tariff increases as a counterpart of investment obligations by the Company.” </w:t>
      </w:r>
      <w:r>
        <w:rPr>
          <w:b/>
        </w:rPr>
        <w:t>[Report to the House of Representatives May 18, 2000]</w:t>
      </w:r>
    </w:p>
    <w:p>
      <w:pPr>
        <w:pStyle w:val="Normal"/>
        <w:spacing w:before="0" w:after="240"/>
        <w:ind w:hanging="720" w:start="2160" w:end="0"/>
        <w:jc w:val="both"/>
        <w:rPr/>
      </w:pPr>
      <w:r>
        <w:rPr/>
        <w:t>5.</w:t>
        <w:tab/>
        <w:t xml:space="preserve">Blake Franklin - in discussions with the Province in 2001 to resolve the problems with the Concession, Provincial officials </w:t>
      </w:r>
      <w:r>
        <w:rPr>
          <w:b/>
        </w:rPr>
        <w:t>[who? when?]</w:t>
      </w:r>
      <w:r>
        <w:rPr/>
        <w:t xml:space="preserve"> said they would have ORAB (after the October 2001 elections) authorize the revenue increases requested by the Concessionaire, but only if the Concessionaire would relinquish its right/claim to recover the Canon through tariff increases during the term of the Concession.  The officials implied that they knew the Concessionaire had a right under Law 11.820, the Contract and Circular 52(A) to recover the Canon.  The Concessionaire was not willing to waive this important right, and ORAB never authorized revenue increases before the termination of the Concession. </w:t>
      </w:r>
    </w:p>
    <w:p>
      <w:pPr>
        <w:pStyle w:val="Normal"/>
        <w:spacing w:before="0" w:after="240"/>
        <w:ind w:hanging="720" w:start="2160" w:end="0"/>
        <w:jc w:val="both"/>
        <w:rPr/>
      </w:pPr>
      <w:r>
        <w:rPr/>
        <w:t>6.</w:t>
        <w:tab/>
        <w:t>John Garrison - same</w:t>
      </w:r>
    </w:p>
    <w:p>
      <w:pPr>
        <w:pStyle w:val="Normal"/>
        <w:spacing w:before="0" w:after="240"/>
        <w:ind w:hanging="720" w:start="2160" w:end="0"/>
        <w:jc w:val="both"/>
        <w:rPr/>
      </w:pPr>
      <w:r>
        <w:rPr/>
        <w:t>7.</w:t>
        <w:tab/>
        <w:t>Juan Lutteral - same</w:t>
      </w:r>
    </w:p>
    <w:p>
      <w:pPr>
        <w:pStyle w:val="Normal"/>
        <w:spacing w:before="0" w:after="240"/>
        <w:ind w:hanging="720" w:start="2160" w:end="0"/>
        <w:jc w:val="both"/>
        <w:rPr/>
      </w:pPr>
      <w:r>
        <w:rPr/>
        <w:t>8.</w:t>
        <w:tab/>
        <w:t>John Ale - same</w:t>
      </w:r>
    </w:p>
    <w:p>
      <w:pPr>
        <w:pStyle w:val="Normal"/>
        <w:spacing w:before="0" w:after="240"/>
        <w:ind w:hanging="720" w:start="720" w:end="0"/>
        <w:jc w:val="both"/>
        <w:rPr/>
      </w:pPr>
      <w:r>
        <w:rPr/>
        <w:t>III.</w:t>
        <w:tab/>
      </w:r>
      <w:r>
        <w:rPr>
          <w:u w:val="single"/>
        </w:rPr>
        <w:t>The Regulator was poorly designed, was politicized and was given too much discretion</w:t>
      </w:r>
    </w:p>
    <w:p>
      <w:pPr>
        <w:pStyle w:val="Normal"/>
        <w:spacing w:before="0" w:after="240"/>
        <w:ind w:hanging="720" w:start="2160" w:end="0"/>
        <w:jc w:val="both"/>
        <w:rPr/>
      </w:pPr>
      <w:r>
        <w:rPr/>
        <w:t>1.</w:t>
        <w:tab/>
        <w:t>The politicization of water regulators in Argentina</w:t>
      </w:r>
    </w:p>
    <w:p>
      <w:pPr>
        <w:pStyle w:val="Normal"/>
        <w:spacing w:before="0" w:after="240"/>
        <w:ind w:hanging="720" w:start="2880" w:end="720"/>
        <w:jc w:val="both"/>
        <w:rPr/>
      </w:pPr>
      <w:r>
        <w:rPr/>
        <w:t>(a)</w:t>
        <w:tab/>
        <w:t xml:space="preserve">“The regulator has a counter-monopoly to the water companies.  Therefore the regulator may be tempted to abuse its power … Under political pressure, the regulator may therefore be tempted to exploit the private investor by not granting prices that are sufficient to cover the costs of investment … To guard against such behavior the powers of the regulator should be carefully circumscribed.  The office of the regulator should be set up so as to resist improper influence by the different interest groups (companies, consumers, government).”  </w:t>
      </w:r>
      <w:r>
        <w:rPr>
          <w:b/>
        </w:rPr>
        <w:t>[Economic Regulation of Water Companies (IADB 19___)]</w:t>
      </w:r>
    </w:p>
    <w:p>
      <w:pPr>
        <w:pStyle w:val="Normal"/>
        <w:spacing w:before="0" w:after="240"/>
        <w:ind w:hanging="720" w:start="2880" w:end="0"/>
        <w:jc w:val="both"/>
        <w:rPr/>
      </w:pPr>
      <w:r>
        <w:rPr/>
        <w:t>(b)</w:t>
        <w:tab/>
        <w:t>Speaking of the Corrientes and federal City of Buenos Aires water concessions, FIEL has said:</w:t>
      </w:r>
    </w:p>
    <w:p>
      <w:pPr>
        <w:pStyle w:val="Normal"/>
        <w:numPr>
          <w:ilvl w:val="0"/>
          <w:numId w:val="5"/>
        </w:numPr>
        <w:tabs>
          <w:tab w:val="clear" w:pos="720"/>
        </w:tabs>
        <w:spacing w:before="0" w:after="240"/>
        <w:ind w:hanging="720" w:start="3600" w:end="720"/>
        <w:jc w:val="both"/>
        <w:rPr/>
      </w:pPr>
      <w:r>
        <w:rPr/>
        <w:t>“</w:t>
      </w:r>
      <w:r>
        <w:rPr/>
        <w:t>Both regulatory designs are flawed.”</w:t>
      </w:r>
    </w:p>
    <w:p>
      <w:pPr>
        <w:pStyle w:val="Normal"/>
        <w:numPr>
          <w:ilvl w:val="0"/>
          <w:numId w:val="5"/>
        </w:numPr>
        <w:tabs>
          <w:tab w:val="clear" w:pos="720"/>
        </w:tabs>
        <w:spacing w:before="0" w:after="240"/>
        <w:ind w:hanging="720" w:start="3600" w:end="720"/>
        <w:jc w:val="both"/>
        <w:rPr/>
      </w:pPr>
      <w:r>
        <w:rPr/>
        <w:t>“</w:t>
      </w:r>
      <w:r>
        <w:rPr/>
        <w:t>With regard to the institutional design of the regulatory body, which is fundamental in determining the regulated companies’ incentives to invest in sunk assets, the [federal] Buenos Aires concession is better than that of Corrientes.  As an independent body, it is less subject to the meddling of those currently in political office and has a more specific and regulated mandate.  In Corrientes, the regulatory body is under the direct control of provincial politicians in power, and there are few restrictions on interpretations and regulations.”</w:t>
      </w:r>
      <w:r>
        <w:rPr>
          <w:b/>
        </w:rPr>
        <w:t xml:space="preserve">  [Daniel Artana, Fernando Navajas and Santiago Urbiztondo, </w:t>
      </w:r>
      <w:r>
        <w:rPr>
          <w:b/>
          <w:u w:val="single"/>
        </w:rPr>
        <w:t>Governance and Regulation:  A Tale of Two Concessions in Argentina</w:t>
      </w:r>
      <w:r>
        <w:rPr>
          <w:b/>
        </w:rPr>
        <w:t xml:space="preserve"> in Spilled Water: Institutional Commitment in the Provision of Water Services at 198 (IADB 1999, edited by William D. Savedoff and Pablo T. Spiller)]</w:t>
      </w:r>
    </w:p>
    <w:p>
      <w:pPr>
        <w:pStyle w:val="Normal"/>
        <w:numPr>
          <w:ilvl w:val="0"/>
          <w:numId w:val="5"/>
        </w:numPr>
        <w:tabs>
          <w:tab w:val="clear" w:pos="720"/>
        </w:tabs>
        <w:spacing w:before="0" w:after="240"/>
        <w:ind w:hanging="720" w:start="3600" w:end="720"/>
        <w:jc w:val="both"/>
        <w:rPr/>
      </w:pPr>
      <w:r>
        <w:rPr/>
        <w:t>“</w:t>
      </w:r>
      <w:r>
        <w:rPr/>
        <w:t xml:space="preserve">At both the federal (Buenos Aires) and provincial levels (Corrientes), the shortcomings of the courts highlight the importance of defining the regulatory body’s discretionary power,  especially in the case of Corrientes, where judicial power in the province is even more dependent on the executive branch than its federal counterpart.” </w:t>
      </w:r>
      <w:r>
        <w:rPr>
          <w:b/>
        </w:rPr>
        <w:t>[</w:t>
      </w:r>
      <w:r>
        <w:rPr>
          <w:b/>
          <w:i/>
        </w:rPr>
        <w:t>Id.</w:t>
      </w:r>
      <w:r>
        <w:rPr>
          <w:b/>
        </w:rPr>
        <w:t xml:space="preserve"> at 199]</w:t>
      </w:r>
    </w:p>
    <w:p>
      <w:pPr>
        <w:pStyle w:val="Normal"/>
        <w:numPr>
          <w:ilvl w:val="0"/>
          <w:numId w:val="5"/>
        </w:numPr>
        <w:tabs>
          <w:tab w:val="clear" w:pos="720"/>
          <w:tab w:val="left" w:pos="2520" w:leader="none"/>
        </w:tabs>
        <w:spacing w:before="0" w:after="240"/>
        <w:ind w:hanging="720" w:start="3600" w:end="720"/>
        <w:jc w:val="both"/>
        <w:rPr/>
      </w:pPr>
      <w:r>
        <w:rPr/>
        <w:t>“</w:t>
      </w:r>
      <w:r>
        <w:rPr/>
        <w:t xml:space="preserve">It appears that regulatory and judicial independence are more important than rate structure, since the behavior of the Concessionaire in Corrientes has been adversely affected by political changes that encouraged more opportunistic behavior on the part of the regulatory body.” </w:t>
      </w:r>
      <w:r>
        <w:rPr>
          <w:b/>
        </w:rPr>
        <w:t>[</w:t>
      </w:r>
      <w:r>
        <w:rPr>
          <w:b/>
          <w:i/>
        </w:rPr>
        <w:t>Id.</w:t>
      </w:r>
      <w:r>
        <w:rPr>
          <w:b/>
        </w:rPr>
        <w:t>]</w:t>
      </w:r>
    </w:p>
    <w:p>
      <w:pPr>
        <w:pStyle w:val="Normal"/>
        <w:numPr>
          <w:ilvl w:val="0"/>
          <w:numId w:val="5"/>
        </w:numPr>
        <w:tabs>
          <w:tab w:val="clear" w:pos="720"/>
          <w:tab w:val="left" w:pos="2520" w:leader="none"/>
        </w:tabs>
        <w:spacing w:before="0" w:after="240"/>
        <w:ind w:hanging="720" w:start="3600" w:end="720"/>
        <w:jc w:val="both"/>
        <w:rPr/>
      </w:pPr>
      <w:r>
        <w:rPr/>
        <w:t>“</w:t>
      </w:r>
      <w:r>
        <w:rPr/>
        <w:t xml:space="preserve">Country risk and, in the case of Corrientes, risks associated with the provincial government, along with dependence of the judiciary on the federal or provincial executive branch posed a challenge in developing a reasonable framework that would encourage investment in the industry.  This highlights the advantage of specifying the discretionary power of the regulatory body as much as possible and employing a system that limits the use of the judiciary.” </w:t>
      </w:r>
      <w:r>
        <w:rPr>
          <w:b/>
        </w:rPr>
        <w:t>[</w:t>
      </w:r>
      <w:r>
        <w:rPr>
          <w:b/>
          <w:i/>
        </w:rPr>
        <w:t>Id.</w:t>
      </w:r>
      <w:r>
        <w:rPr>
          <w:b/>
        </w:rPr>
        <w:t xml:space="preserve"> at 204]</w:t>
      </w:r>
    </w:p>
    <w:p>
      <w:pPr>
        <w:pStyle w:val="Normal"/>
        <w:spacing w:before="0" w:after="240"/>
        <w:ind w:hanging="720" w:start="2880" w:end="720"/>
        <w:jc w:val="both"/>
        <w:rPr/>
      </w:pPr>
      <w:r>
        <w:rPr/>
        <w:t>(c)</w:t>
        <w:tab/>
        <w:t>Addressing the federal City of Buenos Aires water concession, a report sponsored by the World Bank says:</w:t>
      </w:r>
    </w:p>
    <w:p>
      <w:pPr>
        <w:pStyle w:val="Normal"/>
        <w:numPr>
          <w:ilvl w:val="0"/>
          <w:numId w:val="3"/>
        </w:numPr>
        <w:tabs>
          <w:tab w:val="clear" w:pos="720"/>
        </w:tabs>
        <w:spacing w:before="0" w:after="240"/>
        <w:ind w:hanging="720" w:start="3600" w:end="720"/>
        <w:jc w:val="both"/>
        <w:rPr/>
      </w:pPr>
      <w:r>
        <w:rPr/>
        <w:t>“</w:t>
      </w:r>
      <w:r>
        <w:rPr/>
        <w:t xml:space="preserve">The sustainability of the concession was and is less secure… the weakness of the regulatory framework has put sustainability in doubt.  ETOSS [the regulator] is vulnerable to politically motivated interventions in its decisions, as evidenced by the 1998 price decision, and can be paralyzed by partisan disputes in its board, as during the renegotiations of the contract.  It suffers from serious information asymmetries created by poor historical data and the newness and weakness of its staff.”  [Lorena Alcázar, Manuel A. Abdala and Mary M. Shirley, </w:t>
      </w:r>
      <w:r>
        <w:rPr>
          <w:i/>
        </w:rPr>
        <w:t>The Buenos Aires Water Concession</w:t>
      </w:r>
      <w:r>
        <w:rPr/>
        <w:t xml:space="preserve"> at 55, published on the World Bank webpage]</w:t>
      </w:r>
    </w:p>
    <w:p>
      <w:pPr>
        <w:pStyle w:val="Normal"/>
        <w:numPr>
          <w:ilvl w:val="0"/>
          <w:numId w:val="3"/>
        </w:numPr>
        <w:tabs>
          <w:tab w:val="clear" w:pos="720"/>
        </w:tabs>
        <w:spacing w:before="0" w:after="240"/>
        <w:ind w:hanging="720" w:start="3600" w:end="720"/>
        <w:jc w:val="both"/>
        <w:rPr/>
      </w:pPr>
      <w:r>
        <w:rPr/>
        <w:t>“</w:t>
      </w:r>
      <w:r>
        <w:rPr/>
        <w:t>ETOSS’ weakness feeds consumer doubts that their interests are not being protected, and that in turn increases political pressures to renege on agreed price increases… The poor information base, lack of transparency in regulatory decisions and ad hoc nature of executive branch interventions make it harder to reassure consumers that their welfare is being protected.” [</w:t>
      </w:r>
      <w:r>
        <w:rPr>
          <w:i/>
        </w:rPr>
        <w:t>Id.</w:t>
      </w:r>
      <w:r>
        <w:rPr/>
        <w:t>]</w:t>
      </w:r>
    </w:p>
    <w:p>
      <w:pPr>
        <w:pStyle w:val="Normal"/>
        <w:numPr>
          <w:ilvl w:val="0"/>
          <w:numId w:val="3"/>
        </w:numPr>
        <w:tabs>
          <w:tab w:val="clear" w:pos="720"/>
        </w:tabs>
        <w:spacing w:before="0" w:after="240"/>
        <w:ind w:hanging="720" w:start="3600" w:end="720"/>
        <w:jc w:val="both"/>
        <w:rPr/>
      </w:pPr>
      <w:r>
        <w:rPr/>
        <w:t>“</w:t>
      </w:r>
      <w:r>
        <w:rPr/>
        <w:t>There are several lessons from the Aguas Argentinas’ concession.   First…contracts that shift all information risk to bidders may not be credible.</w:t>
      </w:r>
    </w:p>
    <w:p>
      <w:pPr>
        <w:pStyle w:val="Normal"/>
        <w:spacing w:before="0" w:after="240"/>
        <w:ind w:hanging="720" w:start="3600" w:end="720"/>
        <w:jc w:val="both"/>
        <w:rPr/>
      </w:pPr>
      <w:r>
        <w:rPr/>
        <w:tab/>
        <w:tab/>
        <w:t>Second, safeguards are needed to reduce the risk of regulatory capture by the company or politicians.  One such safeguard is to reduce regulatory discretion by enshrining in law less ad hoc procedures for setting tariffs … detailing tariff regulations in the law would likely enhance regulatory stability, as it has in Chile.</w:t>
      </w:r>
    </w:p>
    <w:p>
      <w:pPr>
        <w:pStyle w:val="Normal"/>
        <w:spacing w:before="0" w:after="240"/>
        <w:ind w:hanging="720" w:start="3600" w:end="720"/>
        <w:jc w:val="both"/>
        <w:rPr/>
      </w:pPr>
      <w:r>
        <w:rPr/>
        <w:tab/>
        <w:tab/>
        <w:tab/>
        <w:tab/>
        <w:t>. . .</w:t>
      </w:r>
    </w:p>
    <w:p>
      <w:pPr>
        <w:pStyle w:val="Normal"/>
        <w:spacing w:before="0" w:after="240"/>
        <w:ind w:hanging="720" w:start="3600" w:end="720"/>
        <w:jc w:val="both"/>
        <w:rPr/>
      </w:pPr>
      <w:r>
        <w:rPr/>
        <w:tab/>
        <w:tab/>
        <w:t>Transparent, rule-based decision making such as that used in Santiago, for example, is important to maintaining public confidence in regulated industries.  Ad hoc intervention by the federal executive in regulatory decisions is inconsistent with rule based regulation ...</w:t>
      </w:r>
    </w:p>
    <w:p>
      <w:pPr>
        <w:pStyle w:val="Normal"/>
        <w:spacing w:before="0" w:after="240"/>
        <w:ind w:hanging="720" w:start="3600" w:end="720"/>
        <w:jc w:val="both"/>
        <w:rPr/>
      </w:pPr>
      <w:r>
        <w:rPr/>
        <w:tab/>
        <w:tab/>
        <w:t>Another safeguard against political intervention is to avoid a politicized board; ETOSS board currently pits partisan interests against one another, and allows short term, sectarian interests to control decision making.”    [</w:t>
      </w:r>
      <w:r>
        <w:rPr>
          <w:i/>
        </w:rPr>
        <w:t>Id.</w:t>
      </w:r>
      <w:r>
        <w:rPr/>
        <w:t xml:space="preserve"> at 56-57]</w:t>
      </w:r>
    </w:p>
    <w:p>
      <w:pPr>
        <w:pStyle w:val="Normal"/>
        <w:spacing w:before="0" w:after="240"/>
        <w:ind w:hanging="720" w:start="2160" w:end="720"/>
        <w:jc w:val="both"/>
        <w:rPr/>
      </w:pPr>
      <w:r>
        <w:rPr/>
        <w:t>2.</w:t>
        <w:tab/>
        <w:t>ORAB was highly politicized and given too much discretion</w:t>
      </w:r>
    </w:p>
    <w:p>
      <w:pPr>
        <w:pStyle w:val="Normal"/>
        <w:numPr>
          <w:ilvl w:val="0"/>
          <w:numId w:val="5"/>
        </w:numPr>
        <w:tabs>
          <w:tab w:val="clear" w:pos="720"/>
          <w:tab w:val="left" w:pos="2520" w:leader="none"/>
        </w:tabs>
        <w:spacing w:before="0" w:after="240"/>
        <w:ind w:hanging="360" w:start="2520" w:end="720"/>
        <w:jc w:val="both"/>
        <w:rPr/>
      </w:pPr>
      <w:r>
        <w:rPr/>
        <w:t>“</w:t>
      </w:r>
      <w:r>
        <w:rPr/>
        <w:t xml:space="preserve">We are conscious that we have forced ORAB to make decisions for political reasons, resulting in the violation of the Concession Contract by going beyond the </w:t>
      </w:r>
      <w:r>
        <w:rPr>
          <w:i/>
        </w:rPr>
        <w:t>espiritu de la letra</w:t>
      </w:r>
      <w:r>
        <w:rPr/>
        <w:t xml:space="preserve">.” </w:t>
      </w:r>
      <w:r>
        <w:rPr>
          <w:b/>
        </w:rPr>
        <w:t>[Julian Dominguez, Minister of Public Works and Services, Province of Buenos Aires, Report to the House of Representatives May 18, 2000]</w:t>
      </w:r>
    </w:p>
    <w:p>
      <w:pPr>
        <w:pStyle w:val="Normal"/>
        <w:numPr>
          <w:ilvl w:val="0"/>
          <w:numId w:val="5"/>
        </w:numPr>
        <w:tabs>
          <w:tab w:val="clear" w:pos="720"/>
          <w:tab w:val="left" w:pos="2520" w:leader="none"/>
        </w:tabs>
        <w:spacing w:before="0" w:after="240"/>
        <w:ind w:hanging="360" w:start="2520" w:end="720"/>
        <w:jc w:val="both"/>
        <w:rPr/>
      </w:pPr>
      <w:r>
        <w:rPr/>
        <w:t>“</w:t>
      </w:r>
      <w:r>
        <w:rPr/>
        <w:t xml:space="preserve">The government superseded the Concession Contract with a political decision.”  </w:t>
      </w:r>
      <w:r>
        <w:rPr>
          <w:b/>
        </w:rPr>
        <w:t>[Julian Dominguez, La Voz, Zapate May 19, 2000]</w:t>
      </w:r>
    </w:p>
    <w:p>
      <w:pPr>
        <w:pStyle w:val="Normal"/>
        <w:numPr>
          <w:ilvl w:val="0"/>
          <w:numId w:val="5"/>
        </w:numPr>
        <w:tabs>
          <w:tab w:val="clear" w:pos="720"/>
          <w:tab w:val="left" w:pos="2520" w:leader="none"/>
        </w:tabs>
        <w:spacing w:before="0" w:after="240"/>
        <w:ind w:hanging="360" w:start="2520" w:end="720"/>
        <w:jc w:val="both"/>
        <w:rPr/>
      </w:pPr>
      <w:r>
        <w:rPr/>
        <w:t>“</w:t>
      </w:r>
      <w:r>
        <w:rPr/>
        <w:t xml:space="preserve">The ORAB is meant to be a mere appendix of the provincial executive power.”  </w:t>
      </w:r>
      <w:r>
        <w:rPr>
          <w:b/>
        </w:rPr>
        <w:t>[Juan Pedro Tunessi, Delegate to the House of Representatives of the Province of Buenos Aires, Report to the Commissioners of the House of Representatives May 11, 2000]</w:t>
      </w:r>
    </w:p>
    <w:p>
      <w:pPr>
        <w:pStyle w:val="Normal"/>
        <w:numPr>
          <w:ilvl w:val="0"/>
          <w:numId w:val="5"/>
        </w:numPr>
        <w:tabs>
          <w:tab w:val="clear" w:pos="720"/>
          <w:tab w:val="left" w:pos="2520" w:leader="none"/>
        </w:tabs>
        <w:spacing w:before="0" w:after="240"/>
        <w:ind w:hanging="360" w:start="2520" w:end="720"/>
        <w:jc w:val="both"/>
        <w:rPr/>
      </w:pPr>
      <w:r>
        <w:rPr/>
        <w:t>“</w:t>
      </w:r>
      <w:r>
        <w:rPr/>
        <w:t xml:space="preserve">ORAB was probably born with deficiencies.  Ideally, it should be independent enough to impose decisions on the State.”  </w:t>
      </w:r>
      <w:r>
        <w:rPr>
          <w:b/>
        </w:rPr>
        <w:t>[Juan Pedro Tunessi, Report to the House of Representatives May 18, 2000]</w:t>
      </w:r>
    </w:p>
    <w:p>
      <w:pPr>
        <w:pStyle w:val="Normal"/>
        <w:numPr>
          <w:ilvl w:val="0"/>
          <w:numId w:val="5"/>
        </w:numPr>
        <w:tabs>
          <w:tab w:val="clear" w:pos="720"/>
          <w:tab w:val="left" w:pos="2520" w:leader="none"/>
        </w:tabs>
        <w:spacing w:before="0" w:after="240"/>
        <w:ind w:hanging="360" w:start="2520" w:end="720"/>
        <w:jc w:val="both"/>
        <w:rPr>
          <w:b/>
        </w:rPr>
      </w:pPr>
      <w:r>
        <w:rPr/>
        <w:t>“</w:t>
      </w:r>
      <w:r>
        <w:rPr/>
        <w:t xml:space="preserve">We ordered the ORAB to apply the highest sanction to Azurix.”  </w:t>
      </w:r>
      <w:r>
        <w:rPr>
          <w:b/>
        </w:rPr>
        <w:t>[Julian Dominguez and Eduardo Sicaro, La Nueva Provincia April 23, 2000]</w:t>
      </w:r>
    </w:p>
    <w:p>
      <w:pPr>
        <w:pStyle w:val="Normal"/>
        <w:numPr>
          <w:ilvl w:val="0"/>
          <w:numId w:val="5"/>
        </w:numPr>
        <w:tabs>
          <w:tab w:val="clear" w:pos="720"/>
          <w:tab w:val="left" w:pos="2520" w:leader="none"/>
        </w:tabs>
        <w:spacing w:before="0" w:after="240"/>
        <w:ind w:hanging="360" w:start="2520" w:end="720"/>
        <w:jc w:val="both"/>
        <w:rPr/>
      </w:pPr>
      <w:r>
        <w:rPr/>
        <w:t>“</w:t>
      </w:r>
      <w:r>
        <w:rPr/>
        <w:t xml:space="preserve">I am studying the possibility of removing the ORAB officials because of their decision to allow Azurix to receive payments when the service is not in good condition.”  </w:t>
      </w:r>
      <w:r>
        <w:rPr>
          <w:b/>
        </w:rPr>
        <w:t>[Carlos Ruckhauf, Governor of the Province of Buenos Aires, Diario El Pasillo, Noticias, Pehuajo, May 15, 2000]</w:t>
      </w:r>
    </w:p>
    <w:p>
      <w:pPr>
        <w:pStyle w:val="Normal"/>
        <w:numPr>
          <w:ilvl w:val="0"/>
          <w:numId w:val="5"/>
        </w:numPr>
        <w:tabs>
          <w:tab w:val="clear" w:pos="720"/>
          <w:tab w:val="left" w:pos="2520" w:leader="none"/>
        </w:tabs>
        <w:spacing w:before="0" w:after="240"/>
        <w:ind w:hanging="360" w:start="2520" w:end="720"/>
        <w:jc w:val="both"/>
        <w:rPr/>
      </w:pPr>
      <w:r>
        <w:rPr/>
        <w:t>Blake Franklin - told by ________ that ORAB’s decisions were being made by the Ministry of Public Works and Services and were being dictated to ORAB.</w:t>
      </w:r>
    </w:p>
    <w:p>
      <w:pPr>
        <w:pStyle w:val="Normal"/>
        <w:numPr>
          <w:ilvl w:val="0"/>
          <w:numId w:val="5"/>
        </w:numPr>
        <w:tabs>
          <w:tab w:val="clear" w:pos="720"/>
          <w:tab w:val="left" w:pos="2520" w:leader="none"/>
        </w:tabs>
        <w:spacing w:before="0" w:after="240"/>
        <w:ind w:hanging="360" w:start="2520" w:end="720"/>
        <w:jc w:val="both"/>
        <w:rPr/>
      </w:pPr>
      <w:r>
        <w:rPr/>
        <w:t xml:space="preserve">NERA Report - The Buenos Aires’ Province’s concession was more like that of Corrientes - ORAB was not independent of the Executive Authority of the Province, was highly politicized, and had wide discretion in its decision-making. </w:t>
      </w:r>
    </w:p>
    <w:p>
      <w:pPr>
        <w:pStyle w:val="Normal"/>
        <w:spacing w:before="0" w:after="240"/>
        <w:ind w:hanging="720" w:start="720" w:end="0"/>
        <w:jc w:val="both"/>
        <w:rPr/>
      </w:pPr>
      <w:r>
        <w:rPr/>
        <w:t>IV.</w:t>
        <w:tab/>
      </w:r>
      <w:r>
        <w:rPr>
          <w:u w:val="single"/>
        </w:rPr>
        <w:t>Bahia Blanca “Crisis”</w:t>
      </w:r>
    </w:p>
    <w:p>
      <w:pPr>
        <w:pStyle w:val="Normal"/>
        <w:spacing w:before="0" w:after="240"/>
        <w:ind w:hanging="720" w:start="1440" w:end="720"/>
        <w:jc w:val="both"/>
        <w:rPr/>
      </w:pPr>
      <w:r>
        <w:rPr/>
        <w:t>1.</w:t>
        <w:tab/>
      </w:r>
      <w:r>
        <w:rPr>
          <w:u w:val="single"/>
        </w:rPr>
        <w:t>The “Crisis” was the fault of the Province</w:t>
      </w:r>
    </w:p>
    <w:p>
      <w:pPr>
        <w:pStyle w:val="Normal"/>
        <w:spacing w:before="0" w:after="240"/>
        <w:ind w:hanging="720" w:start="2160" w:end="720"/>
        <w:jc w:val="both"/>
        <w:rPr/>
      </w:pPr>
      <w:r>
        <w:rPr/>
        <w:t>(a)</w:t>
        <w:tab/>
        <w:t xml:space="preserve">“One must not forget the very bad state in which the installations infrastructure were transferred to Azurix by OSBA.  Some technicians even say this state involves hidden defects and it is obvious that 99% of the problems that the users have suffered did not start in July 1999.  The Province has recognized that it breached its responsibility to construct the works.”  </w:t>
      </w:r>
      <w:r>
        <w:rPr>
          <w:b/>
        </w:rPr>
        <w:t>[Carlos Capdevilla, Hechos y Personajes - City Bell and other provincial newspapers February 2, 2001]</w:t>
      </w:r>
    </w:p>
    <w:p>
      <w:pPr>
        <w:pStyle w:val="Normal"/>
        <w:spacing w:before="0" w:after="240"/>
        <w:ind w:hanging="720" w:start="2160" w:end="720"/>
        <w:jc w:val="both"/>
        <w:rPr/>
      </w:pPr>
      <w:r>
        <w:rPr/>
        <w:t>(b)</w:t>
        <w:tab/>
        <w:t xml:space="preserve">“The problems that are occurring today are a consequence of the lack of investment for many years.”  </w:t>
      </w:r>
      <w:r>
        <w:rPr>
          <w:b/>
        </w:rPr>
        <w:t>[Jaime Linares, Mayor of Bahia Blanca, La Nueva Provincia, Locales, Bahia Blanca April 20, 2000]</w:t>
      </w:r>
    </w:p>
    <w:p>
      <w:pPr>
        <w:pStyle w:val="Normal"/>
        <w:spacing w:before="0" w:after="240"/>
        <w:ind w:hanging="720" w:start="2160" w:end="720"/>
        <w:jc w:val="both"/>
        <w:rPr/>
      </w:pPr>
      <w:r>
        <w:rPr/>
        <w:t>(c)</w:t>
        <w:tab/>
        <w:t xml:space="preserve">“I recognize that the crisis in Bahia Blanca has old causes, and the investments to solve the present crisis must be guaranteed.” </w:t>
      </w:r>
      <w:r>
        <w:rPr>
          <w:b/>
        </w:rPr>
        <w:t>[Julian Dominguez, Report to the House of Representatives  May 18, 2000]</w:t>
      </w:r>
    </w:p>
    <w:p>
      <w:pPr>
        <w:pStyle w:val="Normal"/>
        <w:spacing w:before="0" w:after="240"/>
        <w:ind w:hanging="720" w:start="2160" w:end="720"/>
        <w:jc w:val="both"/>
        <w:rPr/>
      </w:pPr>
      <w:r>
        <w:rPr/>
        <w:t>(d)</w:t>
        <w:tab/>
        <w:t xml:space="preserve">“He claims the works at Dique de Las Piedras are almost finished.” </w:t>
      </w:r>
      <w:r>
        <w:rPr>
          <w:b/>
        </w:rPr>
        <w:t>[Julian Dominguez, Report to the House of Representatives May 18, 2000]</w:t>
      </w:r>
    </w:p>
    <w:p>
      <w:pPr>
        <w:pStyle w:val="Normal"/>
        <w:spacing w:before="0" w:after="240"/>
        <w:ind w:hanging="720" w:start="2160" w:end="720"/>
        <w:jc w:val="both"/>
        <w:rPr/>
      </w:pPr>
      <w:r>
        <w:rPr/>
        <w:t>(e)</w:t>
        <w:tab/>
        <w:t xml:space="preserve">“Part of the responsibility for the Province not being able to construct the works should be assigned to Congress, which has to approve the annual budget.”  </w:t>
      </w:r>
      <w:r>
        <w:rPr>
          <w:b/>
        </w:rPr>
        <w:t>[Julian Dominguez, Report to the House of Representatives May 18, 2000]</w:t>
      </w:r>
    </w:p>
    <w:p>
      <w:pPr>
        <w:pStyle w:val="Normal"/>
        <w:spacing w:before="0" w:after="240"/>
        <w:ind w:hanging="720" w:start="2160" w:end="720"/>
        <w:jc w:val="both"/>
        <w:rPr/>
      </w:pPr>
      <w:r>
        <w:rPr/>
        <w:t>(f)</w:t>
        <w:tab/>
        <w:t xml:space="preserve">“The Province got $438 million and had its budget approved for the works relating to the Concession, which have not been constructed.  It is clear that the Province must control the Concessionaire, but who controls the Province?  If the Province had complied, the problem would have surely been minor.” </w:t>
      </w:r>
      <w:r>
        <w:rPr>
          <w:b/>
        </w:rPr>
        <w:t>[Elizabeth Moyano, Report to the House of Representatives May 18, 2000]</w:t>
      </w:r>
    </w:p>
    <w:p>
      <w:pPr>
        <w:pStyle w:val="Normal"/>
        <w:spacing w:before="0" w:after="240"/>
        <w:ind w:hanging="720" w:start="2160" w:end="720"/>
        <w:jc w:val="both"/>
        <w:rPr/>
      </w:pPr>
      <w:r>
        <w:rPr/>
        <w:t>(g)</w:t>
        <w:tab/>
        <w:t>She declares the province is co-responsible [for the Bahia Blanca crisis].</w:t>
      </w:r>
      <w:r>
        <w:rPr>
          <w:b/>
        </w:rPr>
        <w:t xml:space="preserve"> [Elizabeth Moyano, Nuevo Dia, May 19, 2000]</w:t>
      </w:r>
    </w:p>
    <w:p>
      <w:pPr>
        <w:pStyle w:val="Normal"/>
        <w:spacing w:before="0" w:after="240"/>
        <w:ind w:hanging="720" w:start="2160" w:end="720"/>
        <w:jc w:val="both"/>
        <w:rPr/>
      </w:pPr>
      <w:r>
        <w:rPr/>
        <w:t>(h)</w:t>
        <w:tab/>
        <w:t>“The Public Works and Service Minister, Julian Dominquez, did not keep his promise to begin the works on the Moctezuma-Pehuajo’ aqueduct.  The juridic and moral obligation for the damage to the communities lies with the Province.”</w:t>
      </w:r>
      <w:r>
        <w:rPr>
          <w:b/>
        </w:rPr>
        <w:t xml:space="preserve"> [Cesar Peña, Mayor of Pehuajo, La Mañana August 3, 2000]</w:t>
      </w:r>
    </w:p>
    <w:p>
      <w:pPr>
        <w:pStyle w:val="Normal"/>
        <w:spacing w:before="0" w:after="240"/>
        <w:ind w:hanging="720" w:start="2160" w:end="720"/>
        <w:jc w:val="both"/>
        <w:rPr/>
      </w:pPr>
      <w:r>
        <w:rPr/>
        <w:t>(i)</w:t>
        <w:tab/>
        <w:t xml:space="preserve">“Dominguez has not complied with his words to start the Moctezuma works.  Azurix conformed with its obligations by building 5 new water wells, which have increased the capacity for water production.” </w:t>
      </w:r>
      <w:r>
        <w:rPr>
          <w:b/>
        </w:rPr>
        <w:t>[Cesar Peña, Noticias August 3, 2000]</w:t>
      </w:r>
    </w:p>
    <w:p>
      <w:pPr>
        <w:pStyle w:val="Normal"/>
        <w:spacing w:before="0" w:after="240"/>
        <w:ind w:hanging="720" w:start="2160" w:end="720"/>
        <w:jc w:val="both"/>
        <w:rPr/>
      </w:pPr>
      <w:r>
        <w:rPr/>
        <w:t>(j)</w:t>
        <w:tab/>
        <w:t xml:space="preserve">“The Executive’s Decree relating to the Dam resulted in the reduction of 8 meters of water, causing the loss of 50% of its water, modifying the density/quality of the water, and increasing the presence of the algae.”  </w:t>
      </w:r>
      <w:r>
        <w:rPr>
          <w:b/>
        </w:rPr>
        <w:t>[Juan Pedro Tunessi, Report to the House of Representatives May 18, 2000]</w:t>
      </w:r>
    </w:p>
    <w:p>
      <w:pPr>
        <w:pStyle w:val="Normal"/>
        <w:spacing w:before="0" w:after="240"/>
        <w:ind w:hanging="720" w:start="1440" w:end="0"/>
        <w:jc w:val="both"/>
        <w:rPr/>
      </w:pPr>
      <w:r>
        <w:rPr/>
        <w:t>2.</w:t>
        <w:tab/>
      </w:r>
      <w:r>
        <w:rPr>
          <w:u w:val="single"/>
        </w:rPr>
        <w:t>Government Officials falsely claimed the water was toxic</w:t>
      </w:r>
    </w:p>
    <w:p>
      <w:pPr>
        <w:pStyle w:val="Normal"/>
        <w:spacing w:before="0" w:after="240"/>
        <w:ind w:hanging="720" w:start="2160" w:end="0"/>
        <w:jc w:val="both"/>
        <w:rPr/>
      </w:pPr>
      <w:r>
        <w:rPr/>
        <w:t>(a)</w:t>
        <w:tab/>
        <w:t xml:space="preserve">“Bahia Blanca Municipal Authorities reiterate to the population not to drink the water.” </w:t>
      </w:r>
      <w:r>
        <w:rPr>
          <w:b/>
        </w:rPr>
        <w:t>[Clarin April 26, 2000]</w:t>
      </w:r>
    </w:p>
    <w:p>
      <w:pPr>
        <w:pStyle w:val="Normal"/>
        <w:spacing w:before="0" w:after="240"/>
        <w:ind w:hanging="720" w:start="2160" w:end="720"/>
        <w:jc w:val="both"/>
        <w:rPr/>
      </w:pPr>
      <w:r>
        <w:rPr/>
        <w:t>(b)</w:t>
        <w:tab/>
        <w:t xml:space="preserve">“She says the water is not good enough, even if it is not toxic.” </w:t>
      </w:r>
      <w:r>
        <w:rPr>
          <w:b/>
        </w:rPr>
        <w:t>[Ana Maria Reimers, Bromatology, Department of the Municipality of Bahia Blanca, La Nueva Provincia May 4, 2000]</w:t>
      </w:r>
    </w:p>
    <w:p>
      <w:pPr>
        <w:pStyle w:val="Normal"/>
        <w:spacing w:before="0" w:after="240"/>
        <w:ind w:hanging="720" w:start="2160" w:end="720"/>
        <w:jc w:val="both"/>
        <w:rPr/>
      </w:pPr>
      <w:r>
        <w:rPr/>
        <w:t>(c)</w:t>
        <w:tab/>
        <w:t xml:space="preserve">“He asked the National Commission of Consumers Defense to sanction Azurix because of the deficient water supply.  Even though it has been proved the water is not toxic, it doesn’t meet the requirements stated by the National Alimentary Code.” </w:t>
      </w:r>
      <w:r>
        <w:rPr>
          <w:b/>
        </w:rPr>
        <w:t>[Eduardo Sicaro, Cronica May 15, 2000]</w:t>
      </w:r>
    </w:p>
    <w:p>
      <w:pPr>
        <w:pStyle w:val="Normal"/>
        <w:spacing w:before="0" w:after="240"/>
        <w:ind w:hanging="720" w:start="2160" w:end="720"/>
        <w:jc w:val="both"/>
        <w:rPr/>
      </w:pPr>
      <w:r>
        <w:rPr/>
        <w:t>(d)</w:t>
        <w:tab/>
        <w:t xml:space="preserve">“The Governor announced that the water in Bahia Blanca is not dangerous to health, according to the analysis of a laboratory in Cordoba.”  </w:t>
      </w:r>
      <w:r>
        <w:rPr>
          <w:b/>
        </w:rPr>
        <w:t>[Carlos Ruckhauf, La Capital - Mar del Plata April 30, 2000]</w:t>
      </w:r>
    </w:p>
    <w:p>
      <w:pPr>
        <w:pStyle w:val="Normal"/>
        <w:spacing w:before="0" w:after="240"/>
        <w:ind w:hanging="720" w:start="2160" w:end="720"/>
        <w:jc w:val="both"/>
        <w:rPr/>
      </w:pPr>
      <w:r>
        <w:rPr/>
        <w:t>(e)</w:t>
        <w:tab/>
        <w:t xml:space="preserve">“The ORAB says that the red water is not toxic.  They did not find any toxic metabolites.”  </w:t>
      </w:r>
      <w:r>
        <w:rPr>
          <w:b/>
        </w:rPr>
        <w:t>[La Nueva Provincia May 8, 2000]</w:t>
      </w:r>
    </w:p>
    <w:p>
      <w:pPr>
        <w:pStyle w:val="Normal"/>
        <w:spacing w:before="0" w:after="240"/>
        <w:ind w:hanging="720" w:start="2160" w:end="720"/>
        <w:jc w:val="both"/>
        <w:rPr/>
      </w:pPr>
      <w:r>
        <w:rPr/>
        <w:t>(f)</w:t>
        <w:tab/>
        <w:t xml:space="preserve">“With respect to the algae, he says the results of the analysis made in Cordoba show the microcistine components are less than the limits of the World Health Organization.  The analysis has been public since May 2.”  </w:t>
      </w:r>
      <w:r>
        <w:rPr>
          <w:b/>
        </w:rPr>
        <w:t>[Hugo Amicarelli, ORAB’s President, Report to the House of Representatives May 18, 2000 pp. 58-60]</w:t>
      </w:r>
    </w:p>
    <w:p>
      <w:pPr>
        <w:pStyle w:val="Normal"/>
        <w:spacing w:before="0" w:after="240"/>
        <w:ind w:hanging="720" w:start="2160" w:end="0"/>
        <w:jc w:val="both"/>
        <w:rPr/>
      </w:pPr>
      <w:r>
        <w:rPr/>
        <w:t>(g)</w:t>
        <w:tab/>
        <w:t>Juan Pedro Tunessi, Delegate to the House of Representatives</w:t>
      </w:r>
    </w:p>
    <w:p>
      <w:pPr>
        <w:pStyle w:val="Normal"/>
        <w:numPr>
          <w:ilvl w:val="0"/>
          <w:numId w:val="8"/>
        </w:numPr>
        <w:tabs>
          <w:tab w:val="clear" w:pos="720"/>
          <w:tab w:val="left" w:pos="2520" w:leader="none"/>
        </w:tabs>
        <w:spacing w:before="0" w:after="240"/>
        <w:ind w:hanging="360" w:start="2520" w:end="720"/>
        <w:jc w:val="both"/>
        <w:rPr/>
      </w:pPr>
      <w:r>
        <w:rPr/>
        <w:t>“</w:t>
      </w:r>
      <w:r>
        <w:rPr/>
        <w:t xml:space="preserve">He refers to the declarations of the Executive about the quality of the water which caused doubts and also panic in the people, especially when the Minister of Health said the water could not be used to drink, nor to brush teeth or do the washing.  This created a state of psychosis for 72 hours.”    </w:t>
      </w:r>
      <w:r>
        <w:rPr>
          <w:b/>
        </w:rPr>
        <w:t>[Report to Commissioners of the House of Representatives May 11, 2000]</w:t>
      </w:r>
    </w:p>
    <w:p>
      <w:pPr>
        <w:pStyle w:val="Normal"/>
        <w:numPr>
          <w:ilvl w:val="0"/>
          <w:numId w:val="4"/>
        </w:numPr>
        <w:tabs>
          <w:tab w:val="clear" w:pos="720"/>
          <w:tab w:val="left" w:pos="2520" w:leader="none"/>
        </w:tabs>
        <w:spacing w:before="0" w:after="240"/>
        <w:ind w:hanging="360" w:start="2520" w:end="720"/>
        <w:jc w:val="both"/>
        <w:rPr/>
      </w:pPr>
      <w:r>
        <w:rPr/>
        <w:t>“</w:t>
      </w:r>
      <w:r>
        <w:rPr/>
        <w:t xml:space="preserve">He wants explanations about the intervention of the Ministry of Health, which provoked panic in the population by an unfortunate announcement.” </w:t>
      </w:r>
      <w:r>
        <w:rPr>
          <w:b/>
        </w:rPr>
        <w:t>[Report to the House of Representatives May 18, 2000]</w:t>
      </w:r>
    </w:p>
    <w:p>
      <w:pPr>
        <w:pStyle w:val="Normal"/>
        <w:spacing w:before="0" w:after="240"/>
        <w:ind w:hanging="720" w:start="720" w:end="0"/>
        <w:jc w:val="both"/>
        <w:rPr/>
      </w:pPr>
      <w:r>
        <w:rPr/>
        <w:t>3.</w:t>
        <w:tab/>
      </w:r>
      <w:r>
        <w:rPr>
          <w:u w:val="single"/>
        </w:rPr>
        <w:t>Officials told Ratepayers not to pay their water bills</w:t>
      </w:r>
    </w:p>
    <w:p>
      <w:pPr>
        <w:pStyle w:val="Normal"/>
        <w:spacing w:before="0" w:after="240"/>
        <w:ind w:hanging="720" w:start="2160" w:end="0"/>
        <w:jc w:val="both"/>
        <w:rPr/>
      </w:pPr>
      <w:r>
        <w:rPr/>
        <w:t>(a)</w:t>
        <w:tab/>
        <w:t>“The Governor said that the citizens will not pay for the water service during the period that the water quality was bad.”</w:t>
      </w:r>
      <w:r>
        <w:rPr>
          <w:b/>
        </w:rPr>
        <w:t xml:space="preserve"> [Carlos Ruckhauf, La Capital - Mar del Plata, April 30, 2000]</w:t>
      </w:r>
    </w:p>
    <w:p>
      <w:pPr>
        <w:pStyle w:val="Normal"/>
        <w:spacing w:before="0" w:after="240"/>
        <w:ind w:hanging="720" w:start="2160" w:end="0"/>
        <w:jc w:val="both"/>
        <w:rPr/>
      </w:pPr>
      <w:r>
        <w:rPr/>
        <w:t>(b)</w:t>
        <w:tab/>
        <w:t xml:space="preserve">“The Province asked the National Commission for Consumers’ Defense to intervene, which it did with two injunctions to prevent Azurix from charging for its service.”  </w:t>
      </w:r>
      <w:r>
        <w:rPr>
          <w:b/>
        </w:rPr>
        <w:t>[Eduardo Sicaro, Report to the House of Representatives May 18, 2000]</w:t>
      </w:r>
    </w:p>
    <w:p>
      <w:pPr>
        <w:pStyle w:val="Normal"/>
        <w:spacing w:before="0" w:after="240"/>
        <w:ind w:hanging="720" w:start="720" w:end="0"/>
        <w:jc w:val="both"/>
        <w:rPr/>
      </w:pPr>
      <w:r>
        <w:rPr/>
        <w:tab/>
        <w:tab/>
        <w:t>(c)</w:t>
        <w:tab/>
        <w:t>Jaime Linares, Mayor of Bahia Blanca</w:t>
      </w:r>
    </w:p>
    <w:p>
      <w:pPr>
        <w:pStyle w:val="Normal"/>
        <w:spacing w:before="0" w:after="240"/>
        <w:ind w:hanging="720" w:start="2880" w:end="0"/>
        <w:jc w:val="both"/>
        <w:rPr/>
      </w:pPr>
      <w:r>
        <w:rPr/>
        <w:t>(1)</w:t>
        <w:tab/>
        <w:t xml:space="preserve">“He says people must not pay their bills until the water quality is correct.”  </w:t>
      </w:r>
      <w:r>
        <w:rPr>
          <w:b/>
        </w:rPr>
        <w:t>[La Razon, Informacion General, May 11, 2000, page 9] [Hoy May 11, 2000, page 8] [Hoy May 12, 2000, Politics page 10]</w:t>
      </w:r>
    </w:p>
    <w:p>
      <w:pPr>
        <w:pStyle w:val="Normal"/>
        <w:spacing w:before="0" w:after="240"/>
        <w:ind w:hanging="720" w:start="2880" w:end="0"/>
        <w:jc w:val="both"/>
        <w:rPr/>
      </w:pPr>
      <w:r>
        <w:rPr/>
        <w:t>(2)</w:t>
        <w:tab/>
        <w:t>“He said people must not pay their water bills in spite of the authorization given by the ORAB to resume billing from May 5 on.”</w:t>
      </w:r>
      <w:r>
        <w:rPr>
          <w:b/>
        </w:rPr>
        <w:t>[Vida Cotidiana, May 11, 2000, page 39] [La Nacion, La Nueva Provincia May 11, 2000] [El Cronista May 11, 2000] [La Nacion May 11, 2000]</w:t>
      </w:r>
    </w:p>
    <w:p>
      <w:pPr>
        <w:pStyle w:val="Normal"/>
        <w:spacing w:before="0" w:after="240"/>
        <w:ind w:hanging="720" w:start="2160" w:end="0"/>
        <w:jc w:val="both"/>
        <w:rPr/>
      </w:pPr>
      <w:r>
        <w:rPr/>
        <w:t>(d)</w:t>
        <w:tab/>
        <w:t xml:space="preserve">“We are conscious we have forced ORAB to make decisions for political reasons thereby violating the </w:t>
      </w:r>
      <w:r>
        <w:rPr>
          <w:i/>
        </w:rPr>
        <w:t>espiritu de la letra</w:t>
      </w:r>
      <w:r>
        <w:rPr/>
        <w:t xml:space="preserve">.  He recognizes that he approved the Bahia Blanca Mayor’s statement not to pay for the water.”  </w:t>
      </w:r>
      <w:r>
        <w:rPr>
          <w:b/>
        </w:rPr>
        <w:t>[Julian Dominguez, Report to the House of Representatives May 18, 2000]</w:t>
      </w:r>
    </w:p>
    <w:p>
      <w:pPr>
        <w:pStyle w:val="Normal"/>
        <w:spacing w:before="0" w:after="240"/>
        <w:ind w:hanging="720" w:start="2160" w:end="0"/>
        <w:jc w:val="both"/>
        <w:rPr/>
      </w:pPr>
      <w:r>
        <w:rPr/>
        <w:t>(e)</w:t>
        <w:tab/>
        <w:t xml:space="preserve">“Thousands of users of the water sewage service from Bahia Blanca and Punta Alta are giving their bills back to Azurix.  Nobody wants to pay for water of such bad quality.”  </w:t>
      </w:r>
      <w:r>
        <w:rPr>
          <w:b/>
        </w:rPr>
        <w:t>[Cronica May 23, 2000]</w:t>
      </w:r>
    </w:p>
    <w:p>
      <w:pPr>
        <w:pStyle w:val="Normal"/>
        <w:spacing w:before="0" w:after="240"/>
        <w:ind w:hanging="720" w:start="2160" w:end="720"/>
        <w:jc w:val="both"/>
        <w:rPr/>
      </w:pPr>
      <w:r>
        <w:rPr/>
        <w:t>(f)</w:t>
        <w:tab/>
        <w:t xml:space="preserve">“Almost 30,000 bills were sent back to Azurix.”  </w:t>
      </w:r>
      <w:r>
        <w:rPr>
          <w:b/>
        </w:rPr>
        <w:t>[La Nacion May 30, 2000] [Hoy May 30, 2000]</w:t>
      </w:r>
    </w:p>
    <w:p>
      <w:pPr>
        <w:pStyle w:val="Normal"/>
        <w:spacing w:before="0" w:after="240"/>
        <w:ind w:hanging="720" w:start="2160" w:end="0"/>
        <w:jc w:val="both"/>
        <w:rPr/>
      </w:pPr>
      <w:r>
        <w:rPr/>
        <w:t>(g)</w:t>
        <w:tab/>
        <w:t xml:space="preserve">“He called on consumers not to pay their bills to Azurix.”  </w:t>
      </w:r>
      <w:r>
        <w:rPr>
          <w:b/>
        </w:rPr>
        <w:t>[Oscar Trapes, Secretary of the Department of Public Services and Works from Pehuajo, Clarin December 14, 2000]</w:t>
      </w:r>
    </w:p>
    <w:p>
      <w:pPr>
        <w:pStyle w:val="Normal"/>
        <w:spacing w:before="0" w:after="240"/>
        <w:ind w:hanging="720" w:start="2160" w:end="720"/>
        <w:jc w:val="both"/>
        <w:rPr>
          <w:b/>
        </w:rPr>
      </w:pPr>
      <w:r>
        <w:rPr>
          <w:b/>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
      <w:lvlText w:val="%1.%2"/>
      <w:lvlJc w:val="start"/>
      <w:pPr>
        <w:tabs>
          <w:tab w:val="num" w:pos="1080"/>
        </w:tabs>
        <w:ind w:start="0" w:firstLine="720"/>
      </w:pPr>
    </w:lvl>
    <w:lvl w:ilvl="2">
      <w:start w:val="1"/>
      <w:pStyle w:val="Heading3"/>
      <w:numFmt w:val="lowerLetter"/>
      <w:lvlText w:val="(%3)"/>
      <w:lvlJc w:val="start"/>
      <w:pPr>
        <w:tabs>
          <w:tab w:val="num" w:pos="1800"/>
        </w:tabs>
        <w:ind w:start="1440" w:hanging="0"/>
      </w:pPr>
    </w:lvl>
    <w:lvl w:ilvl="3">
      <w:start w:val="1"/>
      <w:pStyle w:val="Heading4"/>
      <w:numFmt w:val="lowerRoman"/>
      <w:lvlText w:val="(%4)"/>
      <w:lvlJc w:val="start"/>
      <w:pPr>
        <w:tabs>
          <w:tab w:val="num" w:pos="2880"/>
        </w:tabs>
        <w:ind w:start="2160" w:hanging="0"/>
      </w:pPr>
    </w:lvl>
    <w:lvl w:ilvl="4">
      <w:start w:val="1"/>
      <w:pStyle w:val="Heading5"/>
      <w:numFmt w:val="lowerLetter"/>
      <w:lvlText w:val="%5."/>
      <w:lvlJc w:val="start"/>
      <w:pPr>
        <w:tabs>
          <w:tab w:val="num" w:pos="3240"/>
        </w:tabs>
        <w:ind w:start="2880" w:hanging="0"/>
      </w:pPr>
    </w:lvl>
    <w:lvl w:ilvl="5">
      <w:start w:val="1"/>
      <w:numFmt w:val="lowerRoman"/>
      <w:lvlText w:val="%6."/>
      <w:lvlJc w:val="start"/>
      <w:pPr>
        <w:tabs>
          <w:tab w:val="num" w:pos="4320"/>
        </w:tabs>
        <w:ind w:start="3600" w:hanging="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bullet"/>
      <w:lvlText w:val=""/>
      <w:lvlJc w:val="start"/>
      <w:pPr>
        <w:tabs>
          <w:tab w:val="num" w:pos="648"/>
        </w:tabs>
        <w:ind w:start="648" w:hanging="648"/>
      </w:pPr>
      <w:rPr>
        <w:rFonts w:ascii="Symbol" w:hAnsi="Symbol" w:cs="Symbol" w:hint="default"/>
        <w:color w:val="auto"/>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648"/>
        </w:tabs>
        <w:ind w:start="648" w:hanging="648"/>
      </w:pPr>
      <w:rPr>
        <w:rFonts w:ascii="Symbol" w:hAnsi="Symbol" w:cs="Symbol" w:hint="default"/>
        <w:color w:val="auto"/>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10">
    <w:lvl w:ilvl="0">
      <w:start w:val="1"/>
      <w:numFmt w:val="upperRoman"/>
      <w:lvlText w:val="%1."/>
      <w:lvlJc w:val="start"/>
      <w:pPr>
        <w:tabs>
          <w:tab w:val="num" w:pos="720"/>
        </w:tabs>
        <w:ind w:start="0" w:hanging="0"/>
      </w:pPr>
      <w:rPr>
        <w:i w:val="false"/>
        <w:b/>
      </w:rPr>
    </w:lvl>
  </w:abstractNum>
  <w:abstractNum w:abstractNumId="11">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2"/>
        <w:numId w:val="1"/>
      </w:num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3"/>
        <w:numId w:val="1"/>
      </w:numPr>
      <w:spacing w:before="120" w:after="120"/>
      <w:jc w:val="both"/>
      <w:outlineLvl w:val="3"/>
    </w:pPr>
    <w:rPr/>
  </w:style>
  <w:style w:type="paragraph" w:styleId="Heading5">
    <w:name w:val="heading 5"/>
    <w:basedOn w:val="Normal"/>
    <w:next w:val="BodyText"/>
    <w:qFormat/>
    <w:pPr>
      <w:numPr>
        <w:ilvl w:val="4"/>
        <w:numId w:val="1"/>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rPr>
  </w:style>
  <w:style w:type="character" w:styleId="WW8Num12z0">
    <w:name w:val="WW8Num12z0"/>
    <w:qFormat/>
    <w:rPr>
      <w:rFonts w:ascii="Symbol" w:hAnsi="Symbol" w:cs="Symbol"/>
      <w:color w:val="auto"/>
    </w:rPr>
  </w:style>
  <w:style w:type="character" w:styleId="WW8Num12z1">
    <w:name w:val="WW8Num12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b/>
      <w:i w:val="fals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19z0">
    <w:name w:val="WW8Num19z0"/>
    <w:qFormat/>
    <w:rPr>
      <w:b/>
      <w:i w:val="false"/>
      <w:strike w:val="false"/>
      <w:dstrike w:val="false"/>
      <w:shadow w:val="false"/>
      <w:color w:val="auto"/>
      <w:position w:val="0"/>
      <w:sz w:val="24"/>
      <w:u w:val="single"/>
      <w:vertAlign w:val="baseline"/>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1z1">
    <w:name w:val="WW8Num21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22z0">
    <w:name w:val="WW8Num22z0"/>
    <w:qFormat/>
    <w:rPr>
      <w:rFonts w:ascii="Symbol" w:hAnsi="Symbol" w:cs="Symbol"/>
      <w:color w:val="auto"/>
    </w:rPr>
  </w:style>
  <w:style w:type="character" w:styleId="WW8Num22z1">
    <w:name w:val="WW8Num22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23z0">
    <w:name w:val="WW8Num23z0"/>
    <w:qFormat/>
    <w:rPr>
      <w:b/>
      <w:i w:val="false"/>
    </w:rPr>
  </w:style>
  <w:style w:type="character" w:styleId="WW8Num24z0">
    <w:name w:val="WW8Num24z0"/>
    <w:qFormat/>
    <w:rPr>
      <w:b/>
      <w:i w:val="false"/>
      <w:strike w:val="false"/>
      <w:dstrike w:val="false"/>
      <w:shadow w:val="false"/>
      <w:color w:val="auto"/>
      <w:position w:val="0"/>
      <w:sz w:val="24"/>
      <w:u w:val="singl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7"/>
      </w:numPr>
    </w:pPr>
    <w:rPr/>
  </w:style>
  <w:style w:type="paragraph" w:styleId="Index2">
    <w:name w:val="index 2"/>
    <w:basedOn w:val="Normal"/>
    <w:next w:val="Normal"/>
    <w:pPr>
      <w:numPr>
        <w:ilvl w:val="0"/>
        <w:numId w:val="11"/>
      </w:numPr>
      <w:tabs>
        <w:tab w:val="clear" w:pos="720"/>
        <w:tab w:val="left" w:pos="4410" w:leader="none"/>
      </w:tabs>
    </w:pPr>
    <w:rPr/>
  </w:style>
  <w:style w:type="paragraph" w:styleId="Index3">
    <w:name w:val="index 3"/>
    <w:basedOn w:val="Normal"/>
    <w:next w:val="Normal"/>
    <w:pPr>
      <w:numPr>
        <w:ilvl w:val="0"/>
        <w:numId w:val="6"/>
      </w:numPr>
    </w:pPr>
    <w:rPr/>
  </w:style>
  <w:style w:type="paragraph" w:styleId="HOUOutline1">
    <w:name w:val="HOU Outline1"/>
    <w:basedOn w:val="Normal"/>
    <w:qFormat/>
    <w:pPr>
      <w:numPr>
        <w:ilvl w:val="0"/>
        <w:numId w:val="9"/>
      </w:numPr>
    </w:pPr>
    <w:rPr/>
  </w:style>
  <w:style w:type="paragraph" w:styleId="HOUOutline2">
    <w:name w:val="HOU Outline2"/>
    <w:basedOn w:val="Normal"/>
    <w:qFormat/>
    <w:pPr>
      <w:numPr>
        <w:ilvl w:val="0"/>
        <w:numId w:val="2"/>
      </w:numPr>
    </w:pPr>
    <w:rPr/>
  </w:style>
  <w:style w:type="paragraph" w:styleId="HOUOutline3">
    <w:name w:val="HOU Outline3"/>
    <w:basedOn w:val="Normal"/>
    <w:qFormat/>
    <w:pPr>
      <w:numPr>
        <w:ilvl w:val="0"/>
        <w:numId w:val="2"/>
      </w:numPr>
    </w:pPr>
    <w:rPr/>
  </w:style>
  <w:style w:type="paragraph" w:styleId="CenterNumber">
    <w:name w:val="Center Number"/>
    <w:basedOn w:val="Normal"/>
    <w:qFormat/>
    <w:pPr>
      <w:jc w:val="center"/>
    </w:pPr>
    <w:rPr/>
  </w:style>
  <w:style w:type="paragraph" w:styleId="laura">
    <w:name w:val="laura"/>
    <w:basedOn w:val="Normal"/>
    <w:qFormat/>
    <w:pPr>
      <w:numPr>
        <w:ilvl w:val="0"/>
        <w:numId w:val="10"/>
      </w:numPr>
      <w:tabs>
        <w:tab w:val="clear" w:pos="720"/>
      </w:tabs>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2001-10-15T11:34:00Z</dcterms:created>
  <dc:creator>K&amp;S</dc:creator>
  <dc:description/>
  <dc:language>en-CA</dc:language>
  <cp:lastModifiedBy>John Burns</cp:lastModifiedBy>
  <cp:lastPrinted>2001-10-17T13:09:00Z</cp:lastPrinted>
  <dcterms:modified xsi:type="dcterms:W3CDTF">2001-10-17T21:27:00Z</dcterms:modified>
  <cp:revision>31</cp:revision>
  <dc:subject/>
  <dc:title>Azurix’s Memorial</dc:title>
</cp:coreProperties>
</file>