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Interconnection Study Agreement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Parties: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Florida Power &amp; Light Company (“FPL”) and Midway Development Company, L.L.C. (“Customer”).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October 26, 2000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Subject to information provided by Customer and queue, study to be completed within 120 days of agreement and payment.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Customer is requesting to interconnect a third generation plant to the FPL.  An interconnection Feasibility Study and an Interconnection Facilities Study will be conducted.  The cost of the studies is $50,000, subject to actual cost.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Each party to maintain confidentiality regarding data or information provided by other party without consent of other.  Disclosure on as-needed basis to related parties.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Governing law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In case of a change in the queue / status of Customer that FPL believes could materially affect and invalidate the results of this study, Customer may terminate but bear costs up to notice by FPL.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Interconnection Study Agreement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Parties: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Florida Power &amp; Light Company (“FPL”) and Midway Development Company, L.L.C. (“Customer”).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November 2, 2000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Subject to information provided by Customer and queue, study to be completed within 120 days of agreement and payment.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Customer is requesting to interconnect a second generation plant to the FPL.  An interconnection Feasibility Study and an Interconnection Facilities Study will be conducted.  The cost of the studies is $50,000, subject to actual cost.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Each party to maintain confidentiality regarding data or information provided by other party without consent of other.  Disclosure on as-needed basis to related parties.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Governing law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In case of a change in the queue / status of Customer that FPL believes could materially affect and invalidate the results of this study, Customer may terminate but bear costs up to notice by FPL.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Option to Purchase Real Estate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Parties: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Cooney-Midway Grove, L.C. (“Optionor”) and Lauderdale Land Development Company, LLC (“Optionee”).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May 19, 2000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One year with one year renewal period.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Optionee paid $72,000 for exclusive option to purchase certain land in St. Lucie County, FL for $1,270,000.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Each party to maintain confidentiality regarding the option, including its existence.  Disclosure on as-needed basis.  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Optionor shall not sell or offer for sale any interest in the property during the term of the option.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Each party shall indemnify each other for acts or omissions affecting the use, occupation, ownership of the property; continuing obligations for terms, by its nature, is required to be kept, observed or performed after closing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Governing law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This option was superceded by the First Amendment to Purchase Real Estate, dated August 28, 2000, revising the purchase price of the property to $1.3 million.</w:t>
            </w:r>
          </w:p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Note:  Option exercised pursuant to Notice of Option to Purchase Real Estate dated May 19, 2000.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Assignment to Option to Purchase Real Estate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Parties: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Midway Development Company, L.L.C. (“Assignee”) and Lauderdale Land Development Company, LLC (“Assignor”)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November 9, 2000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Assignment of the Option to Purchase Real Estate dated May 19, 2000, as amended.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Assignee agrees to terms under Option dated May 19, 2000, as amended.  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Governing law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Note:  Assignee exercised pursuant to Assignment of Option to Purchase Real Estate dated November 9, 2000.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Option Agreement for Sale and Purchase of  Real Estate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Parties: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Clyde C. Thompson, Jr. (“Thompson” is owner and optionor) and Midway Development Company, LLC (“Midway” is optionee).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March 26, 2001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Three years from above date.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Optionee paid $5,000 for exclusive option to purchase certain land in St. Lucia County, FL for $225,000.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Parties agree in good faith not to disseminate any term or condition of the agreement, although Midway may disclose as necessary to relevant parties.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Midway may assign the Option and its rights within its sole and absolute discretion, provided its obligations are not relieved prior to the assignment.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Indemnification for costs and expenses to enforce parties obligations under the agreement.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Governing law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Option Agreement for Sale and Purchase of  Real Estate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Parties: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Paul H. Freeman (“Optionor”) and Midway Development Company, LLC (“Midway” is optionee).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March 29, 2001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option period expires on December 31, 2001, renewable for one year at $5,000.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Optionee paid $2,500 for exclusive option to purchase certain land in St. Lucia County, FL. for $348,000 if exercised within one year, or $382,800 during second year.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Parties agree in good faith not to disseminate any term or condition or the agreement, although parties may disclose as necessary to relevant parties.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Restriction to Optionor to sell or offer for sale interest in Property during option period.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Survival for any term that, by its nature, is required to be kept, observed or performed, such as conveyance of title.  Optionor reserves the right, for a period post-closing until June 30, 2003, to cultivate the citrus grove and graze cattle on 30-acres of property without interfering Optionee’s use.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Governing law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Limited Liability of Company Agreement of Midway Development Company, L.L.C.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Parties: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Lauderdale Land Development Company, L.L.C., a Delaware limited liability company, as sole member of Midway Development Company (the “Company”)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Undated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Perpetual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Economic terms/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description of services: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Formation of Company and description of management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Dissolution as the Member may elect.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Governing law: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Delaware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Air Permit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Issued by: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State of Florida Department of Environmental Protection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Filed February 14, 2001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Expires June 30, 2003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Air Construction Permit pursuant to the requirements for the Prevention of Significant Deterioration of Air Quality Permit for certain generators.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Water Use Permit Application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Submitted to: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South Florida Water Management District (“SFWMD”)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November, 2000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--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Industrial water use application for certain power generation plant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Final Permit was not among material provided for review.  The above criteria are subject to permit.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Environmental Resource Permit Application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Submitted to: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State of Florida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January, 2001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--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Permit request for environment resource related to construction and operation of certain power generation units.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Before transfer of the system to the operating entity will be approved, the permittee must document that the transferee will be bound by all terms and conditions of the permit.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See “Restrictions” above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Comment 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Final Permit was not among material provided for review.  The above criteria are subject to permit.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rPr>
          <w:smallCaps/>
          <w:u w:val="none"/>
        </w:rPr>
      </w:pPr>
      <w:r>
        <w:rPr>
          <w:smallCaps/>
          <w:u w:val="none"/>
        </w:rPr>
        <w:t>Resolution 01-012</w:t>
      </w:r>
    </w:p>
    <w:p>
      <w:pPr>
        <w:pStyle w:val="BodyText"/>
        <w:ind w:firstLine="720" w:end="0"/>
        <w:rPr>
          <w:smallCaps/>
          <w:u w:val="none"/>
        </w:rPr>
      </w:pPr>
      <w:r>
        <w:rPr>
          <w:smallCaps/>
          <w:u w:val="none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67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Issued by: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St. Lucie Country, Board of County Commissioners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April 3, 2001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Approval of re-zoning of certain land to be known as Midway-Cooney Groves/Midway Energy Center from agriculture use to non-residential use and construction of a 170 MW power generation unit.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Confidentiality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Proceedings and document open to public review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Restrictions on change of control: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Continuing liability (guarantees, etc.)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6380" w:leader="none"/>
              </w:tabs>
              <w:ind w:end="-108"/>
              <w:rPr>
                <w:b/>
              </w:rPr>
            </w:pPr>
            <w:r>
              <w:rPr>
                <w:b/>
              </w:rPr>
              <w:t>Termination rights triggered by sale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Silent</w:t>
            </w:r>
          </w:p>
        </w:tc>
      </w:tr>
      <w:tr>
        <w:trPr/>
        <w:tc>
          <w:tcPr>
            <w:tcW w:w="26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Resolution 01-024 amended 01-012 for the project to consist of three 170 MW power generation units rather than one unit.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  <w:vertAlign w:val="baseline"/>
        <w:position w:val="0"/>
        <w:sz w:val="24"/>
        <w:spacing w:val="0"/>
        <w:kern w:val="0"/>
        <w:w w:val="100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pacing w:val="0"/>
      <w:w w:val="100"/>
      <w:kern w:val="0"/>
      <w:position w:val="0"/>
      <w:sz w:val="24"/>
      <w:vertAlign w:val="baseline"/>
    </w:rPr>
  </w:style>
  <w:style w:type="character" w:styleId="WW8Num13z0">
    <w:name w:val="WW8Num13z0"/>
    <w:qFormat/>
    <w:rPr>
      <w:rFonts w:ascii="Symbol" w:hAnsi="Symbol" w:cs="Symbol"/>
      <w:sz w:val="16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Bullet">
    <w:name w:val="Bullet"/>
    <w:basedOn w:val="Normal"/>
    <w:qFormat/>
    <w:pPr>
      <w:numPr>
        <w:ilvl w:val="0"/>
        <w:numId w:val="2"/>
      </w:numPr>
    </w:pPr>
    <w:rPr>
      <w:rFonts w:ascii="Arial" w:hAnsi="Arial" w:cs="Arial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2001-10-05T16:16:00Z</dcterms:created>
  <dc:creator>K&amp;S</dc:creator>
  <dc:description/>
  <dc:language>en-CA</dc:language>
  <cp:lastModifiedBy>K&amp;S</cp:lastModifiedBy>
  <cp:lastPrinted>2001-09-24T17:48:00Z</cp:lastPrinted>
  <dcterms:modified xsi:type="dcterms:W3CDTF">2001-10-05T22:41:00Z</dcterms:modified>
  <cp:revision>13</cp:revision>
  <dc:subject/>
  <dc:title>1</dc:title>
</cp:coreProperties>
</file>