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BPH Draft</w:t>
      </w:r>
    </w:p>
    <w:p>
      <w:pPr>
        <w:pStyle w:val="Normal"/>
        <w:jc w:val="end"/>
        <w:rPr>
          <w:b/>
        </w:rPr>
      </w:pPr>
      <w:r>
        <w:rPr>
          <w:b/>
        </w:rPr>
        <w:t>2/1/01</w:t>
      </w:r>
    </w:p>
    <w:p>
      <w:pPr>
        <w:pStyle w:val="CenteredHeading"/>
        <w:spacing w:before="0" w:after="480"/>
        <w:rPr/>
      </w:pPr>
      <w:r>
        <w:rPr/>
        <w:t>[Enron letterhead]</w:t>
      </w:r>
    </w:p>
    <w:p>
      <w:pPr>
        <w:pStyle w:val="Date"/>
        <w:rPr/>
      </w:pPr>
      <w:r>
        <w:rPr/>
        <w:t>February __, 2001</w:t>
      </w:r>
    </w:p>
    <w:p>
      <w:pPr>
        <w:pStyle w:val="Address"/>
        <w:rPr/>
      </w:pPr>
      <w:r>
        <w:rPr/>
        <w:t>Wachovia Bank, N.A.</w:t>
        <w:br/>
        <w:t>401 Linden Street</w:t>
        <w:br/>
        <w:t>Winston-Salem, NC 27101</w:t>
        <w:br/>
        <w:t>Attention: Standby Letter of Credit Department</w:t>
      </w:r>
    </w:p>
    <w:p>
      <w:pPr>
        <w:pStyle w:val="Subject"/>
        <w:rPr/>
      </w:pPr>
      <w:r>
        <w:rPr/>
        <w:t>Re:</w:t>
        <w:tab/>
      </w:r>
      <w:r>
        <w:rPr>
          <w:u w:val="single"/>
        </w:rPr>
        <w:t>Your Irrevocable Standby Letter of Credit No. LC870-123507</w:t>
      </w:r>
    </w:p>
    <w:p>
      <w:pPr>
        <w:pStyle w:val="Salutation"/>
        <w:rPr/>
      </w:pPr>
      <w:r>
        <w:rPr/>
        <w:t>Ladies and Gentlemen:</w:t>
      </w:r>
    </w:p>
    <w:p>
      <w:pPr>
        <w:pStyle w:val="BodyText"/>
        <w:rPr/>
      </w:pPr>
      <w:r>
        <w:rPr/>
        <w:t>We are informed that CALPX Trading Services, a division of The California Power Exchange Corporation has made a draw either yesterday or today under the above letter of credit issued by you (the “Letter of Credit”).  We hereby put you on notice that the certificate submitted by CALPX is materially fraudulent and that the honor of the presentation would facilitate a material fraud by CALPX on the applicant under the Letter of Credit within the meaning of Uniform Commercial Code Section 5109 and other applicable law.</w:t>
      </w:r>
    </w:p>
    <w:p>
      <w:pPr>
        <w:pStyle w:val="BodyText"/>
        <w:rPr/>
      </w:pPr>
      <w:r>
        <w:rPr/>
        <w:t>Enron Corporation and its affiliate Enron Power Marketing, Inc. (collectively “Enron”) are required under the BFM Participation Agreement (which is referenced in the Letter of Credit and in the drawing certificate) to have posted collateral with CALPX in the amount of no more than $108,000,000.  Including the Letter of Credit issued by you, Enron has outstanding letters of credit posted as collateral in excess of $147,360,788.  Accordingly, no replacement or renewal letter of credit is required under the BFM Participation Agreement and Enron has no outstanding obligations under the BFM Participation Agreement which are not already covered by other letters of credit.</w:t>
      </w:r>
    </w:p>
    <w:p>
      <w:pPr>
        <w:pStyle w:val="BodyText"/>
        <w:rPr/>
      </w:pPr>
      <w:r>
        <w:rPr/>
        <w:t>We will be happy to provide additional information to you concerning this wrongful draw by CALPX.  However, in the meantime we must insist that no payment be made to CALPX under the Letter of Credit.  If for any reason you determine not to honor this request, we would appreciate your contacting the undersigned promptly (phone 713-853-5587) so that we can seek appropriate court relief.</w:t>
      </w:r>
    </w:p>
    <w:p>
      <w:pPr>
        <w:pStyle w:val="SignatureLine"/>
        <w:spacing w:before="240" w:after="0"/>
        <w:rPr/>
      </w:pPr>
      <w:r>
        <w:rPr/>
        <w:t>Sincerely,</w:t>
      </w:r>
    </w:p>
    <w:p>
      <w:pPr>
        <w:pStyle w:val="SignatureLine"/>
        <w:rPr/>
      </w:pPr>
      <w:r>
        <w:rPr/>
      </w:r>
    </w:p>
    <w:p>
      <w:pPr>
        <w:pStyle w:val="Normal"/>
        <w:rPr/>
      </w:pPr>
      <w:r>
        <w:rPr/>
        <w:t>cc:</w:t>
        <w:tab/>
        <w:t>[CALPX?]</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SFRLIB1\GAH\5466168.01(395Q001!.DOC)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SFRLIB1\GAH\5466168.01(395Q001!.DOC)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2001-02-01T16:17:00Z</dcterms:created>
  <dc:creator>GAH</dc:creator>
  <dc:description/>
  <dc:language>en-CA</dc:language>
  <cp:lastModifiedBy>George A. Hisert</cp:lastModifiedBy>
  <cp:lastPrinted>2001-02-01T10:47:00Z</cp:lastPrinted>
  <dcterms:modified xsi:type="dcterms:W3CDTF">2001-02-01T16:17:00Z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SFRLIB1\GAH\5466168.01(395Q001!.DOC)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