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90" w:leader="none"/>
        </w:tabs>
        <w:jc w:val="end"/>
        <w:rPr>
          <w:rFonts w:ascii="Times New Roman" w:hAnsi="Times New Roman" w:cs="Times New Roman"/>
          <w:sz w:val="28"/>
          <w:u w:val="double"/>
        </w:rPr>
      </w:pPr>
      <w:r>
        <w:rPr>
          <w:rFonts w:cs="Times New Roman" w:ascii="Times New Roman" w:hAnsi="Times New Roman"/>
          <w:sz w:val="28"/>
          <w:u w:val="double"/>
        </w:rPr>
        <w:t>Rev 0, DRAFT 10/19/00</w:t>
      </w:r>
    </w:p>
    <w:p>
      <w:pPr>
        <w:pStyle w:val="Heading"/>
        <w:tabs>
          <w:tab w:val="clear" w:pos="720"/>
          <w:tab w:val="left" w:pos="990" w:leader="none"/>
        </w:tabs>
        <w:rPr>
          <w:rFonts w:ascii="Times New Roman" w:hAnsi="Times New Roman" w:cs="Times New Roman"/>
          <w:sz w:val="28"/>
          <w:u w:val="double"/>
        </w:rPr>
      </w:pPr>
      <w:r>
        <w:rPr>
          <w:rFonts w:cs="Times New Roman" w:ascii="Times New Roman" w:hAnsi="Times New Roman"/>
          <w:sz w:val="28"/>
          <w:u w:val="double"/>
        </w:rPr>
      </w:r>
    </w:p>
    <w:p>
      <w:pPr>
        <w:pStyle w:val="Heading"/>
        <w:tabs>
          <w:tab w:val="clear" w:pos="720"/>
          <w:tab w:val="left" w:pos="990" w:leader="none"/>
        </w:tabs>
        <w:rPr>
          <w:rFonts w:ascii="Times New Roman" w:hAnsi="Times New Roman" w:cs="Times New Roman"/>
        </w:rPr>
      </w:pPr>
      <w:r>
        <w:rPr>
          <w:rFonts w:cs="Times New Roman" w:ascii="Times New Roman" w:hAnsi="Times New Roman"/>
        </w:rPr>
      </w:r>
    </w:p>
    <w:p>
      <w:pPr>
        <w:pStyle w:val="Heading"/>
        <w:tabs>
          <w:tab w:val="clear" w:pos="720"/>
          <w:tab w:val="left" w:pos="990" w:leader="none"/>
        </w:tabs>
        <w:rPr>
          <w:rFonts w:ascii="Times New Roman" w:hAnsi="Times New Roman" w:cs="Times New Roman"/>
          <w:sz w:val="24"/>
        </w:rPr>
      </w:pPr>
      <w:r>
        <w:rPr>
          <w:rFonts w:cs="Times New Roman" w:ascii="Times New Roman" w:hAnsi="Times New Roman"/>
          <w:sz w:val="24"/>
        </w:rPr>
      </w:r>
    </w:p>
    <w:p>
      <w:pPr>
        <w:pStyle w:val="Heading"/>
        <w:tabs>
          <w:tab w:val="clear" w:pos="720"/>
          <w:tab w:val="left" w:pos="990" w:leader="none"/>
        </w:tabs>
        <w:rPr>
          <w:rFonts w:ascii="Times New Roman" w:hAnsi="Times New Roman" w:cs="Times New Roman"/>
          <w:sz w:val="24"/>
        </w:rPr>
      </w:pPr>
      <w:r>
        <w:rPr>
          <w:rFonts w:cs="Times New Roman" w:ascii="Times New Roman" w:hAnsi="Times New Roman"/>
          <w:sz w:val="24"/>
        </w:rPr>
        <w:t>ENGINEERING, PROCUREMENT &amp; CONSTRUCTION CONTRACT</w:t>
        <w:br/>
        <w:br/>
        <w:br/>
        <w:br/>
        <w:br/>
        <w:br/>
        <w:br/>
        <w:t>by and between</w:t>
      </w:r>
    </w:p>
    <w:p>
      <w:pPr>
        <w:pStyle w:val="Heading"/>
        <w:tabs>
          <w:tab w:val="clear" w:pos="720"/>
          <w:tab w:val="left" w:pos="990" w:leader="none"/>
        </w:tabs>
        <w:rPr>
          <w:rFonts w:ascii="Times New Roman" w:hAnsi="Times New Roman" w:cs="Times New Roman"/>
          <w:sz w:val="24"/>
          <w:highlight w:val="black"/>
        </w:rPr>
      </w:pPr>
      <w:r>
        <w:rPr>
          <w:rFonts w:cs="Times New Roman" w:ascii="Times New Roman" w:hAnsi="Times New Roman"/>
          <w:sz w:val="24"/>
        </w:rPr>
        <w:br/>
        <w:t>[ENRON SOUTH AMERICA TURBINE LLC</w:t>
      </w:r>
      <w:r>
        <w:rPr>
          <w:rFonts w:cs="Times New Roman" w:ascii="Times New Roman" w:hAnsi="Times New Roman"/>
          <w:sz w:val="24"/>
          <w:u w:val="single"/>
        </w:rPr>
        <w:t xml:space="preserve">] </w:t>
      </w:r>
    </w:p>
    <w:p>
      <w:pPr>
        <w:pStyle w:val="Heading"/>
        <w:tabs>
          <w:tab w:val="clear" w:pos="720"/>
          <w:tab w:val="left" w:pos="990" w:leader="none"/>
        </w:tabs>
        <w:rPr/>
      </w:pPr>
      <w:r>
        <w:rPr>
          <w:rFonts w:cs="Times New Roman" w:ascii="Times New Roman" w:hAnsi="Times New Roman"/>
          <w:color w:val="99CCFF"/>
          <w:sz w:val="24"/>
        </w:rPr>
        <w:t xml:space="preserve"> </w:t>
      </w:r>
      <w:r>
        <w:rPr>
          <w:rFonts w:cs="Times New Roman" w:ascii="Times New Roman" w:hAnsi="Times New Roman"/>
          <w:color w:val="99CCFF"/>
          <w:sz w:val="24"/>
        </w:rPr>
        <w:br/>
      </w:r>
      <w:r>
        <w:rPr>
          <w:rFonts w:cs="Times New Roman" w:ascii="Times New Roman" w:hAnsi="Times New Roman"/>
          <w:sz w:val="24"/>
        </w:rPr>
        <w:t>as CONSTRUCTION AGENT</w:t>
        <w:br/>
        <w:br/>
        <w:t>and</w:t>
        <w:br/>
        <w:br/>
        <w:br/>
        <w:br/>
        <w:br/>
      </w:r>
      <w:r>
        <w:rPr>
          <w:rFonts w:cs="Times New Roman" w:ascii="Times New Roman" w:hAnsi="Times New Roman"/>
          <w:color w:val="00FF00"/>
          <w:sz w:val="24"/>
        </w:rPr>
        <w:t>[ENRON ENGINEERING &amp; CONSTRUCTION COMPANY AFFILIATE]</w:t>
      </w:r>
      <w:r>
        <w:rPr>
          <w:rFonts w:cs="Times New Roman" w:ascii="Times New Roman" w:hAnsi="Times New Roman"/>
          <w:sz w:val="24"/>
        </w:rPr>
        <w:br/>
        <w:br/>
        <w:br/>
        <w:br/>
        <w:t>as Contractor</w:t>
        <w:br/>
        <w:br/>
        <w:br/>
        <w:br/>
        <w:t xml:space="preserve">Dated as of </w:t>
      </w:r>
      <w:r>
        <w:rPr>
          <w:rFonts w:cs="Times New Roman" w:ascii="Times New Roman" w:hAnsi="Times New Roman"/>
          <w:color w:val="00FF00"/>
          <w:sz w:val="24"/>
        </w:rPr>
        <w:t>[</w:t>
      </w:r>
      <w:r>
        <w:rPr>
          <w:rFonts w:cs="Times New Roman" w:ascii="Times New Roman" w:hAnsi="Times New Roman"/>
          <w:color w:val="00FF00"/>
          <w:sz w:val="24"/>
          <w:u w:val="single"/>
        </w:rPr>
        <w:t xml:space="preserve">       </w:t>
      </w:r>
      <w:r>
        <w:rPr>
          <w:rFonts w:cs="Times New Roman" w:ascii="Times New Roman" w:hAnsi="Times New Roman"/>
          <w:color w:val="00FF00"/>
          <w:sz w:val="24"/>
        </w:rPr>
        <w:t>]</w:t>
      </w:r>
    </w:p>
    <w:p>
      <w:pPr>
        <w:sectPr>
          <w:footerReference w:type="default" r:id="rId2"/>
          <w:footerReference w:type="first" r:id="rId3"/>
          <w:type w:val="nextPage"/>
          <w:pgSz w:w="12240" w:h="15840"/>
          <w:pgMar w:left="1440" w:right="1325" w:gutter="0" w:header="0" w:top="720" w:footer="720" w:bottom="1440"/>
          <w:pgNumType w:start="1" w:fmt="lowerRoman"/>
          <w:formProt w:val="false"/>
          <w:titlePg/>
          <w:textDirection w:val="lrTb"/>
          <w:docGrid w:type="default" w:linePitch="326" w:charSpace="0"/>
        </w:sectPr>
        <w:pStyle w:val="BodyText"/>
        <w:rPr>
          <w:rFonts w:ascii="Times New Roman" w:hAnsi="Times New Roman" w:cs="Times New Roman"/>
          <w:color w:val="00FF00"/>
          <w:sz w:val="24"/>
        </w:rPr>
      </w:pPr>
      <w:r>
        <w:rPr>
          <w:rFonts w:cs="Times New Roman" w:ascii="Times New Roman" w:hAnsi="Times New Roman"/>
          <w:color w:val="00FF00"/>
          <w:sz w:val="24"/>
        </w:rPr>
      </w:r>
    </w:p>
    <w:p>
      <w:pPr>
        <w:pStyle w:val="Normal"/>
        <w:numPr>
          <w:ilvl w:val="0"/>
          <w:numId w:val="0"/>
        </w:numPr>
        <w:jc w:val="center"/>
        <w:outlineLvl w:val="0"/>
        <w:rPr>
          <w:b/>
          <w:sz w:val="22"/>
          <w:lang w:val="en-CA" w:eastAsia="en-CA"/>
        </w:rPr>
      </w:pPr>
      <w:r>
        <w:rPr>
          <w:b/>
          <w:sz w:val="22"/>
          <w:lang w:val="en-CA" w:eastAsia="en-CA"/>
        </w:rPr>
      </w:r>
    </w:p>
    <w:p>
      <w:pPr>
        <w:pStyle w:val="Normal"/>
        <w:jc w:val="center"/>
        <w:rPr/>
      </w:pPr>
      <w:r>
        <w:rPr>
          <w:b/>
          <w:sz w:val="22"/>
          <w:lang w:val="en-CA" w:eastAsia="en-CA"/>
        </w:rPr>
        <w:tab/>
      </w:r>
      <w:r>
        <w:rPr>
          <w:b/>
          <w:bCs/>
        </w:rPr>
        <w:t>TABLE OF CONTENTS</w:t>
      </w:r>
    </w:p>
    <w:p>
      <w:pPr>
        <w:pStyle w:val="Normal"/>
        <w:jc w:val="center"/>
        <w:rPr>
          <w:b/>
          <w:bCs/>
        </w:rPr>
      </w:pPr>
      <w:r>
        <w:rPr>
          <w:b/>
          <w:bCs/>
        </w:rPr>
      </w:r>
    </w:p>
    <w:sdt>
      <w:sdtPr>
        <w:docPartObj>
          <w:docPartGallery w:val="Table of Contents"/>
          <w:docPartUnique w:val="true"/>
        </w:docPartObj>
      </w:sdtPr>
      <w:sdtContent>
        <w:p>
          <w:pPr>
            <w:pStyle w:val="TOC1"/>
            <w:spacing w:before="100" w:after="0"/>
            <w:jc w:val="both"/>
            <w:rPr>
              <w:sz w:val="22"/>
              <w:szCs w:val="24"/>
              <w:lang w:val="en-CA" w:eastAsia="en-CA"/>
            </w:rPr>
          </w:pPr>
          <w:r>
            <w:fldChar w:fldCharType="begin"/>
          </w:r>
          <w:r>
            <w:rPr>
              <w:sz w:val="22"/>
              <w:szCs w:val="24"/>
              <w:lang w:val="en-CA" w:eastAsia="en-CA"/>
            </w:rPr>
            <w:instrText xml:space="preserve"> TOC \z \t "Heading 1,1,Heading 2,2" </w:instrText>
          </w:r>
          <w:r>
            <w:rPr>
              <w:sz w:val="22"/>
              <w:szCs w:val="24"/>
              <w:lang w:val="en-CA" w:eastAsia="en-CA"/>
            </w:rPr>
            <w:fldChar w:fldCharType="separate"/>
          </w:r>
          <w:r>
            <w:rPr>
              <w:sz w:val="22"/>
              <w:szCs w:val="24"/>
              <w:lang w:val="en-CA" w:eastAsia="en-CA"/>
            </w:rPr>
            <w:t>ARTICLE I</w:t>
            <w:tab/>
          </w:r>
          <w:hyperlink w:anchor="__RefHeading___Toc496435102">
            <w:r>
              <w:rPr>
                <w:rStyle w:val="IndexLink"/>
                <w:sz w:val="22"/>
                <w:szCs w:val="24"/>
                <w:lang w:val="en-CA" w:eastAsia="en-CA"/>
              </w:rPr>
              <w:t>1</w:t>
            </w:r>
          </w:hyperlink>
        </w:p>
        <w:p>
          <w:pPr>
            <w:pStyle w:val="TOC1"/>
            <w:rPr/>
          </w:pPr>
          <w:r>
            <w:rPr/>
            <w:t>DEFINITIONS AND CONSTRUCTION</w:t>
            <w:tab/>
          </w:r>
          <w:hyperlink w:anchor="__RefHeading___Toc496435103">
            <w:r>
              <w:rPr>
                <w:rStyle w:val="IndexLink"/>
              </w:rPr>
              <w:t>1</w:t>
            </w:r>
          </w:hyperlink>
        </w:p>
        <w:p>
          <w:pPr>
            <w:pStyle w:val="TOC2"/>
            <w:rPr>
              <w:lang w:val="en-US" w:eastAsia="en-CA"/>
            </w:rPr>
          </w:pPr>
          <w:r>
            <w:rPr/>
            <w:t>Section 1.1</w:t>
          </w:r>
          <w:r>
            <w:rPr>
              <w:lang w:val="en-US" w:eastAsia="en-CA"/>
            </w:rPr>
            <w:tab/>
          </w:r>
          <w:r>
            <w:rPr/>
            <w:t>Definitions.</w:t>
            <w:tab/>
          </w:r>
          <w:hyperlink w:anchor="__RefHeading___Toc496435104">
            <w:r>
              <w:rPr>
                <w:rStyle w:val="IndexLink"/>
              </w:rPr>
              <w:t>1</w:t>
            </w:r>
          </w:hyperlink>
        </w:p>
        <w:p>
          <w:pPr>
            <w:pStyle w:val="TOC2"/>
            <w:rPr>
              <w:lang w:val="en-US" w:eastAsia="en-CA"/>
            </w:rPr>
          </w:pPr>
          <w:r>
            <w:rPr/>
            <w:t>Section 1.2</w:t>
          </w:r>
          <w:r>
            <w:rPr>
              <w:lang w:val="en-US" w:eastAsia="en-CA"/>
            </w:rPr>
            <w:tab/>
          </w:r>
          <w:r>
            <w:rPr/>
            <w:t>Rules of Construction.</w:t>
            <w:tab/>
          </w:r>
          <w:hyperlink w:anchor="__RefHeading___Toc496435105">
            <w:r>
              <w:rPr>
                <w:rStyle w:val="IndexLink"/>
              </w:rPr>
              <w:t>13</w:t>
            </w:r>
          </w:hyperlink>
        </w:p>
        <w:p>
          <w:pPr>
            <w:pStyle w:val="TOC2"/>
            <w:rPr>
              <w:lang w:val="en-US" w:eastAsia="en-CA"/>
            </w:rPr>
          </w:pPr>
          <w:r>
            <w:rPr/>
            <w:t>Section 1.3</w:t>
          </w:r>
          <w:r>
            <w:rPr>
              <w:lang w:val="en-US" w:eastAsia="en-CA"/>
            </w:rPr>
            <w:tab/>
          </w:r>
          <w:r>
            <w:rPr/>
            <w:t>Precedence of Documents; Conflicting Provisions.</w:t>
            <w:tab/>
          </w:r>
          <w:hyperlink w:anchor="__RefHeading___Toc496435106">
            <w:r>
              <w:rPr>
                <w:rStyle w:val="IndexLink"/>
              </w:rPr>
              <w:t>13</w:t>
            </w:r>
          </w:hyperlink>
        </w:p>
        <w:p>
          <w:pPr>
            <w:pStyle w:val="TOC1"/>
            <w:rPr/>
          </w:pPr>
          <w:r>
            <w:rPr/>
            <w:t>ARTICLE II</w:t>
            <w:tab/>
          </w:r>
          <w:hyperlink w:anchor="__RefHeading___Toc496435107">
            <w:r>
              <w:rPr>
                <w:rStyle w:val="IndexLink"/>
              </w:rPr>
              <w:t>14</w:t>
            </w:r>
          </w:hyperlink>
        </w:p>
        <w:p>
          <w:pPr>
            <w:pStyle w:val="TOC1"/>
            <w:rPr/>
          </w:pPr>
          <w:r>
            <w:rPr/>
            <w:t>RELATIONSHIP OF CONSTRUCTION AGENT, OWNER, CONTRACTOR AND</w:t>
          </w:r>
        </w:p>
        <w:p>
          <w:pPr>
            <w:pStyle w:val="TOC1"/>
            <w:rPr/>
          </w:pPr>
          <w:r>
            <w:rPr/>
            <w:t xml:space="preserve"> </w:t>
          </w:r>
          <w:r>
            <w:rPr/>
            <w:t>SUBCONTRACTORS</w:t>
            <w:tab/>
          </w:r>
          <w:hyperlink w:anchor="__RefHeading___Toc496435108">
            <w:r>
              <w:rPr>
                <w:rStyle w:val="IndexLink"/>
              </w:rPr>
              <w:t>14</w:t>
            </w:r>
          </w:hyperlink>
        </w:p>
        <w:p>
          <w:pPr>
            <w:pStyle w:val="TOC2"/>
            <w:rPr>
              <w:sz w:val="24"/>
              <w:lang w:val="en-US" w:eastAsia="en-CA"/>
            </w:rPr>
          </w:pPr>
          <w:r>
            <w:rPr/>
            <w:t>Section 2.1</w:t>
          </w:r>
          <w:r>
            <w:rPr>
              <w:sz w:val="24"/>
              <w:lang w:val="en-US" w:eastAsia="en-CA"/>
            </w:rPr>
            <w:tab/>
          </w:r>
          <w:r>
            <w:rPr/>
            <w:t>Status of Contractor.</w:t>
            <w:tab/>
          </w:r>
          <w:hyperlink w:anchor="__RefHeading___Toc496435109">
            <w:r>
              <w:rPr>
                <w:rStyle w:val="IndexLink"/>
              </w:rPr>
              <w:t>14</w:t>
            </w:r>
          </w:hyperlink>
        </w:p>
        <w:p>
          <w:pPr>
            <w:pStyle w:val="TOC2"/>
            <w:rPr>
              <w:sz w:val="24"/>
              <w:lang w:val="en-US" w:eastAsia="en-CA"/>
            </w:rPr>
          </w:pPr>
          <w:r>
            <w:rPr/>
            <w:t>Section 2.2</w:t>
          </w:r>
          <w:r>
            <w:rPr>
              <w:sz w:val="24"/>
              <w:lang w:val="en-US" w:eastAsia="en-CA"/>
            </w:rPr>
            <w:tab/>
          </w:r>
          <w:r>
            <w:rPr/>
            <w:t>Subcontractors.</w:t>
            <w:tab/>
          </w:r>
          <w:hyperlink w:anchor="__RefHeading___Toc496435110">
            <w:r>
              <w:rPr>
                <w:rStyle w:val="IndexLink"/>
              </w:rPr>
              <w:t>14</w:t>
            </w:r>
          </w:hyperlink>
        </w:p>
        <w:p>
          <w:pPr>
            <w:pStyle w:val="TOC2"/>
            <w:rPr>
              <w:sz w:val="24"/>
              <w:lang w:val="en-US" w:eastAsia="en-CA"/>
            </w:rPr>
          </w:pPr>
          <w:r>
            <w:rPr/>
            <w:t>Section 2.3</w:t>
          </w:r>
          <w:r>
            <w:rPr>
              <w:sz w:val="24"/>
              <w:lang w:val="en-US" w:eastAsia="en-CA"/>
            </w:rPr>
            <w:tab/>
          </w:r>
          <w:r>
            <w:rPr/>
            <w:t>Subcontract Provisions.</w:t>
            <w:tab/>
          </w:r>
          <w:hyperlink w:anchor="__RefHeading___Toc496435111">
            <w:r>
              <w:rPr>
                <w:rStyle w:val="IndexLink"/>
              </w:rPr>
              <w:t>14</w:t>
            </w:r>
          </w:hyperlink>
        </w:p>
        <w:p>
          <w:pPr>
            <w:pStyle w:val="TOC2"/>
            <w:rPr>
              <w:sz w:val="24"/>
              <w:lang w:val="en-US" w:eastAsia="en-CA"/>
            </w:rPr>
          </w:pPr>
          <w:r>
            <w:rPr/>
            <w:t>Section 2.4</w:t>
          </w:r>
          <w:r>
            <w:rPr>
              <w:sz w:val="24"/>
              <w:lang w:val="en-US" w:eastAsia="en-CA"/>
            </w:rPr>
            <w:tab/>
          </w:r>
          <w:r>
            <w:rPr/>
            <w:t>Subcontracts and Major Subcontractors.</w:t>
            <w:tab/>
          </w:r>
          <w:hyperlink w:anchor="__RefHeading___Toc496435112">
            <w:r>
              <w:rPr>
                <w:rStyle w:val="IndexLink"/>
              </w:rPr>
              <w:t>14</w:t>
            </w:r>
          </w:hyperlink>
        </w:p>
        <w:p>
          <w:pPr>
            <w:pStyle w:val="TOC1"/>
            <w:rPr/>
          </w:pPr>
          <w:r>
            <w:rPr/>
            <w:t>ARTICLE III</w:t>
            <w:tab/>
          </w:r>
          <w:hyperlink w:anchor="__RefHeading___Toc496435113">
            <w:r>
              <w:rPr>
                <w:rStyle w:val="IndexLink"/>
              </w:rPr>
              <w:t>15</w:t>
            </w:r>
          </w:hyperlink>
        </w:p>
        <w:p>
          <w:pPr>
            <w:pStyle w:val="TOC1"/>
            <w:rPr/>
          </w:pPr>
          <w:r>
            <w:rPr/>
            <w:t>CONTRACTOR’S RESPONSIBILITIES</w:t>
            <w:tab/>
          </w:r>
          <w:hyperlink w:anchor="__RefHeading___Toc496435114">
            <w:r>
              <w:rPr>
                <w:rStyle w:val="IndexLink"/>
              </w:rPr>
              <w:t>15</w:t>
            </w:r>
          </w:hyperlink>
        </w:p>
        <w:p>
          <w:pPr>
            <w:pStyle w:val="TOC2"/>
            <w:rPr>
              <w:sz w:val="24"/>
              <w:lang w:val="en-US" w:eastAsia="en-CA"/>
            </w:rPr>
          </w:pPr>
          <w:r>
            <w:rPr/>
            <w:t>Section 3.1</w:t>
          </w:r>
          <w:r>
            <w:rPr>
              <w:sz w:val="24"/>
              <w:lang w:val="en-US" w:eastAsia="en-CA"/>
            </w:rPr>
            <w:tab/>
          </w:r>
          <w:r>
            <w:rPr/>
            <w:t>Scope of Work.</w:t>
            <w:tab/>
          </w:r>
          <w:hyperlink w:anchor="__RefHeading___Toc496435115">
            <w:r>
              <w:rPr>
                <w:rStyle w:val="IndexLink"/>
              </w:rPr>
              <w:t>15</w:t>
            </w:r>
          </w:hyperlink>
        </w:p>
        <w:p>
          <w:pPr>
            <w:pStyle w:val="TOC2"/>
            <w:rPr>
              <w:sz w:val="24"/>
              <w:lang w:val="en-US" w:eastAsia="en-CA"/>
            </w:rPr>
          </w:pPr>
          <w:r>
            <w:rPr/>
            <w:t>Section 3.2</w:t>
          </w:r>
          <w:r>
            <w:rPr>
              <w:sz w:val="24"/>
              <w:lang w:val="en-US" w:eastAsia="en-CA"/>
            </w:rPr>
            <w:tab/>
          </w:r>
          <w:r>
            <w:rPr/>
            <w:t>Spare Parts; Contractor Scope of Supply.</w:t>
            <w:tab/>
          </w:r>
          <w:hyperlink w:anchor="__RefHeading___Toc496435116">
            <w:r>
              <w:rPr>
                <w:rStyle w:val="IndexLink"/>
              </w:rPr>
              <w:t>17</w:t>
            </w:r>
          </w:hyperlink>
        </w:p>
        <w:p>
          <w:pPr>
            <w:pStyle w:val="TOC2"/>
            <w:rPr>
              <w:sz w:val="24"/>
              <w:lang w:val="en-US" w:eastAsia="en-CA"/>
            </w:rPr>
          </w:pPr>
          <w:r>
            <w:rPr/>
            <w:t>Section 3.3</w:t>
          </w:r>
          <w:r>
            <w:rPr>
              <w:sz w:val="24"/>
              <w:lang w:val="en-US" w:eastAsia="en-CA"/>
            </w:rPr>
            <w:tab/>
          </w:r>
          <w:r>
            <w:rPr/>
            <w:t>Compliance with Drawings and Review of Drawings and Documents.</w:t>
            <w:tab/>
          </w:r>
          <w:hyperlink w:anchor="__RefHeading___Toc496435117">
            <w:r>
              <w:rPr>
                <w:rStyle w:val="IndexLink"/>
              </w:rPr>
              <w:t>18</w:t>
            </w:r>
          </w:hyperlink>
        </w:p>
        <w:p>
          <w:pPr>
            <w:pStyle w:val="TOC2"/>
            <w:rPr>
              <w:sz w:val="24"/>
              <w:lang w:val="en-US" w:eastAsia="en-CA"/>
            </w:rPr>
          </w:pPr>
          <w:r>
            <w:rPr/>
            <w:t>Section 3.4</w:t>
          </w:r>
          <w:r>
            <w:rPr>
              <w:sz w:val="24"/>
              <w:lang w:val="en-US" w:eastAsia="en-CA"/>
            </w:rPr>
            <w:tab/>
          </w:r>
          <w:r>
            <w:rPr/>
            <w:t>Contractor’s Personnel and Labor Relations.</w:t>
            <w:tab/>
          </w:r>
          <w:hyperlink w:anchor="__RefHeading___Toc496435118">
            <w:r>
              <w:rPr>
                <w:rStyle w:val="IndexLink"/>
              </w:rPr>
              <w:t>20</w:t>
            </w:r>
          </w:hyperlink>
        </w:p>
        <w:p>
          <w:pPr>
            <w:pStyle w:val="TOC2"/>
            <w:rPr>
              <w:sz w:val="24"/>
              <w:lang w:val="en-US" w:eastAsia="en-CA"/>
            </w:rPr>
          </w:pPr>
          <w:r>
            <w:rPr/>
            <w:t>Section 3.5</w:t>
          </w:r>
          <w:r>
            <w:rPr>
              <w:sz w:val="24"/>
              <w:lang w:val="en-US" w:eastAsia="en-CA"/>
            </w:rPr>
            <w:tab/>
          </w:r>
          <w:r>
            <w:rPr/>
            <w:t>Governmental Authorization and Contractor Assistance.</w:t>
            <w:tab/>
          </w:r>
          <w:hyperlink w:anchor="__RefHeading___Toc496435119">
            <w:r>
              <w:rPr>
                <w:rStyle w:val="IndexLink"/>
              </w:rPr>
              <w:t>21</w:t>
            </w:r>
          </w:hyperlink>
        </w:p>
        <w:p>
          <w:pPr>
            <w:pStyle w:val="TOC2"/>
            <w:rPr>
              <w:sz w:val="24"/>
              <w:lang w:val="en-US" w:eastAsia="en-CA"/>
            </w:rPr>
          </w:pPr>
          <w:r>
            <w:rPr/>
            <w:t>Section 3.6</w:t>
          </w:r>
          <w:r>
            <w:rPr>
              <w:sz w:val="24"/>
              <w:lang w:val="en-US" w:eastAsia="en-CA"/>
            </w:rPr>
            <w:tab/>
          </w:r>
          <w:r>
            <w:rPr/>
            <w:t>Control of the Work.</w:t>
            <w:tab/>
          </w:r>
          <w:hyperlink w:anchor="__RefHeading___Toc496435120">
            <w:r>
              <w:rPr>
                <w:rStyle w:val="IndexLink"/>
              </w:rPr>
              <w:t>21</w:t>
            </w:r>
          </w:hyperlink>
        </w:p>
        <w:p>
          <w:pPr>
            <w:pStyle w:val="TOC2"/>
            <w:rPr>
              <w:sz w:val="24"/>
              <w:lang w:val="en-US" w:eastAsia="en-CA"/>
            </w:rPr>
          </w:pPr>
          <w:r>
            <w:rPr/>
            <w:t>Section 3.7</w:t>
          </w:r>
          <w:r>
            <w:rPr>
              <w:sz w:val="24"/>
              <w:lang w:val="en-US" w:eastAsia="en-CA"/>
            </w:rPr>
            <w:tab/>
          </w:r>
          <w:r>
            <w:rPr/>
            <w:t>Cleanup.</w:t>
            <w:tab/>
          </w:r>
          <w:hyperlink w:anchor="__RefHeading___Toc496435121">
            <w:r>
              <w:rPr>
                <w:rStyle w:val="IndexLink"/>
              </w:rPr>
              <w:t>21</w:t>
            </w:r>
          </w:hyperlink>
        </w:p>
        <w:p>
          <w:pPr>
            <w:pStyle w:val="TOC2"/>
            <w:rPr>
              <w:sz w:val="24"/>
              <w:lang w:val="en-US" w:eastAsia="en-CA"/>
            </w:rPr>
          </w:pPr>
          <w:r>
            <w:rPr/>
            <w:t>Section 3.8</w:t>
          </w:r>
          <w:r>
            <w:rPr>
              <w:sz w:val="24"/>
              <w:lang w:val="en-US" w:eastAsia="en-CA"/>
            </w:rPr>
            <w:tab/>
          </w:r>
          <w:r>
            <w:rPr/>
            <w:t>Safety and Emergencies.</w:t>
            <w:tab/>
          </w:r>
          <w:hyperlink w:anchor="__RefHeading___Toc496435122">
            <w:r>
              <w:rPr>
                <w:rStyle w:val="IndexLink"/>
              </w:rPr>
              <w:t>22</w:t>
            </w:r>
          </w:hyperlink>
        </w:p>
        <w:p>
          <w:pPr>
            <w:pStyle w:val="TOC2"/>
            <w:rPr>
              <w:sz w:val="24"/>
              <w:lang w:val="en-US" w:eastAsia="en-CA"/>
            </w:rPr>
          </w:pPr>
          <w:r>
            <w:rPr/>
            <w:t>Section 3.9</w:t>
          </w:r>
          <w:r>
            <w:rPr>
              <w:sz w:val="24"/>
              <w:lang w:val="en-US" w:eastAsia="en-CA"/>
            </w:rPr>
            <w:tab/>
          </w:r>
          <w:r>
            <w:rPr/>
            <w:t>Financing Assistance.</w:t>
            <w:tab/>
          </w:r>
          <w:hyperlink w:anchor="__RefHeading___Toc496435123">
            <w:r>
              <w:rPr>
                <w:rStyle w:val="IndexLink"/>
              </w:rPr>
              <w:t>22</w:t>
            </w:r>
          </w:hyperlink>
        </w:p>
        <w:p>
          <w:pPr>
            <w:pStyle w:val="TOC2"/>
            <w:rPr>
              <w:sz w:val="24"/>
              <w:lang w:val="en-US" w:eastAsia="en-CA"/>
            </w:rPr>
          </w:pPr>
          <w:r>
            <w:rPr/>
            <w:t>Section 3.10</w:t>
          </w:r>
          <w:r>
            <w:rPr>
              <w:sz w:val="24"/>
              <w:lang w:val="en-US" w:eastAsia="en-CA"/>
            </w:rPr>
            <w:tab/>
          </w:r>
          <w:r>
            <w:rPr/>
            <w:t>Compliance with Applicable Laws.</w:t>
            <w:tab/>
          </w:r>
          <w:hyperlink w:anchor="__RefHeading___Toc496435124">
            <w:r>
              <w:rPr>
                <w:rStyle w:val="IndexLink"/>
              </w:rPr>
              <w:t>22</w:t>
            </w:r>
          </w:hyperlink>
        </w:p>
        <w:p>
          <w:pPr>
            <w:pStyle w:val="TOC2"/>
            <w:rPr>
              <w:sz w:val="24"/>
              <w:lang w:val="en-US" w:eastAsia="en-CA"/>
            </w:rPr>
          </w:pPr>
          <w:r>
            <w:rPr/>
            <w:t>Section 3.11</w:t>
          </w:r>
          <w:r>
            <w:rPr>
              <w:sz w:val="24"/>
              <w:lang w:val="en-US" w:eastAsia="en-CA"/>
            </w:rPr>
            <w:tab/>
          </w:r>
          <w:r>
            <w:rPr/>
            <w:t>Books and Records.</w:t>
            <w:tab/>
          </w:r>
          <w:hyperlink w:anchor="__RefHeading___Toc496435125">
            <w:r>
              <w:rPr>
                <w:rStyle w:val="IndexLink"/>
              </w:rPr>
              <w:t>23</w:t>
            </w:r>
          </w:hyperlink>
        </w:p>
        <w:p>
          <w:pPr>
            <w:pStyle w:val="TOC2"/>
            <w:rPr>
              <w:sz w:val="24"/>
              <w:lang w:val="en-US" w:eastAsia="en-CA"/>
            </w:rPr>
          </w:pPr>
          <w:r>
            <w:rPr/>
            <w:t>Section 3.12</w:t>
          </w:r>
          <w:r>
            <w:rPr>
              <w:sz w:val="24"/>
              <w:lang w:val="en-US" w:eastAsia="en-CA"/>
            </w:rPr>
            <w:tab/>
          </w:r>
          <w:r>
            <w:rPr/>
            <w:t>Taxes and Fees.</w:t>
            <w:tab/>
          </w:r>
          <w:hyperlink w:anchor="__RefHeading___Toc496435126">
            <w:r>
              <w:rPr>
                <w:rStyle w:val="IndexLink"/>
              </w:rPr>
              <w:t>23</w:t>
            </w:r>
          </w:hyperlink>
        </w:p>
        <w:p>
          <w:pPr>
            <w:pStyle w:val="TOC2"/>
            <w:rPr>
              <w:sz w:val="24"/>
              <w:lang w:val="en-US" w:eastAsia="en-CA"/>
            </w:rPr>
          </w:pPr>
          <w:r>
            <w:rPr/>
            <w:t>Section 3.13</w:t>
          </w:r>
          <w:r>
            <w:rPr>
              <w:sz w:val="24"/>
              <w:lang w:val="en-US" w:eastAsia="en-CA"/>
            </w:rPr>
            <w:tab/>
          </w:r>
          <w:r>
            <w:rPr/>
            <w:t>Access and Inspections; Correction of Defects.</w:t>
            <w:tab/>
          </w:r>
          <w:hyperlink w:anchor="__RefHeading___Toc496435127">
            <w:r>
              <w:rPr>
                <w:rStyle w:val="IndexLink"/>
              </w:rPr>
              <w:t>24</w:t>
            </w:r>
          </w:hyperlink>
        </w:p>
        <w:p>
          <w:pPr>
            <w:pStyle w:val="TOC2"/>
            <w:rPr>
              <w:sz w:val="24"/>
              <w:lang w:val="en-US" w:eastAsia="en-CA"/>
            </w:rPr>
          </w:pPr>
          <w:r>
            <w:rPr/>
            <w:t>Section 3.14</w:t>
          </w:r>
          <w:r>
            <w:rPr>
              <w:sz w:val="24"/>
              <w:lang w:val="en-US" w:eastAsia="en-CA"/>
            </w:rPr>
            <w:tab/>
          </w:r>
          <w:r>
            <w:rPr/>
            <w:t>Security of the Site; Storage and Related Matters.</w:t>
            <w:tab/>
          </w:r>
          <w:hyperlink w:anchor="__RefHeading___Toc496435128">
            <w:r>
              <w:rPr>
                <w:rStyle w:val="IndexLink"/>
              </w:rPr>
              <w:t>25</w:t>
            </w:r>
          </w:hyperlink>
        </w:p>
        <w:p>
          <w:pPr>
            <w:pStyle w:val="TOC2"/>
            <w:rPr>
              <w:sz w:val="24"/>
              <w:lang w:val="en-US" w:eastAsia="en-CA"/>
            </w:rPr>
          </w:pPr>
          <w:r>
            <w:rPr/>
            <w:t>Section 3.15</w:t>
          </w:r>
          <w:r>
            <w:rPr>
              <w:sz w:val="24"/>
              <w:lang w:val="en-US" w:eastAsia="en-CA"/>
            </w:rPr>
            <w:tab/>
          </w:r>
          <w:r>
            <w:rPr/>
            <w:t>Out of Scope Construction; Cooperation.</w:t>
            <w:tab/>
          </w:r>
          <w:hyperlink w:anchor="__RefHeading___Toc496435129">
            <w:r>
              <w:rPr>
                <w:rStyle w:val="IndexLink"/>
              </w:rPr>
              <w:t>25</w:t>
            </w:r>
          </w:hyperlink>
        </w:p>
        <w:p>
          <w:pPr>
            <w:pStyle w:val="TOC2"/>
            <w:rPr>
              <w:sz w:val="24"/>
              <w:lang w:val="en-US" w:eastAsia="en-CA"/>
            </w:rPr>
          </w:pPr>
          <w:r>
            <w:rPr/>
            <w:t>Section 3.16</w:t>
          </w:r>
          <w:r>
            <w:rPr>
              <w:sz w:val="24"/>
              <w:lang w:val="en-US" w:eastAsia="en-CA"/>
            </w:rPr>
            <w:tab/>
          </w:r>
          <w:r>
            <w:rPr/>
            <w:t>Contractor Liens; Subcontractor Liens.</w:t>
            <w:tab/>
          </w:r>
          <w:hyperlink w:anchor="__RefHeading___Toc496435130">
            <w:r>
              <w:rPr>
                <w:rStyle w:val="IndexLink"/>
              </w:rPr>
              <w:t>25</w:t>
            </w:r>
          </w:hyperlink>
        </w:p>
        <w:p>
          <w:pPr>
            <w:pStyle w:val="TOC2"/>
            <w:rPr>
              <w:sz w:val="24"/>
              <w:lang w:val="en-US" w:eastAsia="en-CA"/>
            </w:rPr>
          </w:pPr>
          <w:r>
            <w:rPr/>
            <w:t>Section 3.17</w:t>
          </w:r>
          <w:r>
            <w:rPr>
              <w:sz w:val="24"/>
              <w:lang w:val="en-US" w:eastAsia="en-CA"/>
            </w:rPr>
            <w:tab/>
          </w:r>
          <w:r>
            <w:rPr/>
            <w:t>Hazardous Substances, Archaeological Discoveries and Ground Risk.</w:t>
            <w:tab/>
          </w:r>
          <w:hyperlink w:anchor="__RefHeading___Toc496435131">
            <w:r>
              <w:rPr>
                <w:rStyle w:val="IndexLink"/>
              </w:rPr>
              <w:t>26</w:t>
            </w:r>
          </w:hyperlink>
        </w:p>
        <w:p>
          <w:pPr>
            <w:pStyle w:val="TOC2"/>
            <w:rPr>
              <w:sz w:val="24"/>
              <w:lang w:val="en-US" w:eastAsia="en-CA"/>
            </w:rPr>
          </w:pPr>
          <w:r>
            <w:rPr/>
            <w:t>Section 3.18</w:t>
          </w:r>
          <w:r>
            <w:rPr>
              <w:sz w:val="24"/>
              <w:lang w:val="en-US" w:eastAsia="en-CA"/>
            </w:rPr>
            <w:tab/>
          </w:r>
          <w:r>
            <w:rPr/>
            <w:t>PPA Requirements.</w:t>
            <w:tab/>
          </w:r>
          <w:hyperlink w:anchor="__RefHeading___Toc496435132">
            <w:r>
              <w:rPr>
                <w:rStyle w:val="IndexLink"/>
              </w:rPr>
              <w:t>27</w:t>
            </w:r>
          </w:hyperlink>
        </w:p>
        <w:p>
          <w:pPr>
            <w:pStyle w:val="TOC2"/>
            <w:rPr>
              <w:sz w:val="24"/>
              <w:lang w:val="en-US" w:eastAsia="en-CA"/>
            </w:rPr>
          </w:pPr>
          <w:r>
            <w:rPr/>
            <w:t>Section 3.19</w:t>
          </w:r>
          <w:r>
            <w:rPr>
              <w:sz w:val="24"/>
              <w:lang w:val="en-US" w:eastAsia="en-CA"/>
            </w:rPr>
            <w:tab/>
          </w:r>
          <w:r>
            <w:rPr/>
            <w:t>Notice Obligation.</w:t>
            <w:tab/>
          </w:r>
          <w:hyperlink w:anchor="__RefHeading___Toc496435133">
            <w:r>
              <w:rPr>
                <w:rStyle w:val="IndexLink"/>
              </w:rPr>
              <w:t>27</w:t>
            </w:r>
          </w:hyperlink>
        </w:p>
        <w:p>
          <w:pPr>
            <w:pStyle w:val="TOC2"/>
            <w:rPr>
              <w:sz w:val="24"/>
              <w:lang w:val="en-US" w:eastAsia="en-CA"/>
            </w:rPr>
          </w:pPr>
          <w:r>
            <w:rPr/>
            <w:t>Section 3.20</w:t>
          </w:r>
          <w:r>
            <w:rPr>
              <w:sz w:val="24"/>
              <w:lang w:val="en-US" w:eastAsia="en-CA"/>
            </w:rPr>
            <w:tab/>
          </w:r>
          <w:r>
            <w:rPr/>
            <w:t>Traffic and Special Loads.</w:t>
            <w:tab/>
          </w:r>
          <w:hyperlink w:anchor="__RefHeading___Toc496435134">
            <w:r>
              <w:rPr>
                <w:rStyle w:val="IndexLink"/>
              </w:rPr>
              <w:t>27</w:t>
            </w:r>
          </w:hyperlink>
        </w:p>
        <w:p>
          <w:pPr>
            <w:pStyle w:val="TOC2"/>
            <w:rPr>
              <w:sz w:val="24"/>
              <w:lang w:val="en-US" w:eastAsia="en-CA"/>
            </w:rPr>
          </w:pPr>
          <w:r>
            <w:rPr/>
            <w:t>Section 3.21</w:t>
          </w:r>
          <w:r>
            <w:rPr>
              <w:sz w:val="24"/>
              <w:lang w:val="en-US" w:eastAsia="en-CA"/>
            </w:rPr>
            <w:tab/>
          </w:r>
          <w:r>
            <w:rPr/>
            <w:t>Waterborne Traffic.</w:t>
            <w:tab/>
          </w:r>
          <w:hyperlink w:anchor="__RefHeading___Toc496435135">
            <w:r>
              <w:rPr>
                <w:rStyle w:val="IndexLink"/>
              </w:rPr>
              <w:t>27</w:t>
            </w:r>
          </w:hyperlink>
        </w:p>
        <w:p>
          <w:pPr>
            <w:pStyle w:val="TOC2"/>
            <w:rPr>
              <w:sz w:val="24"/>
              <w:lang w:val="en-US" w:eastAsia="en-CA"/>
            </w:rPr>
          </w:pPr>
          <w:r>
            <w:rPr/>
            <w:t>Section 3.22</w:t>
          </w:r>
          <w:r>
            <w:rPr>
              <w:sz w:val="24"/>
              <w:lang w:val="en-US" w:eastAsia="en-CA"/>
            </w:rPr>
            <w:tab/>
          </w:r>
          <w:r>
            <w:rPr>
              <w:color w:val="000000"/>
            </w:rPr>
            <w:t>Cooperation.</w:t>
          </w:r>
          <w:r>
            <w:rPr/>
            <w:tab/>
          </w:r>
          <w:hyperlink w:anchor="__RefHeading___Toc496435136">
            <w:r>
              <w:rPr>
                <w:rStyle w:val="IndexLink"/>
              </w:rPr>
              <w:t>28</w:t>
            </w:r>
          </w:hyperlink>
        </w:p>
        <w:p>
          <w:pPr>
            <w:pStyle w:val="TOC2"/>
            <w:rPr>
              <w:sz w:val="24"/>
              <w:lang w:val="en-US" w:eastAsia="en-CA"/>
            </w:rPr>
          </w:pPr>
          <w:r>
            <w:rPr/>
            <w:t>Section 3.23</w:t>
          </w:r>
          <w:r>
            <w:rPr>
              <w:sz w:val="24"/>
              <w:lang w:val="en-US" w:eastAsia="en-CA"/>
            </w:rPr>
            <w:tab/>
          </w:r>
          <w:r>
            <w:rPr/>
            <w:t>Procurement of Equipment; Local Content.</w:t>
            <w:tab/>
          </w:r>
          <w:hyperlink w:anchor="__RefHeading___Toc496435137">
            <w:r>
              <w:rPr>
                <w:rStyle w:val="IndexLink"/>
              </w:rPr>
              <w:t>28</w:t>
            </w:r>
          </w:hyperlink>
        </w:p>
        <w:p>
          <w:pPr>
            <w:pStyle w:val="TOC2"/>
            <w:rPr>
              <w:sz w:val="24"/>
              <w:lang w:val="en-US" w:eastAsia="en-CA"/>
            </w:rPr>
          </w:pPr>
          <w:r>
            <w:rPr/>
            <w:t>Section 3.24</w:t>
          </w:r>
          <w:r>
            <w:rPr>
              <w:sz w:val="24"/>
              <w:lang w:val="en-US" w:eastAsia="en-CA"/>
            </w:rPr>
            <w:tab/>
          </w:r>
          <w:r>
            <w:rPr/>
            <w:t>Grid Access.</w:t>
            <w:tab/>
          </w:r>
          <w:hyperlink w:anchor="__RefHeading___Toc496435138">
            <w:r>
              <w:rPr>
                <w:rStyle w:val="IndexLink"/>
              </w:rPr>
              <w:t>28</w:t>
            </w:r>
          </w:hyperlink>
        </w:p>
        <w:p>
          <w:pPr>
            <w:pStyle w:val="TOC1"/>
            <w:rPr/>
          </w:pPr>
          <w:r>
            <w:rPr/>
            <w:t>ARTICLE IV</w:t>
            <w:tab/>
          </w:r>
          <w:hyperlink w:anchor="__RefHeading___Toc496435139">
            <w:r>
              <w:rPr>
                <w:rStyle w:val="IndexLink"/>
              </w:rPr>
              <w:t>29</w:t>
            </w:r>
          </w:hyperlink>
        </w:p>
        <w:p>
          <w:pPr>
            <w:pStyle w:val="TOC1"/>
            <w:rPr/>
          </w:pPr>
          <w:r>
            <w:rPr/>
            <w:t>CONSTRUCTION AGENT'S AND OWNER’S RESPONSIBILITIES</w:t>
            <w:tab/>
          </w:r>
          <w:hyperlink w:anchor="__RefHeading___Toc496435140">
            <w:r>
              <w:rPr>
                <w:rStyle w:val="IndexLink"/>
              </w:rPr>
              <w:t>29</w:t>
            </w:r>
          </w:hyperlink>
        </w:p>
        <w:p>
          <w:pPr>
            <w:pStyle w:val="TOC2"/>
            <w:rPr>
              <w:sz w:val="24"/>
              <w:lang w:val="en-US" w:eastAsia="en-CA"/>
            </w:rPr>
          </w:pPr>
          <w:r>
            <w:rPr/>
            <w:t>Section 4.1</w:t>
          </w:r>
          <w:r>
            <w:rPr>
              <w:sz w:val="24"/>
              <w:lang w:val="en-US" w:eastAsia="en-CA"/>
            </w:rPr>
            <w:tab/>
          </w:r>
          <w:r>
            <w:rPr/>
            <w:t>Construction Agent Assistance to Contractor.</w:t>
            <w:tab/>
          </w:r>
          <w:hyperlink w:anchor="__RefHeading___Toc496435141">
            <w:r>
              <w:rPr>
                <w:rStyle w:val="IndexLink"/>
              </w:rPr>
              <w:t>29</w:t>
            </w:r>
          </w:hyperlink>
        </w:p>
        <w:p>
          <w:pPr>
            <w:pStyle w:val="TOC2"/>
            <w:rPr>
              <w:sz w:val="24"/>
              <w:lang w:val="en-US" w:eastAsia="en-CA"/>
            </w:rPr>
          </w:pPr>
          <w:r>
            <w:rPr/>
            <w:t>Section 4.2</w:t>
          </w:r>
          <w:r>
            <w:rPr>
              <w:sz w:val="24"/>
              <w:lang w:val="en-US" w:eastAsia="en-CA"/>
            </w:rPr>
            <w:tab/>
          </w:r>
          <w:r>
            <w:rPr/>
            <w:t>Construction Agent’s Services.</w:t>
            <w:tab/>
          </w:r>
          <w:hyperlink w:anchor="__RefHeading___Toc496435142">
            <w:r>
              <w:rPr>
                <w:rStyle w:val="IndexLink"/>
              </w:rPr>
              <w:t>29</w:t>
            </w:r>
          </w:hyperlink>
        </w:p>
        <w:p>
          <w:pPr>
            <w:pStyle w:val="TOC2"/>
            <w:rPr>
              <w:sz w:val="24"/>
              <w:lang w:val="en-US" w:eastAsia="en-CA"/>
            </w:rPr>
          </w:pPr>
          <w:r>
            <w:rPr/>
            <w:t>Section 4.3</w:t>
          </w:r>
          <w:r>
            <w:rPr>
              <w:sz w:val="24"/>
              <w:lang w:val="en-US" w:eastAsia="en-CA"/>
            </w:rPr>
            <w:tab/>
          </w:r>
          <w:r>
            <w:rPr/>
            <w:t>Payment.</w:t>
            <w:tab/>
          </w:r>
          <w:hyperlink w:anchor="__RefHeading___Toc496435143">
            <w:r>
              <w:rPr>
                <w:rStyle w:val="IndexLink"/>
              </w:rPr>
              <w:t>29</w:t>
            </w:r>
          </w:hyperlink>
        </w:p>
        <w:p>
          <w:pPr>
            <w:pStyle w:val="TOC2"/>
            <w:rPr>
              <w:sz w:val="24"/>
              <w:lang w:val="en-US" w:eastAsia="en-CA"/>
            </w:rPr>
          </w:pPr>
          <w:r>
            <w:rPr/>
            <w:t>Section 4.4</w:t>
          </w:r>
          <w:r>
            <w:rPr>
              <w:sz w:val="24"/>
              <w:lang w:val="en-US" w:eastAsia="en-CA"/>
            </w:rPr>
            <w:tab/>
          </w:r>
          <w:r>
            <w:rPr/>
            <w:t>Access to Site; Rights of Way.</w:t>
            <w:tab/>
          </w:r>
          <w:hyperlink w:anchor="__RefHeading___Toc496435144">
            <w:r>
              <w:rPr>
                <w:rStyle w:val="IndexLink"/>
              </w:rPr>
              <w:t>29</w:t>
            </w:r>
          </w:hyperlink>
        </w:p>
        <w:p>
          <w:pPr>
            <w:pStyle w:val="TOC2"/>
            <w:rPr>
              <w:sz w:val="24"/>
              <w:lang w:val="en-US" w:eastAsia="en-CA"/>
            </w:rPr>
          </w:pPr>
          <w:r>
            <w:rPr/>
            <w:t>Section 4.5</w:t>
          </w:r>
          <w:r>
            <w:rPr>
              <w:sz w:val="24"/>
              <w:lang w:val="en-US" w:eastAsia="en-CA"/>
            </w:rPr>
            <w:tab/>
          </w:r>
          <w:r>
            <w:rPr/>
            <w:t>Importation of Equipment.</w:t>
            <w:tab/>
          </w:r>
          <w:hyperlink w:anchor="__RefHeading___Toc496435145">
            <w:r>
              <w:rPr>
                <w:rStyle w:val="IndexLink"/>
              </w:rPr>
              <w:t>30</w:t>
            </w:r>
          </w:hyperlink>
        </w:p>
        <w:p>
          <w:pPr>
            <w:pStyle w:val="TOC2"/>
            <w:rPr>
              <w:sz w:val="24"/>
              <w:lang w:val="en-US" w:eastAsia="en-CA"/>
            </w:rPr>
          </w:pPr>
          <w:r>
            <w:rPr/>
            <w:t>Section 4.6</w:t>
          </w:r>
          <w:r>
            <w:rPr>
              <w:sz w:val="24"/>
              <w:lang w:val="en-US" w:eastAsia="en-CA"/>
            </w:rPr>
            <w:tab/>
          </w:r>
          <w:r>
            <w:rPr/>
            <w:t>Governmental Authorizations.</w:t>
            <w:tab/>
          </w:r>
          <w:hyperlink w:anchor="__RefHeading___Toc496435146">
            <w:r>
              <w:rPr>
                <w:rStyle w:val="IndexLink"/>
              </w:rPr>
              <w:t>30</w:t>
            </w:r>
          </w:hyperlink>
        </w:p>
        <w:p>
          <w:pPr>
            <w:pStyle w:val="TOC2"/>
            <w:rPr>
              <w:sz w:val="24"/>
              <w:lang w:val="en-US" w:eastAsia="en-CA"/>
            </w:rPr>
          </w:pPr>
          <w:r>
            <w:rPr/>
            <w:t>Section 4.7</w:t>
          </w:r>
          <w:r>
            <w:rPr>
              <w:sz w:val="24"/>
              <w:lang w:val="en-US" w:eastAsia="en-CA"/>
            </w:rPr>
            <w:tab/>
          </w:r>
          <w:r>
            <w:rPr/>
            <w:t>Operating Personnel.</w:t>
            <w:tab/>
          </w:r>
          <w:hyperlink w:anchor="__RefHeading___Toc496435147">
            <w:r>
              <w:rPr>
                <w:rStyle w:val="IndexLink"/>
              </w:rPr>
              <w:t>30</w:t>
            </w:r>
          </w:hyperlink>
        </w:p>
        <w:p>
          <w:pPr>
            <w:pStyle w:val="TOC2"/>
            <w:rPr>
              <w:sz w:val="24"/>
              <w:lang w:val="en-US" w:eastAsia="en-CA"/>
            </w:rPr>
          </w:pPr>
          <w:r>
            <w:rPr/>
            <w:t>Section 4.8</w:t>
          </w:r>
          <w:r>
            <w:rPr>
              <w:sz w:val="24"/>
              <w:lang w:val="en-US" w:eastAsia="en-CA"/>
            </w:rPr>
            <w:tab/>
          </w:r>
          <w:r>
            <w:rPr/>
            <w:t>Coordination with ECE.</w:t>
            <w:tab/>
          </w:r>
          <w:hyperlink w:anchor="__RefHeading___Toc496435148">
            <w:r>
              <w:rPr>
                <w:rStyle w:val="IndexLink"/>
              </w:rPr>
              <w:t>31</w:t>
            </w:r>
          </w:hyperlink>
        </w:p>
        <w:p>
          <w:pPr>
            <w:pStyle w:val="TOC2"/>
            <w:rPr>
              <w:sz w:val="24"/>
              <w:lang w:val="en-US" w:eastAsia="en-CA"/>
            </w:rPr>
          </w:pPr>
          <w:r>
            <w:rPr/>
            <w:t>Section 4.9</w:t>
          </w:r>
          <w:r>
            <w:rPr>
              <w:sz w:val="24"/>
              <w:lang w:val="en-US" w:eastAsia="en-CA"/>
            </w:rPr>
            <w:tab/>
          </w:r>
          <w:r>
            <w:rPr/>
            <w:t>Construction Agent’s Representative.</w:t>
            <w:tab/>
          </w:r>
          <w:hyperlink w:anchor="__RefHeading___Toc496435149">
            <w:r>
              <w:rPr>
                <w:rStyle w:val="IndexLink"/>
              </w:rPr>
              <w:t>31</w:t>
            </w:r>
          </w:hyperlink>
        </w:p>
        <w:p>
          <w:pPr>
            <w:pStyle w:val="TOC2"/>
            <w:rPr>
              <w:sz w:val="24"/>
              <w:lang w:val="en-US" w:eastAsia="en-CA"/>
            </w:rPr>
          </w:pPr>
          <w:r>
            <w:rPr/>
            <w:t>Section 4.10</w:t>
          </w:r>
          <w:r>
            <w:rPr>
              <w:sz w:val="24"/>
              <w:lang w:val="en-US" w:eastAsia="en-CA"/>
            </w:rPr>
            <w:tab/>
          </w:r>
          <w:r>
            <w:rPr/>
            <w:t>Construction Agent Delay.</w:t>
            <w:tab/>
          </w:r>
          <w:hyperlink w:anchor="__RefHeading___Toc496435150">
            <w:r>
              <w:rPr>
                <w:rStyle w:val="IndexLink"/>
              </w:rPr>
              <w:t>31</w:t>
            </w:r>
          </w:hyperlink>
        </w:p>
        <w:p>
          <w:pPr>
            <w:pStyle w:val="TOC2"/>
            <w:rPr>
              <w:sz w:val="24"/>
              <w:lang w:val="en-US" w:eastAsia="en-CA"/>
            </w:rPr>
          </w:pPr>
          <w:r>
            <w:rPr/>
            <w:t>Section 4.11</w:t>
          </w:r>
          <w:r>
            <w:rPr>
              <w:sz w:val="24"/>
              <w:lang w:val="en-US" w:eastAsia="en-CA"/>
            </w:rPr>
            <w:tab/>
          </w:r>
          <w:r>
            <w:rPr/>
            <w:t>Compliance with Laws.</w:t>
            <w:tab/>
          </w:r>
          <w:hyperlink w:anchor="__RefHeading___Toc496435151">
            <w:r>
              <w:rPr>
                <w:rStyle w:val="IndexLink"/>
              </w:rPr>
              <w:t>31</w:t>
            </w:r>
          </w:hyperlink>
        </w:p>
        <w:p>
          <w:pPr>
            <w:pStyle w:val="TOC2"/>
            <w:rPr>
              <w:sz w:val="24"/>
              <w:lang w:val="en-US" w:eastAsia="en-CA"/>
            </w:rPr>
          </w:pPr>
          <w:r>
            <w:rPr/>
            <w:t>Section 4.12</w:t>
          </w:r>
          <w:r>
            <w:rPr>
              <w:sz w:val="24"/>
              <w:lang w:val="en-US" w:eastAsia="en-CA"/>
            </w:rPr>
            <w:tab/>
          </w:r>
          <w:r>
            <w:rPr/>
            <w:t>Taxes and Duties.</w:t>
            <w:tab/>
          </w:r>
          <w:hyperlink w:anchor="__RefHeading___Toc496435152">
            <w:r>
              <w:rPr>
                <w:rStyle w:val="IndexLink"/>
              </w:rPr>
              <w:t>32</w:t>
            </w:r>
          </w:hyperlink>
        </w:p>
        <w:p>
          <w:pPr>
            <w:pStyle w:val="TOC2"/>
            <w:rPr>
              <w:sz w:val="24"/>
              <w:lang w:val="en-US" w:eastAsia="en-CA"/>
            </w:rPr>
          </w:pPr>
          <w:r>
            <w:rPr/>
            <w:t>Section 4.14</w:t>
          </w:r>
          <w:r>
            <w:rPr>
              <w:sz w:val="24"/>
              <w:lang w:val="en-US" w:eastAsia="en-CA"/>
            </w:rPr>
            <w:tab/>
          </w:r>
          <w:r>
            <w:rPr/>
            <w:t>Notice Obligation.</w:t>
            <w:tab/>
          </w:r>
          <w:hyperlink w:anchor="__RefHeading___Toc496435153">
            <w:r>
              <w:rPr>
                <w:rStyle w:val="IndexLink"/>
              </w:rPr>
              <w:t>32</w:t>
            </w:r>
          </w:hyperlink>
        </w:p>
        <w:p>
          <w:pPr>
            <w:pStyle w:val="TOC2"/>
            <w:rPr>
              <w:sz w:val="24"/>
              <w:lang w:val="en-US" w:eastAsia="en-CA"/>
            </w:rPr>
          </w:pPr>
          <w:r>
            <w:rPr/>
            <w:t>Section 4.15</w:t>
          </w:r>
          <w:r>
            <w:rPr>
              <w:sz w:val="24"/>
              <w:lang w:val="en-US" w:eastAsia="en-CA"/>
            </w:rPr>
            <w:tab/>
          </w:r>
          <w:r>
            <w:rPr/>
            <w:t>Books and Records.</w:t>
            <w:tab/>
          </w:r>
          <w:hyperlink w:anchor="__RefHeading___Toc496435154">
            <w:r>
              <w:rPr>
                <w:rStyle w:val="IndexLink"/>
              </w:rPr>
              <w:t>32</w:t>
            </w:r>
          </w:hyperlink>
        </w:p>
        <w:p>
          <w:pPr>
            <w:pStyle w:val="TOC1"/>
            <w:rPr/>
          </w:pPr>
          <w:r>
            <w:rPr/>
            <w:t>ARTICLE V</w:t>
            <w:tab/>
          </w:r>
          <w:hyperlink w:anchor="__RefHeading___Toc496435155">
            <w:r>
              <w:rPr>
                <w:rStyle w:val="IndexLink"/>
              </w:rPr>
              <w:t>32</w:t>
            </w:r>
          </w:hyperlink>
        </w:p>
        <w:p>
          <w:pPr>
            <w:pStyle w:val="TOC1"/>
            <w:rPr/>
          </w:pPr>
          <w:r>
            <w:rPr/>
            <w:t>COMMENCEMENT OF WORK</w:t>
            <w:tab/>
          </w:r>
          <w:hyperlink w:anchor="__RefHeading___Toc496435156">
            <w:r>
              <w:rPr>
                <w:rStyle w:val="IndexLink"/>
              </w:rPr>
              <w:t>32</w:t>
            </w:r>
          </w:hyperlink>
        </w:p>
        <w:p>
          <w:pPr>
            <w:pStyle w:val="TOC2"/>
            <w:rPr>
              <w:sz w:val="24"/>
              <w:lang w:val="en-US" w:eastAsia="en-CA"/>
            </w:rPr>
          </w:pPr>
          <w:r>
            <w:rPr/>
            <w:t>Section 5.1</w:t>
          </w:r>
          <w:r>
            <w:rPr>
              <w:sz w:val="24"/>
              <w:lang w:val="en-US" w:eastAsia="en-CA"/>
            </w:rPr>
            <w:tab/>
          </w:r>
          <w:r>
            <w:rPr/>
            <w:t>Preliminary Work.</w:t>
            <w:tab/>
          </w:r>
          <w:hyperlink w:anchor="__RefHeading___Toc496435157">
            <w:r>
              <w:rPr>
                <w:rStyle w:val="IndexLink"/>
              </w:rPr>
              <w:t>32</w:t>
            </w:r>
          </w:hyperlink>
        </w:p>
        <w:p>
          <w:pPr>
            <w:pStyle w:val="TOC2"/>
            <w:rPr>
              <w:sz w:val="24"/>
              <w:lang w:val="en-US" w:eastAsia="en-CA"/>
            </w:rPr>
          </w:pPr>
          <w:r>
            <w:rPr/>
            <w:t>Section 5.2</w:t>
          </w:r>
          <w:r>
            <w:rPr>
              <w:sz w:val="24"/>
              <w:lang w:val="en-US" w:eastAsia="en-CA"/>
            </w:rPr>
            <w:tab/>
          </w:r>
          <w:r>
            <w:rPr/>
            <w:t>Notice to Proceed.</w:t>
            <w:tab/>
          </w:r>
          <w:hyperlink w:anchor="__RefHeading___Toc496435158">
            <w:r>
              <w:rPr>
                <w:rStyle w:val="IndexLink"/>
              </w:rPr>
              <w:t>33</w:t>
            </w:r>
          </w:hyperlink>
        </w:p>
        <w:p>
          <w:pPr>
            <w:pStyle w:val="TOC2"/>
            <w:rPr>
              <w:sz w:val="24"/>
              <w:lang w:val="en-US" w:eastAsia="en-CA"/>
            </w:rPr>
          </w:pPr>
          <w:r>
            <w:rPr/>
            <w:t>Section 5.3</w:t>
          </w:r>
          <w:r>
            <w:rPr>
              <w:sz w:val="24"/>
              <w:lang w:val="en-US" w:eastAsia="en-CA"/>
            </w:rPr>
            <w:tab/>
          </w:r>
          <w:r>
            <w:rPr/>
            <w:t>Project Schedule.</w:t>
            <w:tab/>
          </w:r>
          <w:hyperlink w:anchor="__RefHeading___Toc496435159">
            <w:r>
              <w:rPr>
                <w:rStyle w:val="IndexLink"/>
              </w:rPr>
              <w:t>34</w:t>
            </w:r>
          </w:hyperlink>
        </w:p>
        <w:p>
          <w:pPr>
            <w:pStyle w:val="TOC2"/>
            <w:rPr>
              <w:sz w:val="24"/>
              <w:lang w:val="en-US" w:eastAsia="en-CA"/>
            </w:rPr>
          </w:pPr>
          <w:r>
            <w:rPr/>
            <w:t>Section 5.4</w:t>
          </w:r>
          <w:r>
            <w:rPr>
              <w:sz w:val="24"/>
              <w:lang w:val="en-US" w:eastAsia="en-CA"/>
            </w:rPr>
            <w:tab/>
          </w:r>
          <w:r>
            <w:rPr/>
            <w:t>Progress Reports and Consultation.</w:t>
            <w:tab/>
          </w:r>
          <w:hyperlink w:anchor="__RefHeading___Toc496435160">
            <w:r>
              <w:rPr>
                <w:rStyle w:val="IndexLink"/>
              </w:rPr>
              <w:t>35</w:t>
            </w:r>
          </w:hyperlink>
        </w:p>
        <w:p>
          <w:pPr>
            <w:pStyle w:val="TOC1"/>
            <w:rPr/>
          </w:pPr>
          <w:r>
            <w:rPr/>
            <w:t>ARTICLE VI</w:t>
            <w:tab/>
          </w:r>
          <w:hyperlink w:anchor="__RefHeading___Toc496435161">
            <w:r>
              <w:rPr>
                <w:rStyle w:val="IndexLink"/>
              </w:rPr>
              <w:t>35</w:t>
            </w:r>
          </w:hyperlink>
        </w:p>
        <w:p>
          <w:pPr>
            <w:pStyle w:val="TOC1"/>
            <w:rPr/>
          </w:pPr>
          <w:r>
            <w:rPr/>
            <w:t>CHANGES AND CHANGE ORDERS</w:t>
            <w:tab/>
          </w:r>
          <w:hyperlink w:anchor="__RefHeading___Toc496435162">
            <w:r>
              <w:rPr>
                <w:rStyle w:val="IndexLink"/>
              </w:rPr>
              <w:t>35</w:t>
            </w:r>
          </w:hyperlink>
        </w:p>
        <w:p>
          <w:pPr>
            <w:pStyle w:val="TOC2"/>
            <w:rPr>
              <w:sz w:val="24"/>
              <w:lang w:val="en-US" w:eastAsia="en-CA"/>
            </w:rPr>
          </w:pPr>
          <w:r>
            <w:rPr/>
            <w:t>Section 6.1</w:t>
          </w:r>
          <w:r>
            <w:rPr>
              <w:sz w:val="24"/>
              <w:lang w:val="en-US" w:eastAsia="en-CA"/>
            </w:rPr>
            <w:tab/>
          </w:r>
          <w:r>
            <w:rPr/>
            <w:t>Changes.</w:t>
            <w:tab/>
          </w:r>
          <w:hyperlink w:anchor="__RefHeading___Toc496435163">
            <w:r>
              <w:rPr>
                <w:rStyle w:val="IndexLink"/>
              </w:rPr>
              <w:t>35</w:t>
            </w:r>
          </w:hyperlink>
        </w:p>
        <w:p>
          <w:pPr>
            <w:pStyle w:val="TOC2"/>
            <w:rPr>
              <w:sz w:val="24"/>
              <w:lang w:val="en-US" w:eastAsia="en-CA"/>
            </w:rPr>
          </w:pPr>
          <w:r>
            <w:rPr/>
            <w:t>Section 6.2</w:t>
          </w:r>
          <w:r>
            <w:rPr>
              <w:sz w:val="24"/>
              <w:lang w:val="en-US" w:eastAsia="en-CA"/>
            </w:rPr>
            <w:tab/>
          </w:r>
          <w:r>
            <w:rPr/>
            <w:t>Construction Agent Directed Changes.</w:t>
            <w:tab/>
          </w:r>
          <w:hyperlink w:anchor="__RefHeading___Toc496435164">
            <w:r>
              <w:rPr>
                <w:rStyle w:val="IndexLink"/>
              </w:rPr>
              <w:t>35</w:t>
            </w:r>
          </w:hyperlink>
        </w:p>
        <w:p>
          <w:pPr>
            <w:pStyle w:val="TOC2"/>
            <w:rPr>
              <w:sz w:val="24"/>
              <w:lang w:val="en-US" w:eastAsia="en-CA"/>
            </w:rPr>
          </w:pPr>
          <w:r>
            <w:rPr/>
            <w:t>Section 6.3</w:t>
          </w:r>
          <w:r>
            <w:rPr>
              <w:sz w:val="24"/>
              <w:lang w:val="en-US" w:eastAsia="en-CA"/>
            </w:rPr>
            <w:tab/>
          </w:r>
          <w:r>
            <w:rPr/>
            <w:t>Contractor Requested Changes.</w:t>
            <w:tab/>
          </w:r>
          <w:hyperlink w:anchor="__RefHeading___Toc496435165">
            <w:r>
              <w:rPr>
                <w:rStyle w:val="IndexLink"/>
              </w:rPr>
              <w:t>37</w:t>
            </w:r>
          </w:hyperlink>
        </w:p>
        <w:p>
          <w:pPr>
            <w:pStyle w:val="TOC2"/>
            <w:rPr>
              <w:sz w:val="24"/>
              <w:lang w:val="en-US" w:eastAsia="en-CA"/>
            </w:rPr>
          </w:pPr>
          <w:r>
            <w:rPr/>
            <w:t>Section 6.4</w:t>
          </w:r>
          <w:r>
            <w:rPr>
              <w:sz w:val="24"/>
              <w:lang w:val="en-US" w:eastAsia="en-CA"/>
            </w:rPr>
            <w:tab/>
          </w:r>
          <w:r>
            <w:rPr/>
            <w:t>Information Supplementing Change Order Request.</w:t>
            <w:tab/>
          </w:r>
          <w:hyperlink w:anchor="__RefHeading___Toc496435166">
            <w:r>
              <w:rPr>
                <w:rStyle w:val="IndexLink"/>
              </w:rPr>
              <w:t>38</w:t>
            </w:r>
          </w:hyperlink>
        </w:p>
        <w:p>
          <w:pPr>
            <w:pStyle w:val="TOC1"/>
            <w:rPr/>
          </w:pPr>
          <w:r>
            <w:rPr/>
            <w:t>ARTICLE VII</w:t>
            <w:tab/>
          </w:r>
          <w:hyperlink w:anchor="__RefHeading___Toc496435167">
            <w:r>
              <w:rPr>
                <w:rStyle w:val="IndexLink"/>
              </w:rPr>
              <w:t>39</w:t>
            </w:r>
          </w:hyperlink>
        </w:p>
        <w:p>
          <w:pPr>
            <w:pStyle w:val="TOC1"/>
            <w:rPr/>
          </w:pPr>
          <w:r>
            <w:rPr/>
            <w:t>CONTRACT PRICE; PAYMENTS TO CONTRACTOR</w:t>
            <w:tab/>
          </w:r>
          <w:hyperlink w:anchor="__RefHeading___Toc496435168">
            <w:r>
              <w:rPr>
                <w:rStyle w:val="IndexLink"/>
              </w:rPr>
              <w:t>39</w:t>
            </w:r>
          </w:hyperlink>
        </w:p>
        <w:p>
          <w:pPr>
            <w:pStyle w:val="TOC2"/>
            <w:rPr>
              <w:sz w:val="24"/>
              <w:lang w:val="en-US" w:eastAsia="en-CA"/>
            </w:rPr>
          </w:pPr>
          <w:r>
            <w:rPr/>
            <w:t>Section 7.1</w:t>
          </w:r>
          <w:r>
            <w:rPr>
              <w:sz w:val="24"/>
              <w:lang w:val="en-US" w:eastAsia="en-CA"/>
            </w:rPr>
            <w:tab/>
          </w:r>
          <w:r>
            <w:rPr/>
            <w:t>Contract Price.</w:t>
            <w:tab/>
          </w:r>
          <w:hyperlink w:anchor="__RefHeading___Toc496435169">
            <w:r>
              <w:rPr>
                <w:rStyle w:val="IndexLink"/>
              </w:rPr>
              <w:t>39</w:t>
            </w:r>
          </w:hyperlink>
        </w:p>
        <w:p>
          <w:pPr>
            <w:pStyle w:val="TOC2"/>
            <w:rPr>
              <w:sz w:val="24"/>
              <w:lang w:val="en-US" w:eastAsia="en-CA"/>
            </w:rPr>
          </w:pPr>
          <w:r>
            <w:rPr/>
            <w:t>Section 7.2</w:t>
          </w:r>
          <w:r>
            <w:rPr>
              <w:sz w:val="24"/>
              <w:lang w:val="en-US" w:eastAsia="en-CA"/>
            </w:rPr>
            <w:tab/>
          </w:r>
          <w:r>
            <w:rPr/>
            <w:t>Payment of Contract Price.</w:t>
            <w:tab/>
          </w:r>
          <w:hyperlink w:anchor="__RefHeading___Toc496435170">
            <w:r>
              <w:rPr>
                <w:rStyle w:val="IndexLink"/>
              </w:rPr>
              <w:t>41</w:t>
            </w:r>
          </w:hyperlink>
        </w:p>
        <w:p>
          <w:pPr>
            <w:pStyle w:val="TOC2"/>
            <w:rPr>
              <w:sz w:val="24"/>
              <w:lang w:val="en-US" w:eastAsia="en-CA"/>
            </w:rPr>
          </w:pPr>
          <w:r>
            <w:rPr/>
            <w:t>Section 7.3</w:t>
          </w:r>
          <w:r>
            <w:rPr>
              <w:sz w:val="24"/>
              <w:lang w:val="en-US" w:eastAsia="en-CA"/>
            </w:rPr>
            <w:tab/>
          </w:r>
          <w:r>
            <w:rPr/>
            <w:t>Payments Not Waiver or Acceptance of Work.</w:t>
            <w:tab/>
          </w:r>
          <w:hyperlink w:anchor="__RefHeading___Toc496435171">
            <w:r>
              <w:rPr>
                <w:rStyle w:val="IndexLink"/>
              </w:rPr>
              <w:t>43</w:t>
            </w:r>
          </w:hyperlink>
        </w:p>
        <w:p>
          <w:pPr>
            <w:pStyle w:val="TOC2"/>
            <w:rPr>
              <w:sz w:val="24"/>
              <w:lang w:val="en-US" w:eastAsia="en-CA"/>
            </w:rPr>
          </w:pPr>
          <w:r>
            <w:rPr/>
            <w:t>Section 7.4</w:t>
          </w:r>
          <w:r>
            <w:rPr>
              <w:sz w:val="24"/>
              <w:lang w:val="en-US" w:eastAsia="en-CA"/>
            </w:rPr>
            <w:tab/>
          </w:r>
          <w:r>
            <w:rPr/>
            <w:t>Payment of Subcontractors.</w:t>
            <w:tab/>
          </w:r>
          <w:hyperlink w:anchor="__RefHeading___Toc496435172">
            <w:r>
              <w:rPr>
                <w:rStyle w:val="IndexLink"/>
              </w:rPr>
              <w:t>44</w:t>
            </w:r>
          </w:hyperlink>
        </w:p>
        <w:p>
          <w:pPr>
            <w:pStyle w:val="TOC2"/>
            <w:rPr>
              <w:sz w:val="24"/>
              <w:lang w:val="en-US" w:eastAsia="en-CA"/>
            </w:rPr>
          </w:pPr>
          <w:r>
            <w:rPr/>
            <w:t>Section 7.5</w:t>
          </w:r>
          <w:r>
            <w:rPr>
              <w:sz w:val="24"/>
              <w:lang w:val="en-US" w:eastAsia="en-CA"/>
            </w:rPr>
            <w:tab/>
          </w:r>
          <w:r>
            <w:rPr/>
            <w:t>Waiver of Liens.</w:t>
            <w:tab/>
          </w:r>
          <w:hyperlink w:anchor="__RefHeading___Toc496435173">
            <w:r>
              <w:rPr>
                <w:rStyle w:val="IndexLink"/>
              </w:rPr>
              <w:t>44</w:t>
            </w:r>
          </w:hyperlink>
        </w:p>
        <w:p>
          <w:pPr>
            <w:pStyle w:val="TOC2"/>
            <w:rPr>
              <w:sz w:val="24"/>
              <w:lang w:val="en-US" w:eastAsia="en-CA"/>
            </w:rPr>
          </w:pPr>
          <w:r>
            <w:rPr/>
            <w:t>Section 7.6</w:t>
          </w:r>
          <w:r>
            <w:rPr>
              <w:sz w:val="24"/>
              <w:lang w:val="en-US" w:eastAsia="en-CA"/>
            </w:rPr>
            <w:tab/>
          </w:r>
          <w:r>
            <w:rPr/>
            <w:t>Interest and Disputed Invoices.</w:t>
            <w:tab/>
          </w:r>
          <w:hyperlink w:anchor="__RefHeading___Toc496435174">
            <w:r>
              <w:rPr>
                <w:rStyle w:val="IndexLink"/>
              </w:rPr>
              <w:t>44</w:t>
            </w:r>
          </w:hyperlink>
        </w:p>
        <w:p>
          <w:pPr>
            <w:pStyle w:val="TOC2"/>
            <w:rPr>
              <w:sz w:val="24"/>
              <w:lang w:val="en-US" w:eastAsia="en-CA"/>
            </w:rPr>
          </w:pPr>
          <w:r>
            <w:rPr/>
            <w:t>Section 7.7</w:t>
          </w:r>
          <w:r>
            <w:rPr>
              <w:sz w:val="24"/>
              <w:lang w:val="en-US" w:eastAsia="en-CA"/>
            </w:rPr>
            <w:tab/>
          </w:r>
          <w:r>
            <w:rPr/>
            <w:t>Withholding Payments.</w:t>
            <w:tab/>
          </w:r>
          <w:hyperlink w:anchor="__RefHeading___Toc496435175">
            <w:r>
              <w:rPr>
                <w:rStyle w:val="IndexLink"/>
              </w:rPr>
              <w:t>44</w:t>
            </w:r>
          </w:hyperlink>
        </w:p>
        <w:p>
          <w:pPr>
            <w:pStyle w:val="TOC2"/>
            <w:rPr>
              <w:sz w:val="24"/>
              <w:lang w:val="en-US" w:eastAsia="en-CA"/>
            </w:rPr>
          </w:pPr>
          <w:r>
            <w:rPr/>
            <w:t>Section 7.8</w:t>
          </w:r>
          <w:r>
            <w:rPr>
              <w:sz w:val="24"/>
              <w:lang w:val="en-US" w:eastAsia="en-CA"/>
            </w:rPr>
            <w:tab/>
          </w:r>
          <w:r>
            <w:rPr/>
            <w:t>Invoice Certificate.</w:t>
            <w:tab/>
          </w:r>
          <w:hyperlink w:anchor="__RefHeading___Toc496435176">
            <w:r>
              <w:rPr>
                <w:rStyle w:val="IndexLink"/>
              </w:rPr>
              <w:t>45</w:t>
            </w:r>
          </w:hyperlink>
        </w:p>
        <w:p>
          <w:pPr>
            <w:pStyle w:val="TOC2"/>
            <w:rPr>
              <w:sz w:val="24"/>
              <w:lang w:val="en-US" w:eastAsia="en-CA"/>
            </w:rPr>
          </w:pPr>
          <w:r>
            <w:rPr/>
            <w:t>Section 7.9</w:t>
          </w:r>
          <w:r>
            <w:rPr>
              <w:sz w:val="24"/>
              <w:lang w:val="en-US" w:eastAsia="en-CA"/>
            </w:rPr>
            <w:tab/>
          </w:r>
          <w:r>
            <w:rPr/>
            <w:t>Tax Withholding.</w:t>
            <w:tab/>
          </w:r>
          <w:hyperlink w:anchor="__RefHeading___Toc496435177">
            <w:r>
              <w:rPr>
                <w:rStyle w:val="IndexLink"/>
              </w:rPr>
              <w:t>45</w:t>
            </w:r>
          </w:hyperlink>
        </w:p>
        <w:p>
          <w:pPr>
            <w:pStyle w:val="TOC2"/>
            <w:rPr>
              <w:sz w:val="24"/>
              <w:lang w:val="en-US" w:eastAsia="en-CA"/>
            </w:rPr>
          </w:pPr>
          <w:r>
            <w:rPr/>
            <w:t>Section 7.10</w:t>
          </w:r>
          <w:r>
            <w:rPr>
              <w:sz w:val="24"/>
              <w:lang w:val="en-US" w:eastAsia="en-CA"/>
            </w:rPr>
            <w:tab/>
          </w:r>
          <w:r>
            <w:rPr/>
            <w:t>Tax Cooperation.</w:t>
            <w:tab/>
          </w:r>
          <w:hyperlink w:anchor="__RefHeading___Toc496435178">
            <w:r>
              <w:rPr>
                <w:rStyle w:val="IndexLink"/>
              </w:rPr>
              <w:t>45</w:t>
            </w:r>
          </w:hyperlink>
        </w:p>
        <w:p>
          <w:pPr>
            <w:pStyle w:val="TOC1"/>
            <w:rPr/>
          </w:pPr>
          <w:r>
            <w:rPr/>
            <w:t>ARTICLE VIII</w:t>
            <w:tab/>
          </w:r>
          <w:hyperlink w:anchor="__RefHeading___Toc496435179">
            <w:r>
              <w:rPr>
                <w:rStyle w:val="IndexLink"/>
              </w:rPr>
              <w:t>46</w:t>
            </w:r>
          </w:hyperlink>
        </w:p>
        <w:p>
          <w:pPr>
            <w:pStyle w:val="TOC1"/>
            <w:rPr/>
          </w:pPr>
          <w:r>
            <w:rPr/>
            <w:t>TITLE AND RISK OF LOSS</w:t>
            <w:tab/>
          </w:r>
          <w:hyperlink w:anchor="__RefHeading___Toc496435180">
            <w:r>
              <w:rPr>
                <w:rStyle w:val="IndexLink"/>
              </w:rPr>
              <w:t>46</w:t>
            </w:r>
          </w:hyperlink>
        </w:p>
        <w:p>
          <w:pPr>
            <w:pStyle w:val="TOC2"/>
            <w:rPr>
              <w:sz w:val="24"/>
              <w:lang w:val="en-US" w:eastAsia="en-CA"/>
            </w:rPr>
          </w:pPr>
          <w:r>
            <w:rPr/>
            <w:t>Section 8.1</w:t>
          </w:r>
          <w:r>
            <w:rPr>
              <w:sz w:val="24"/>
              <w:lang w:val="en-US" w:eastAsia="en-CA"/>
            </w:rPr>
            <w:tab/>
          </w:r>
          <w:r>
            <w:rPr/>
            <w:t>Title.</w:t>
            <w:tab/>
          </w:r>
          <w:hyperlink w:anchor="__RefHeading___Toc496435181">
            <w:r>
              <w:rPr>
                <w:rStyle w:val="IndexLink"/>
              </w:rPr>
              <w:t>46</w:t>
            </w:r>
          </w:hyperlink>
        </w:p>
        <w:p>
          <w:pPr>
            <w:pStyle w:val="TOC2"/>
            <w:rPr>
              <w:sz w:val="24"/>
              <w:lang w:val="en-US" w:eastAsia="en-CA"/>
            </w:rPr>
          </w:pPr>
          <w:r>
            <w:rPr/>
            <w:t>Section 8.2</w:t>
          </w:r>
          <w:r>
            <w:rPr>
              <w:sz w:val="24"/>
              <w:lang w:val="en-US" w:eastAsia="en-CA"/>
            </w:rPr>
            <w:tab/>
          </w:r>
          <w:r>
            <w:rPr/>
            <w:t>Risk of Loss.</w:t>
            <w:tab/>
          </w:r>
          <w:hyperlink w:anchor="__RefHeading___Toc496435182">
            <w:r>
              <w:rPr>
                <w:rStyle w:val="IndexLink"/>
              </w:rPr>
              <w:t>47</w:t>
            </w:r>
          </w:hyperlink>
        </w:p>
        <w:p>
          <w:pPr>
            <w:pStyle w:val="TOC2"/>
            <w:rPr>
              <w:sz w:val="24"/>
              <w:lang w:val="en-US" w:eastAsia="en-CA"/>
            </w:rPr>
          </w:pPr>
          <w:r>
            <w:rPr/>
            <w:t>Section 8.3</w:t>
          </w:r>
          <w:r>
            <w:rPr>
              <w:sz w:val="24"/>
              <w:lang w:val="en-US" w:eastAsia="en-CA"/>
            </w:rPr>
            <w:tab/>
          </w:r>
          <w:r>
            <w:rPr/>
            <w:t>Use by Construction Agent</w:t>
            <w:tab/>
          </w:r>
          <w:hyperlink w:anchor="__RefHeading___Toc496435183">
            <w:r>
              <w:rPr>
                <w:rStyle w:val="IndexLink"/>
              </w:rPr>
              <w:t>48</w:t>
            </w:r>
          </w:hyperlink>
        </w:p>
        <w:p>
          <w:pPr>
            <w:pStyle w:val="TOC1"/>
            <w:rPr/>
          </w:pPr>
          <w:r>
            <w:rPr/>
            <w:t>ARTICLE IX</w:t>
            <w:tab/>
          </w:r>
          <w:hyperlink w:anchor="__RefHeading___Toc496435184">
            <w:r>
              <w:rPr>
                <w:rStyle w:val="IndexLink"/>
              </w:rPr>
              <w:t>49</w:t>
            </w:r>
          </w:hyperlink>
        </w:p>
        <w:p>
          <w:pPr>
            <w:pStyle w:val="TOC1"/>
            <w:rPr/>
          </w:pPr>
          <w:r>
            <w:rPr/>
            <w:t>INSURANCE</w:t>
            <w:tab/>
          </w:r>
          <w:hyperlink w:anchor="__RefHeading___Toc496435185">
            <w:r>
              <w:rPr>
                <w:rStyle w:val="IndexLink"/>
              </w:rPr>
              <w:t>49</w:t>
            </w:r>
          </w:hyperlink>
        </w:p>
        <w:p>
          <w:pPr>
            <w:pStyle w:val="TOC2"/>
            <w:rPr>
              <w:sz w:val="24"/>
              <w:lang w:val="en-US" w:eastAsia="en-CA"/>
            </w:rPr>
          </w:pPr>
          <w:r>
            <w:rPr/>
            <w:t>Section 9.1</w:t>
          </w:r>
          <w:r>
            <w:rPr>
              <w:sz w:val="24"/>
              <w:lang w:val="en-US" w:eastAsia="en-CA"/>
            </w:rPr>
            <w:tab/>
          </w:r>
          <w:r>
            <w:rPr/>
            <w:t>Contractor’s Insurance.</w:t>
            <w:tab/>
          </w:r>
          <w:hyperlink w:anchor="__RefHeading___Toc496435186">
            <w:r>
              <w:rPr>
                <w:rStyle w:val="IndexLink"/>
              </w:rPr>
              <w:t>49</w:t>
            </w:r>
          </w:hyperlink>
        </w:p>
        <w:p>
          <w:pPr>
            <w:pStyle w:val="TOC2"/>
            <w:rPr>
              <w:sz w:val="24"/>
              <w:lang w:val="en-US" w:eastAsia="en-CA"/>
            </w:rPr>
          </w:pPr>
          <w:r>
            <w:rPr/>
            <w:t>Section 9.2</w:t>
          </w:r>
          <w:r>
            <w:rPr>
              <w:sz w:val="24"/>
              <w:lang w:val="en-US" w:eastAsia="en-CA"/>
            </w:rPr>
            <w:tab/>
          </w:r>
          <w:r>
            <w:rPr/>
            <w:t>Construction Agent’s Insurance.</w:t>
            <w:tab/>
          </w:r>
          <w:hyperlink w:anchor="__RefHeading___Toc496435187">
            <w:r>
              <w:rPr>
                <w:rStyle w:val="IndexLink"/>
              </w:rPr>
              <w:t>49</w:t>
            </w:r>
          </w:hyperlink>
        </w:p>
        <w:p>
          <w:pPr>
            <w:pStyle w:val="TOC2"/>
            <w:rPr>
              <w:sz w:val="24"/>
              <w:lang w:val="en-US" w:eastAsia="en-CA"/>
            </w:rPr>
          </w:pPr>
          <w:r>
            <w:rPr/>
            <w:t>Section 9.3</w:t>
          </w:r>
          <w:r>
            <w:rPr>
              <w:sz w:val="24"/>
              <w:lang w:val="en-US" w:eastAsia="en-CA"/>
            </w:rPr>
            <w:tab/>
          </w:r>
          <w:r>
            <w:rPr/>
            <w:t>Certificates and Cancellations.</w:t>
            <w:tab/>
          </w:r>
          <w:hyperlink w:anchor="__RefHeading___Toc496435188">
            <w:r>
              <w:rPr>
                <w:rStyle w:val="IndexLink"/>
              </w:rPr>
              <w:t>50</w:t>
            </w:r>
          </w:hyperlink>
        </w:p>
        <w:p>
          <w:pPr>
            <w:pStyle w:val="TOC2"/>
            <w:rPr>
              <w:sz w:val="24"/>
              <w:lang w:val="en-US" w:eastAsia="en-CA"/>
            </w:rPr>
          </w:pPr>
          <w:r>
            <w:rPr/>
            <w:t>Section 9.4</w:t>
          </w:r>
          <w:r>
            <w:rPr>
              <w:sz w:val="24"/>
              <w:lang w:val="en-US" w:eastAsia="en-CA"/>
            </w:rPr>
            <w:tab/>
          </w:r>
          <w:r>
            <w:rPr/>
            <w:t>Failure to Pay.</w:t>
            <w:tab/>
          </w:r>
          <w:hyperlink w:anchor="__RefHeading___Toc496435189">
            <w:r>
              <w:rPr>
                <w:rStyle w:val="IndexLink"/>
              </w:rPr>
              <w:t>50</w:t>
            </w:r>
          </w:hyperlink>
        </w:p>
        <w:p>
          <w:pPr>
            <w:pStyle w:val="TOC2"/>
            <w:rPr>
              <w:sz w:val="24"/>
              <w:lang w:val="en-US" w:eastAsia="en-CA"/>
            </w:rPr>
          </w:pPr>
          <w:r>
            <w:rPr/>
            <w:t>Section 9.5</w:t>
          </w:r>
          <w:r>
            <w:rPr>
              <w:sz w:val="24"/>
              <w:lang w:val="en-US" w:eastAsia="en-CA"/>
            </w:rPr>
            <w:tab/>
          </w:r>
          <w:r>
            <w:rPr/>
            <w:t>Miscellaneous.</w:t>
            <w:tab/>
          </w:r>
          <w:hyperlink w:anchor="__RefHeading___Toc496435190">
            <w:r>
              <w:rPr>
                <w:rStyle w:val="IndexLink"/>
              </w:rPr>
              <w:t>51</w:t>
            </w:r>
          </w:hyperlink>
        </w:p>
        <w:p>
          <w:pPr>
            <w:pStyle w:val="TOC1"/>
            <w:rPr/>
          </w:pPr>
          <w:r>
            <w:rPr/>
            <w:t>ARTICLE X</w:t>
            <w:tab/>
          </w:r>
          <w:hyperlink w:anchor="__RefHeading___Toc496435191">
            <w:r>
              <w:rPr>
                <w:rStyle w:val="IndexLink"/>
              </w:rPr>
              <w:t>51</w:t>
            </w:r>
          </w:hyperlink>
        </w:p>
        <w:p>
          <w:pPr>
            <w:pStyle w:val="TOC1"/>
            <w:rPr/>
          </w:pPr>
          <w:r>
            <w:rPr/>
            <w:t>DOCUMENTATION</w:t>
            <w:tab/>
          </w:r>
          <w:hyperlink w:anchor="__RefHeading___Toc496435192">
            <w:r>
              <w:rPr>
                <w:rStyle w:val="IndexLink"/>
              </w:rPr>
              <w:t>51</w:t>
            </w:r>
          </w:hyperlink>
        </w:p>
        <w:p>
          <w:pPr>
            <w:pStyle w:val="TOC2"/>
            <w:rPr>
              <w:sz w:val="24"/>
              <w:lang w:val="en-US" w:eastAsia="en-CA"/>
            </w:rPr>
          </w:pPr>
          <w:r>
            <w:rPr/>
            <w:t>Section 10.1</w:t>
          </w:r>
          <w:r>
            <w:rPr>
              <w:sz w:val="24"/>
              <w:lang w:val="en-US" w:eastAsia="en-CA"/>
            </w:rPr>
            <w:tab/>
          </w:r>
          <w:r>
            <w:rPr/>
            <w:t>Delivery of Job Books.</w:t>
            <w:tab/>
          </w:r>
          <w:hyperlink w:anchor="__RefHeading___Toc496435193">
            <w:r>
              <w:rPr>
                <w:rStyle w:val="IndexLink"/>
              </w:rPr>
              <w:t>51</w:t>
            </w:r>
          </w:hyperlink>
        </w:p>
        <w:p>
          <w:pPr>
            <w:pStyle w:val="TOC2"/>
            <w:rPr>
              <w:sz w:val="24"/>
              <w:lang w:val="en-US" w:eastAsia="en-CA"/>
            </w:rPr>
          </w:pPr>
          <w:r>
            <w:rPr/>
            <w:t>Section 10.2</w:t>
          </w:r>
          <w:r>
            <w:rPr>
              <w:sz w:val="24"/>
              <w:lang w:val="en-US" w:eastAsia="en-CA"/>
            </w:rPr>
            <w:tab/>
          </w:r>
          <w:r>
            <w:rPr/>
            <w:t>Machine Readable Information.</w:t>
            <w:tab/>
          </w:r>
          <w:hyperlink w:anchor="__RefHeading___Toc496435194">
            <w:r>
              <w:rPr>
                <w:rStyle w:val="IndexLink"/>
              </w:rPr>
              <w:t>52</w:t>
            </w:r>
          </w:hyperlink>
        </w:p>
        <w:p>
          <w:pPr>
            <w:pStyle w:val="TOC2"/>
            <w:rPr>
              <w:sz w:val="24"/>
              <w:lang w:val="en-US" w:eastAsia="en-CA"/>
            </w:rPr>
          </w:pPr>
          <w:r>
            <w:rPr/>
            <w:t>Section 10.3</w:t>
          </w:r>
          <w:r>
            <w:rPr>
              <w:sz w:val="24"/>
              <w:lang w:val="en-US" w:eastAsia="en-CA"/>
            </w:rPr>
            <w:tab/>
          </w:r>
          <w:r>
            <w:rPr>
              <w:color w:val="000000"/>
            </w:rPr>
            <w:t>Drawings.</w:t>
          </w:r>
          <w:r>
            <w:rPr/>
            <w:tab/>
          </w:r>
          <w:hyperlink w:anchor="__RefHeading___Toc496435195">
            <w:r>
              <w:rPr>
                <w:rStyle w:val="IndexLink"/>
              </w:rPr>
              <w:t>52</w:t>
            </w:r>
          </w:hyperlink>
        </w:p>
        <w:p>
          <w:pPr>
            <w:pStyle w:val="TOC2"/>
            <w:rPr>
              <w:sz w:val="24"/>
              <w:lang w:val="en-US" w:eastAsia="en-CA"/>
            </w:rPr>
          </w:pPr>
          <w:r>
            <w:rPr/>
            <w:t>Section 10.4</w:t>
          </w:r>
          <w:r>
            <w:rPr>
              <w:sz w:val="24"/>
              <w:lang w:val="en-US" w:eastAsia="en-CA"/>
            </w:rPr>
            <w:tab/>
          </w:r>
          <w:r>
            <w:rPr/>
            <w:t>Facility Operations Manuals.</w:t>
            <w:tab/>
          </w:r>
          <w:hyperlink w:anchor="__RefHeading___Toc496435196">
            <w:r>
              <w:rPr>
                <w:rStyle w:val="IndexLink"/>
              </w:rPr>
              <w:t>52</w:t>
            </w:r>
          </w:hyperlink>
        </w:p>
        <w:p>
          <w:pPr>
            <w:pStyle w:val="TOC2"/>
            <w:rPr>
              <w:sz w:val="24"/>
              <w:lang w:val="en-US" w:eastAsia="en-CA"/>
            </w:rPr>
          </w:pPr>
          <w:r>
            <w:rPr/>
            <w:t>Section 10.5</w:t>
          </w:r>
          <w:r>
            <w:rPr>
              <w:sz w:val="24"/>
              <w:lang w:val="en-US" w:eastAsia="en-CA"/>
            </w:rPr>
            <w:tab/>
          </w:r>
          <w:r>
            <w:rPr/>
            <w:t>Vendor O&amp;M Manuals.</w:t>
            <w:tab/>
          </w:r>
          <w:hyperlink w:anchor="__RefHeading___Toc496435197">
            <w:r>
              <w:rPr>
                <w:rStyle w:val="IndexLink"/>
              </w:rPr>
              <w:t>52</w:t>
            </w:r>
          </w:hyperlink>
        </w:p>
        <w:p>
          <w:pPr>
            <w:pStyle w:val="TOC1"/>
            <w:rPr/>
          </w:pPr>
          <w:r>
            <w:rPr/>
            <w:t>ARTICLE XI</w:t>
            <w:tab/>
          </w:r>
          <w:hyperlink w:anchor="__RefHeading___Toc496435198">
            <w:r>
              <w:rPr>
                <w:rStyle w:val="IndexLink"/>
              </w:rPr>
              <w:t>53</w:t>
            </w:r>
          </w:hyperlink>
        </w:p>
        <w:p>
          <w:pPr>
            <w:pStyle w:val="TOC1"/>
            <w:rPr/>
          </w:pPr>
          <w:r>
            <w:rPr/>
            <w:t>COMPLETION</w:t>
            <w:tab/>
          </w:r>
          <w:hyperlink w:anchor="__RefHeading___Toc496435199">
            <w:r>
              <w:rPr>
                <w:rStyle w:val="IndexLink"/>
              </w:rPr>
              <w:t>53</w:t>
            </w:r>
          </w:hyperlink>
        </w:p>
        <w:p>
          <w:pPr>
            <w:pStyle w:val="TOC2"/>
            <w:rPr>
              <w:sz w:val="24"/>
              <w:lang w:val="en-US" w:eastAsia="en-CA"/>
            </w:rPr>
          </w:pPr>
          <w:r>
            <w:rPr/>
            <w:t>Section 11.1</w:t>
          </w:r>
          <w:r>
            <w:rPr>
              <w:sz w:val="24"/>
              <w:lang w:val="en-US" w:eastAsia="en-CA"/>
            </w:rPr>
            <w:tab/>
          </w:r>
          <w:r>
            <w:rPr/>
            <w:t>Testing Notices.</w:t>
            <w:tab/>
          </w:r>
          <w:hyperlink w:anchor="__RefHeading___Toc496435200">
            <w:r>
              <w:rPr>
                <w:rStyle w:val="IndexLink"/>
              </w:rPr>
              <w:t>53</w:t>
            </w:r>
          </w:hyperlink>
        </w:p>
        <w:p>
          <w:pPr>
            <w:pStyle w:val="TOC2"/>
            <w:rPr>
              <w:sz w:val="24"/>
              <w:lang w:val="en-US" w:eastAsia="en-CA"/>
            </w:rPr>
          </w:pPr>
          <w:r>
            <w:rPr/>
            <w:t>Section 11.2</w:t>
          </w:r>
          <w:r>
            <w:rPr>
              <w:sz w:val="24"/>
              <w:lang w:val="en-US" w:eastAsia="en-CA"/>
            </w:rPr>
            <w:tab/>
          </w:r>
          <w:r>
            <w:rPr/>
            <w:t>Substantial Completion.</w:t>
            <w:tab/>
          </w:r>
          <w:hyperlink w:anchor="__RefHeading___Toc496435201">
            <w:r>
              <w:rPr>
                <w:rStyle w:val="IndexLink"/>
              </w:rPr>
              <w:t>53</w:t>
            </w:r>
          </w:hyperlink>
        </w:p>
        <w:p>
          <w:pPr>
            <w:pStyle w:val="TOC2"/>
            <w:rPr>
              <w:sz w:val="24"/>
              <w:lang w:val="en-US" w:eastAsia="en-CA"/>
            </w:rPr>
          </w:pPr>
          <w:r>
            <w:rPr/>
            <w:t>Section 11.3</w:t>
          </w:r>
          <w:r>
            <w:rPr>
              <w:sz w:val="24"/>
              <w:lang w:val="en-US" w:eastAsia="en-CA"/>
            </w:rPr>
            <w:tab/>
          </w:r>
          <w:r>
            <w:rPr/>
            <w:t>Final Completion.</w:t>
            <w:tab/>
          </w:r>
          <w:hyperlink w:anchor="__RefHeading___Toc496435202">
            <w:r>
              <w:rPr>
                <w:rStyle w:val="IndexLink"/>
              </w:rPr>
              <w:t>54</w:t>
            </w:r>
          </w:hyperlink>
        </w:p>
        <w:p>
          <w:pPr>
            <w:pStyle w:val="TOC2"/>
            <w:rPr>
              <w:sz w:val="24"/>
              <w:lang w:val="en-US" w:eastAsia="en-CA"/>
            </w:rPr>
          </w:pPr>
          <w:r>
            <w:rPr/>
            <w:t>Section 11.4</w:t>
          </w:r>
          <w:r>
            <w:rPr>
              <w:sz w:val="24"/>
              <w:lang w:val="en-US" w:eastAsia="en-CA"/>
            </w:rPr>
            <w:tab/>
          </w:r>
          <w:r>
            <w:rPr/>
            <w:t>Acceptance of Completion Certificates.</w:t>
            <w:tab/>
          </w:r>
          <w:hyperlink w:anchor="__RefHeading___Toc496435203">
            <w:r>
              <w:rPr>
                <w:rStyle w:val="IndexLink"/>
              </w:rPr>
              <w:t>54</w:t>
            </w:r>
          </w:hyperlink>
        </w:p>
        <w:p>
          <w:pPr>
            <w:pStyle w:val="TOC2"/>
            <w:rPr>
              <w:sz w:val="24"/>
              <w:lang w:val="en-US" w:eastAsia="en-CA"/>
            </w:rPr>
          </w:pPr>
          <w:r>
            <w:rPr/>
            <w:t>Section 11.5</w:t>
          </w:r>
          <w:r>
            <w:rPr>
              <w:sz w:val="24"/>
              <w:lang w:val="en-US" w:eastAsia="en-CA"/>
            </w:rPr>
            <w:tab/>
          </w:r>
          <w:r>
            <w:rPr/>
            <w:t>Punchlist.</w:t>
            <w:tab/>
          </w:r>
          <w:hyperlink w:anchor="__RefHeading___Toc496435204">
            <w:r>
              <w:rPr>
                <w:rStyle w:val="IndexLink"/>
              </w:rPr>
              <w:t>55</w:t>
            </w:r>
          </w:hyperlink>
        </w:p>
        <w:p>
          <w:pPr>
            <w:pStyle w:val="TOC2"/>
            <w:rPr>
              <w:sz w:val="24"/>
              <w:lang w:val="en-US" w:eastAsia="en-CA"/>
            </w:rPr>
          </w:pPr>
          <w:r>
            <w:rPr/>
            <w:t>Section 11.6</w:t>
          </w:r>
          <w:r>
            <w:rPr>
              <w:sz w:val="24"/>
              <w:lang w:val="en-US" w:eastAsia="en-CA"/>
            </w:rPr>
            <w:tab/>
          </w:r>
          <w:r>
            <w:rPr/>
            <w:t>Long-Term Obligations.</w:t>
            <w:tab/>
          </w:r>
          <w:hyperlink w:anchor="__RefHeading___Toc496435205">
            <w:r>
              <w:rPr>
                <w:rStyle w:val="IndexLink"/>
              </w:rPr>
              <w:t>55</w:t>
            </w:r>
          </w:hyperlink>
        </w:p>
        <w:p>
          <w:pPr>
            <w:pStyle w:val="TOC2"/>
            <w:rPr>
              <w:sz w:val="24"/>
              <w:lang w:val="en-US" w:eastAsia="en-CA"/>
            </w:rPr>
          </w:pPr>
          <w:r>
            <w:rPr/>
            <w:t>Section 11.7</w:t>
          </w:r>
          <w:r>
            <w:rPr>
              <w:sz w:val="24"/>
              <w:lang w:val="en-US" w:eastAsia="en-CA"/>
            </w:rPr>
            <w:tab/>
          </w:r>
          <w:r>
            <w:rPr/>
            <w:t>Non-Interference.</w:t>
            <w:tab/>
          </w:r>
          <w:hyperlink w:anchor="__RefHeading___Toc496435206">
            <w:r>
              <w:rPr>
                <w:rStyle w:val="IndexLink"/>
              </w:rPr>
              <w:t>55</w:t>
            </w:r>
          </w:hyperlink>
        </w:p>
        <w:p>
          <w:pPr>
            <w:pStyle w:val="TOC2"/>
            <w:rPr>
              <w:sz w:val="24"/>
              <w:lang w:val="en-US" w:eastAsia="en-CA"/>
            </w:rPr>
          </w:pPr>
          <w:r>
            <w:rPr/>
            <w:t>Section 11.8</w:t>
          </w:r>
          <w:r>
            <w:rPr>
              <w:sz w:val="24"/>
              <w:lang w:val="en-US" w:eastAsia="en-CA"/>
            </w:rPr>
            <w:tab/>
          </w:r>
          <w:r>
            <w:rPr/>
            <w:t>Early Takeover.</w:t>
            <w:tab/>
          </w:r>
          <w:hyperlink w:anchor="__RefHeading___Toc496435207">
            <w:r>
              <w:rPr>
                <w:rStyle w:val="IndexLink"/>
              </w:rPr>
              <w:t>56</w:t>
            </w:r>
          </w:hyperlink>
        </w:p>
        <w:p>
          <w:pPr>
            <w:pStyle w:val="TOC2"/>
            <w:rPr>
              <w:sz w:val="24"/>
              <w:lang w:val="en-US" w:eastAsia="en-CA"/>
            </w:rPr>
          </w:pPr>
          <w:r>
            <w:rPr/>
            <w:t>Section 11.9</w:t>
          </w:r>
          <w:r>
            <w:rPr>
              <w:sz w:val="24"/>
              <w:lang w:val="en-US" w:eastAsia="en-CA"/>
            </w:rPr>
            <w:tab/>
          </w:r>
          <w:r>
            <w:rPr/>
            <w:t>Right of Waiver.</w:t>
            <w:tab/>
          </w:r>
          <w:hyperlink w:anchor="__RefHeading___Toc496435208">
            <w:r>
              <w:rPr>
                <w:rStyle w:val="IndexLink"/>
              </w:rPr>
              <w:t>56</w:t>
            </w:r>
          </w:hyperlink>
        </w:p>
        <w:p>
          <w:pPr>
            <w:pStyle w:val="TOC1"/>
            <w:rPr/>
          </w:pPr>
          <w:r>
            <w:rPr/>
            <w:t>ARTICLE XII</w:t>
            <w:tab/>
          </w:r>
          <w:hyperlink w:anchor="__RefHeading___Toc496435209">
            <w:r>
              <w:rPr>
                <w:rStyle w:val="IndexLink"/>
              </w:rPr>
              <w:t>56</w:t>
            </w:r>
          </w:hyperlink>
        </w:p>
        <w:p>
          <w:pPr>
            <w:pStyle w:val="TOC1"/>
            <w:rPr/>
          </w:pPr>
          <w:r>
            <w:rPr/>
            <w:t>WARRANTY</w:t>
            <w:tab/>
          </w:r>
          <w:hyperlink w:anchor="__RefHeading___Toc496435210">
            <w:r>
              <w:rPr>
                <w:rStyle w:val="IndexLink"/>
              </w:rPr>
              <w:t>56</w:t>
            </w:r>
          </w:hyperlink>
        </w:p>
        <w:p>
          <w:pPr>
            <w:pStyle w:val="TOC2"/>
            <w:rPr>
              <w:sz w:val="24"/>
              <w:lang w:val="en-US" w:eastAsia="en-CA"/>
            </w:rPr>
          </w:pPr>
          <w:r>
            <w:rPr/>
            <w:t>Section 12.1</w:t>
          </w:r>
          <w:r>
            <w:rPr>
              <w:sz w:val="24"/>
              <w:lang w:val="en-US" w:eastAsia="en-CA"/>
            </w:rPr>
            <w:tab/>
          </w:r>
          <w:r>
            <w:rPr/>
            <w:t>General Warranty.</w:t>
            <w:tab/>
          </w:r>
          <w:hyperlink w:anchor="__RefHeading___Toc496435211">
            <w:r>
              <w:rPr>
                <w:rStyle w:val="IndexLink"/>
              </w:rPr>
              <w:t>56</w:t>
            </w:r>
          </w:hyperlink>
        </w:p>
        <w:p>
          <w:pPr>
            <w:pStyle w:val="TOC2"/>
            <w:rPr>
              <w:sz w:val="24"/>
              <w:lang w:val="en-US" w:eastAsia="en-CA"/>
            </w:rPr>
          </w:pPr>
          <w:r>
            <w:rPr/>
            <w:t>Section 12.2</w:t>
          </w:r>
          <w:r>
            <w:rPr>
              <w:sz w:val="24"/>
              <w:lang w:val="en-US" w:eastAsia="en-CA"/>
            </w:rPr>
            <w:tab/>
          </w:r>
          <w:r>
            <w:rPr/>
            <w:t>Warranty Period.</w:t>
            <w:tab/>
          </w:r>
          <w:hyperlink w:anchor="__RefHeading___Toc496435212">
            <w:r>
              <w:rPr>
                <w:rStyle w:val="IndexLink"/>
              </w:rPr>
              <w:t>57</w:t>
            </w:r>
          </w:hyperlink>
        </w:p>
        <w:p>
          <w:pPr>
            <w:pStyle w:val="TOC2"/>
            <w:rPr>
              <w:sz w:val="24"/>
              <w:lang w:val="en-US" w:eastAsia="en-CA"/>
            </w:rPr>
          </w:pPr>
          <w:r>
            <w:rPr/>
            <w:t>Section 12.3</w:t>
          </w:r>
          <w:r>
            <w:rPr>
              <w:sz w:val="24"/>
              <w:lang w:val="en-US" w:eastAsia="en-CA"/>
            </w:rPr>
            <w:tab/>
          </w:r>
          <w:r>
            <w:rPr/>
            <w:t>Remedy.</w:t>
            <w:tab/>
          </w:r>
          <w:hyperlink w:anchor="__RefHeading___Toc496435213">
            <w:r>
              <w:rPr>
                <w:rStyle w:val="IndexLink"/>
              </w:rPr>
              <w:t>57</w:t>
            </w:r>
          </w:hyperlink>
        </w:p>
        <w:p>
          <w:pPr>
            <w:pStyle w:val="TOC2"/>
            <w:rPr>
              <w:sz w:val="24"/>
              <w:lang w:val="en-US" w:eastAsia="en-CA"/>
            </w:rPr>
          </w:pPr>
          <w:r>
            <w:rPr/>
            <w:t>Section 12.4</w:t>
          </w:r>
          <w:r>
            <w:rPr>
              <w:sz w:val="24"/>
              <w:lang w:val="en-US" w:eastAsia="en-CA"/>
            </w:rPr>
            <w:tab/>
          </w:r>
          <w:r>
            <w:rPr/>
            <w:t>Subcontractor Warranties.</w:t>
            <w:tab/>
          </w:r>
          <w:hyperlink w:anchor="__RefHeading___Toc496435214">
            <w:r>
              <w:rPr>
                <w:rStyle w:val="IndexLink"/>
              </w:rPr>
              <w:t>58</w:t>
            </w:r>
          </w:hyperlink>
        </w:p>
        <w:p>
          <w:pPr>
            <w:pStyle w:val="TOC2"/>
            <w:rPr>
              <w:sz w:val="24"/>
              <w:lang w:val="en-US" w:eastAsia="en-CA"/>
            </w:rPr>
          </w:pPr>
          <w:r>
            <w:rPr/>
            <w:t>Section 12.5</w:t>
          </w:r>
          <w:r>
            <w:rPr>
              <w:sz w:val="24"/>
              <w:lang w:val="en-US" w:eastAsia="en-CA"/>
            </w:rPr>
            <w:tab/>
          </w:r>
          <w:r>
            <w:rPr/>
            <w:t>Warranty Exclusions.</w:t>
            <w:tab/>
          </w:r>
          <w:hyperlink w:anchor="__RefHeading___Toc496435215">
            <w:r>
              <w:rPr>
                <w:rStyle w:val="IndexLink"/>
              </w:rPr>
              <w:t>58</w:t>
            </w:r>
          </w:hyperlink>
        </w:p>
        <w:p>
          <w:pPr>
            <w:pStyle w:val="TOC2"/>
            <w:rPr>
              <w:sz w:val="24"/>
              <w:lang w:val="en-US" w:eastAsia="en-CA"/>
            </w:rPr>
          </w:pPr>
          <w:r>
            <w:rPr/>
            <w:t>Section 12.6</w:t>
          </w:r>
          <w:r>
            <w:rPr>
              <w:sz w:val="24"/>
              <w:lang w:val="en-US" w:eastAsia="en-CA"/>
            </w:rPr>
            <w:tab/>
          </w:r>
          <w:r>
            <w:rPr/>
            <w:t>No Implied Warranties.</w:t>
            <w:tab/>
          </w:r>
          <w:hyperlink w:anchor="__RefHeading___Toc496435216">
            <w:r>
              <w:rPr>
                <w:rStyle w:val="IndexLink"/>
              </w:rPr>
              <w:t>58</w:t>
            </w:r>
          </w:hyperlink>
        </w:p>
        <w:p>
          <w:pPr>
            <w:pStyle w:val="TOC1"/>
            <w:rPr/>
          </w:pPr>
          <w:r>
            <w:rPr/>
            <w:t>ARTICLE XIII</w:t>
            <w:tab/>
          </w:r>
          <w:hyperlink w:anchor="__RefHeading___Toc496435217">
            <w:r>
              <w:rPr>
                <w:rStyle w:val="IndexLink"/>
              </w:rPr>
              <w:t>58</w:t>
            </w:r>
          </w:hyperlink>
        </w:p>
        <w:p>
          <w:pPr>
            <w:pStyle w:val="TOC1"/>
            <w:rPr/>
          </w:pPr>
          <w:r>
            <w:rPr/>
            <w:t>SCHEDULE; PERFORMANCE TESTS</w:t>
            <w:tab/>
          </w:r>
          <w:hyperlink w:anchor="__RefHeading___Toc496435218">
            <w:r>
              <w:rPr>
                <w:rStyle w:val="IndexLink"/>
              </w:rPr>
              <w:t>58</w:t>
            </w:r>
          </w:hyperlink>
        </w:p>
        <w:p>
          <w:pPr>
            <w:pStyle w:val="TOC2"/>
            <w:rPr>
              <w:sz w:val="24"/>
              <w:lang w:val="en-US" w:eastAsia="en-CA"/>
            </w:rPr>
          </w:pPr>
          <w:r>
            <w:rPr/>
            <w:t>Section 13.1</w:t>
          </w:r>
          <w:r>
            <w:rPr>
              <w:sz w:val="24"/>
              <w:lang w:val="en-US" w:eastAsia="en-CA"/>
            </w:rPr>
            <w:tab/>
          </w:r>
          <w:r>
            <w:rPr/>
            <w:t>Schedule.</w:t>
            <w:tab/>
          </w:r>
          <w:hyperlink w:anchor="__RefHeading___Toc496435219">
            <w:r>
              <w:rPr>
                <w:rStyle w:val="IndexLink"/>
              </w:rPr>
              <w:t>58</w:t>
            </w:r>
          </w:hyperlink>
        </w:p>
        <w:p>
          <w:pPr>
            <w:pStyle w:val="TOC2"/>
            <w:rPr>
              <w:sz w:val="24"/>
              <w:lang w:val="en-US" w:eastAsia="en-CA"/>
            </w:rPr>
          </w:pPr>
          <w:r>
            <w:rPr/>
            <w:t>Section 13.2</w:t>
          </w:r>
          <w:r>
            <w:rPr>
              <w:sz w:val="24"/>
              <w:lang w:val="en-US" w:eastAsia="en-CA"/>
            </w:rPr>
            <w:tab/>
          </w:r>
          <w:r>
            <w:rPr>
              <w:color w:val="000000"/>
            </w:rPr>
            <w:t>Performance Tests.</w:t>
          </w:r>
          <w:r>
            <w:rPr/>
            <w:tab/>
          </w:r>
          <w:hyperlink w:anchor="__RefHeading___Toc496435220">
            <w:r>
              <w:rPr>
                <w:rStyle w:val="IndexLink"/>
              </w:rPr>
              <w:t>59</w:t>
            </w:r>
          </w:hyperlink>
        </w:p>
        <w:p>
          <w:pPr>
            <w:pStyle w:val="TOC1"/>
            <w:rPr/>
          </w:pPr>
          <w:r>
            <w:rPr/>
            <w:t>ARTICLE XIV</w:t>
            <w:tab/>
          </w:r>
          <w:hyperlink w:anchor="__RefHeading___Toc496435221">
            <w:r>
              <w:rPr>
                <w:rStyle w:val="IndexLink"/>
              </w:rPr>
              <w:t>59</w:t>
            </w:r>
          </w:hyperlink>
        </w:p>
        <w:p>
          <w:pPr>
            <w:pStyle w:val="TOC1"/>
            <w:rPr/>
          </w:pPr>
          <w:r>
            <w:rPr/>
            <w:t>LIMITATION OF LIABILITY</w:t>
            <w:tab/>
          </w:r>
          <w:hyperlink w:anchor="__RefHeading___Toc496435222">
            <w:r>
              <w:rPr>
                <w:rStyle w:val="IndexLink"/>
              </w:rPr>
              <w:t>59</w:t>
            </w:r>
          </w:hyperlink>
        </w:p>
        <w:p>
          <w:pPr>
            <w:pStyle w:val="TOC2"/>
            <w:rPr>
              <w:sz w:val="24"/>
              <w:lang w:val="en-US" w:eastAsia="en-CA"/>
            </w:rPr>
          </w:pPr>
          <w:r>
            <w:rPr/>
            <w:t>Section 14.1</w:t>
          </w:r>
          <w:r>
            <w:rPr>
              <w:sz w:val="24"/>
              <w:lang w:val="en-US" w:eastAsia="en-CA"/>
            </w:rPr>
            <w:tab/>
          </w:r>
          <w:r>
            <w:rPr/>
            <w:t>Maximum Liability.</w:t>
            <w:tab/>
          </w:r>
          <w:hyperlink w:anchor="__RefHeading___Toc496435223">
            <w:r>
              <w:rPr>
                <w:rStyle w:val="IndexLink"/>
              </w:rPr>
              <w:t>59</w:t>
            </w:r>
          </w:hyperlink>
        </w:p>
        <w:p>
          <w:pPr>
            <w:pStyle w:val="TOC2"/>
            <w:rPr>
              <w:sz w:val="24"/>
              <w:lang w:val="en-US" w:eastAsia="en-CA"/>
            </w:rPr>
          </w:pPr>
          <w:r>
            <w:rPr/>
            <w:t>Section 14.2</w:t>
          </w:r>
          <w:r>
            <w:rPr>
              <w:sz w:val="24"/>
              <w:lang w:val="en-US" w:eastAsia="en-CA"/>
            </w:rPr>
            <w:tab/>
          </w:r>
          <w:r>
            <w:rPr/>
            <w:t>Consequential Damages.</w:t>
            <w:tab/>
          </w:r>
          <w:hyperlink w:anchor="__RefHeading___Toc496435224">
            <w:r>
              <w:rPr>
                <w:rStyle w:val="IndexLink"/>
              </w:rPr>
              <w:t>60</w:t>
            </w:r>
          </w:hyperlink>
        </w:p>
        <w:p>
          <w:pPr>
            <w:pStyle w:val="TOC2"/>
            <w:rPr>
              <w:sz w:val="24"/>
              <w:lang w:val="en-US" w:eastAsia="en-CA"/>
            </w:rPr>
          </w:pPr>
          <w:r>
            <w:rPr/>
            <w:t>Section 14.3</w:t>
          </w:r>
          <w:r>
            <w:rPr>
              <w:sz w:val="24"/>
              <w:lang w:val="en-US" w:eastAsia="en-CA"/>
            </w:rPr>
            <w:tab/>
          </w:r>
          <w:r>
            <w:rPr/>
            <w:t>Releases Valid in All Events.</w:t>
            <w:tab/>
          </w:r>
          <w:hyperlink w:anchor="__RefHeading___Toc496435225">
            <w:r>
              <w:rPr>
                <w:rStyle w:val="IndexLink"/>
              </w:rPr>
              <w:t>60</w:t>
            </w:r>
          </w:hyperlink>
        </w:p>
        <w:p>
          <w:pPr>
            <w:pStyle w:val="TOC2"/>
            <w:rPr>
              <w:sz w:val="24"/>
              <w:lang w:val="en-US" w:eastAsia="en-CA"/>
            </w:rPr>
          </w:pPr>
          <w:r>
            <w:rPr/>
            <w:t>Section 14.4</w:t>
          </w:r>
          <w:r>
            <w:rPr>
              <w:sz w:val="24"/>
              <w:lang w:val="en-US" w:eastAsia="en-CA"/>
            </w:rPr>
            <w:tab/>
          </w:r>
          <w:r>
            <w:rPr/>
            <w:t>Exclusive Remedies.</w:t>
            <w:tab/>
          </w:r>
          <w:hyperlink w:anchor="__RefHeading___Toc496435226">
            <w:r>
              <w:rPr>
                <w:rStyle w:val="IndexLink"/>
              </w:rPr>
              <w:t>60</w:t>
            </w:r>
          </w:hyperlink>
        </w:p>
        <w:p>
          <w:pPr>
            <w:pStyle w:val="TOC2"/>
            <w:rPr>
              <w:sz w:val="24"/>
              <w:lang w:val="en-US" w:eastAsia="en-CA"/>
            </w:rPr>
          </w:pPr>
          <w:r>
            <w:rPr/>
            <w:t>Section 14.5</w:t>
          </w:r>
          <w:r>
            <w:rPr>
              <w:sz w:val="24"/>
              <w:lang w:val="en-US" w:eastAsia="en-CA"/>
            </w:rPr>
            <w:tab/>
          </w:r>
          <w:r>
            <w:rPr/>
            <w:t>Liability of Related Persons.</w:t>
            <w:tab/>
          </w:r>
          <w:hyperlink w:anchor="__RefHeading___Toc496435227">
            <w:r>
              <w:rPr>
                <w:rStyle w:val="IndexLink"/>
              </w:rPr>
              <w:t>60</w:t>
            </w:r>
          </w:hyperlink>
        </w:p>
        <w:p>
          <w:pPr>
            <w:pStyle w:val="TOC1"/>
            <w:rPr/>
          </w:pPr>
          <w:r>
            <w:rPr/>
            <w:t>ARTICLE XV</w:t>
            <w:tab/>
          </w:r>
          <w:hyperlink w:anchor="__RefHeading___Toc496435228">
            <w:r>
              <w:rPr>
                <w:rStyle w:val="IndexLink"/>
              </w:rPr>
              <w:t>61</w:t>
            </w:r>
          </w:hyperlink>
        </w:p>
        <w:p>
          <w:pPr>
            <w:pStyle w:val="TOC1"/>
            <w:rPr/>
          </w:pPr>
          <w:r>
            <w:rPr/>
            <w:t>REPRESENTATIONS OF CONTRACTOR AND OWNER</w:t>
            <w:tab/>
          </w:r>
          <w:hyperlink w:anchor="__RefHeading___Toc496435229">
            <w:r>
              <w:rPr>
                <w:rStyle w:val="IndexLink"/>
              </w:rPr>
              <w:t>61</w:t>
            </w:r>
          </w:hyperlink>
        </w:p>
        <w:p>
          <w:pPr>
            <w:pStyle w:val="TOC2"/>
            <w:rPr>
              <w:sz w:val="24"/>
              <w:lang w:val="en-US" w:eastAsia="en-CA"/>
            </w:rPr>
          </w:pPr>
          <w:r>
            <w:rPr/>
            <w:t>Section 15.1</w:t>
          </w:r>
          <w:r>
            <w:rPr>
              <w:sz w:val="24"/>
              <w:lang w:val="en-US" w:eastAsia="en-CA"/>
            </w:rPr>
            <w:tab/>
          </w:r>
          <w:r>
            <w:rPr/>
            <w:t>Contractor Representations.</w:t>
            <w:tab/>
          </w:r>
          <w:hyperlink w:anchor="__RefHeading___Toc496435230">
            <w:r>
              <w:rPr>
                <w:rStyle w:val="IndexLink"/>
              </w:rPr>
              <w:t>61</w:t>
            </w:r>
          </w:hyperlink>
        </w:p>
        <w:p>
          <w:pPr>
            <w:pStyle w:val="TOC2"/>
            <w:rPr>
              <w:sz w:val="24"/>
              <w:lang w:val="en-US" w:eastAsia="en-CA"/>
            </w:rPr>
          </w:pPr>
          <w:r>
            <w:rPr/>
            <w:t>Section 15.2</w:t>
          </w:r>
          <w:r>
            <w:rPr>
              <w:sz w:val="24"/>
              <w:lang w:val="en-US" w:eastAsia="en-CA"/>
            </w:rPr>
            <w:tab/>
          </w:r>
          <w:r>
            <w:rPr/>
            <w:t>Construction Agent Representations.</w:t>
            <w:tab/>
          </w:r>
          <w:hyperlink w:anchor="__RefHeading___Toc496435231">
            <w:r>
              <w:rPr>
                <w:rStyle w:val="IndexLink"/>
              </w:rPr>
              <w:t>62</w:t>
            </w:r>
          </w:hyperlink>
        </w:p>
        <w:p>
          <w:pPr>
            <w:pStyle w:val="TOC1"/>
            <w:rPr/>
          </w:pPr>
          <w:r>
            <w:rPr/>
            <w:t>ARTICLE XVI</w:t>
            <w:tab/>
          </w:r>
          <w:hyperlink w:anchor="__RefHeading___Toc496435232">
            <w:r>
              <w:rPr>
                <w:rStyle w:val="IndexLink"/>
              </w:rPr>
              <w:t>63</w:t>
            </w:r>
          </w:hyperlink>
        </w:p>
        <w:p>
          <w:pPr>
            <w:pStyle w:val="TOC1"/>
            <w:rPr/>
          </w:pPr>
          <w:r>
            <w:rPr/>
            <w:t>DEFAULT, TERMINATION AND SUSPENSION</w:t>
            <w:tab/>
          </w:r>
          <w:hyperlink w:anchor="__RefHeading___Toc496435233">
            <w:r>
              <w:rPr>
                <w:rStyle w:val="IndexLink"/>
              </w:rPr>
              <w:t>63</w:t>
            </w:r>
          </w:hyperlink>
        </w:p>
        <w:p>
          <w:pPr>
            <w:pStyle w:val="TOC2"/>
            <w:rPr>
              <w:sz w:val="24"/>
              <w:lang w:val="en-US" w:eastAsia="en-CA"/>
            </w:rPr>
          </w:pPr>
          <w:r>
            <w:rPr/>
            <w:t>Section 16.1</w:t>
          </w:r>
          <w:r>
            <w:rPr>
              <w:sz w:val="24"/>
              <w:lang w:val="en-US" w:eastAsia="en-CA"/>
            </w:rPr>
            <w:tab/>
          </w:r>
          <w:r>
            <w:rPr/>
            <w:t>Default by Contractor.</w:t>
            <w:tab/>
          </w:r>
          <w:hyperlink w:anchor="__RefHeading___Toc496435234">
            <w:r>
              <w:rPr>
                <w:rStyle w:val="IndexLink"/>
              </w:rPr>
              <w:t>63</w:t>
            </w:r>
          </w:hyperlink>
        </w:p>
        <w:p>
          <w:pPr>
            <w:pStyle w:val="TOC2"/>
            <w:rPr>
              <w:sz w:val="24"/>
              <w:lang w:val="en-US" w:eastAsia="en-CA"/>
            </w:rPr>
          </w:pPr>
          <w:r>
            <w:rPr/>
            <w:t>Section 16.2</w:t>
          </w:r>
          <w:r>
            <w:rPr>
              <w:sz w:val="24"/>
              <w:lang w:val="en-US" w:eastAsia="en-CA"/>
            </w:rPr>
            <w:tab/>
          </w:r>
          <w:r>
            <w:rPr/>
            <w:t>Default by Construction Agent.</w:t>
            <w:tab/>
          </w:r>
          <w:hyperlink w:anchor="__RefHeading___Toc496435235">
            <w:r>
              <w:rPr>
                <w:rStyle w:val="IndexLink"/>
              </w:rPr>
              <w:t>66</w:t>
            </w:r>
          </w:hyperlink>
        </w:p>
        <w:p>
          <w:pPr>
            <w:pStyle w:val="TOC2"/>
            <w:rPr>
              <w:sz w:val="24"/>
              <w:lang w:val="en-US" w:eastAsia="en-CA"/>
            </w:rPr>
          </w:pPr>
          <w:r>
            <w:rPr/>
            <w:t>Section 16.3</w:t>
          </w:r>
          <w:r>
            <w:rPr>
              <w:sz w:val="24"/>
              <w:lang w:val="en-US" w:eastAsia="en-CA"/>
            </w:rPr>
            <w:tab/>
          </w:r>
          <w:r>
            <w:rPr/>
            <w:t>Suspension of Work.</w:t>
            <w:tab/>
          </w:r>
          <w:hyperlink w:anchor="__RefHeading___Toc496435236">
            <w:r>
              <w:rPr>
                <w:rStyle w:val="IndexLink"/>
              </w:rPr>
              <w:t>68</w:t>
            </w:r>
          </w:hyperlink>
        </w:p>
        <w:p>
          <w:pPr>
            <w:pStyle w:val="TOC2"/>
            <w:rPr>
              <w:sz w:val="24"/>
              <w:lang w:val="en-US" w:eastAsia="en-CA"/>
            </w:rPr>
          </w:pPr>
          <w:r>
            <w:rPr/>
            <w:t>Section 16.4.</w:t>
          </w:r>
          <w:r>
            <w:rPr>
              <w:sz w:val="24"/>
              <w:lang w:val="en-US" w:eastAsia="en-CA"/>
            </w:rPr>
            <w:tab/>
          </w:r>
          <w:r>
            <w:rPr/>
            <w:t>Other Termination.</w:t>
            <w:tab/>
          </w:r>
          <w:hyperlink w:anchor="__RefHeading___Toc496435237">
            <w:r>
              <w:rPr>
                <w:rStyle w:val="IndexLink"/>
              </w:rPr>
              <w:t>69</w:t>
            </w:r>
          </w:hyperlink>
        </w:p>
        <w:p>
          <w:pPr>
            <w:pStyle w:val="TOC1"/>
            <w:rPr/>
          </w:pPr>
          <w:r>
            <w:rPr/>
            <w:t>ARTICLE XVII</w:t>
            <w:tab/>
          </w:r>
          <w:hyperlink w:anchor="__RefHeading___Toc496435238">
            <w:r>
              <w:rPr>
                <w:rStyle w:val="IndexLink"/>
              </w:rPr>
              <w:t>71</w:t>
            </w:r>
          </w:hyperlink>
        </w:p>
        <w:p>
          <w:pPr>
            <w:pStyle w:val="TOC1"/>
            <w:rPr/>
          </w:pPr>
          <w:r>
            <w:rPr/>
            <w:t>FORCE MAJEURE</w:t>
            <w:tab/>
          </w:r>
          <w:hyperlink w:anchor="__RefHeading___Toc496435239">
            <w:r>
              <w:rPr>
                <w:rStyle w:val="IndexLink"/>
              </w:rPr>
              <w:t>71</w:t>
            </w:r>
          </w:hyperlink>
        </w:p>
        <w:p>
          <w:pPr>
            <w:pStyle w:val="TOC2"/>
            <w:rPr>
              <w:sz w:val="24"/>
              <w:lang w:val="en-US" w:eastAsia="en-CA"/>
            </w:rPr>
          </w:pPr>
          <w:r>
            <w:rPr/>
            <w:t>Section 17.1</w:t>
          </w:r>
          <w:r>
            <w:rPr>
              <w:sz w:val="24"/>
              <w:lang w:val="en-US" w:eastAsia="en-CA"/>
            </w:rPr>
            <w:tab/>
          </w:r>
          <w:r>
            <w:rPr/>
            <w:t>Force Majeure.</w:t>
            <w:tab/>
          </w:r>
          <w:hyperlink w:anchor="__RefHeading___Toc496435240">
            <w:r>
              <w:rPr>
                <w:rStyle w:val="IndexLink"/>
              </w:rPr>
              <w:t>71</w:t>
            </w:r>
          </w:hyperlink>
        </w:p>
        <w:p>
          <w:pPr>
            <w:pStyle w:val="TOC2"/>
            <w:rPr>
              <w:sz w:val="24"/>
              <w:lang w:val="en-US" w:eastAsia="en-CA"/>
            </w:rPr>
          </w:pPr>
          <w:r>
            <w:rPr/>
            <w:t>Section 17.2</w:t>
          </w:r>
          <w:r>
            <w:rPr>
              <w:sz w:val="24"/>
              <w:lang w:val="en-US" w:eastAsia="en-CA"/>
            </w:rPr>
            <w:tab/>
          </w:r>
          <w:r>
            <w:rPr/>
            <w:t>Excused Performance.</w:t>
            <w:tab/>
          </w:r>
          <w:hyperlink w:anchor="__RefHeading___Toc496435241">
            <w:r>
              <w:rPr>
                <w:rStyle w:val="IndexLink"/>
              </w:rPr>
              <w:t>72</w:t>
            </w:r>
          </w:hyperlink>
        </w:p>
        <w:p>
          <w:pPr>
            <w:pStyle w:val="TOC2"/>
            <w:rPr>
              <w:sz w:val="24"/>
              <w:lang w:val="en-US" w:eastAsia="en-CA"/>
            </w:rPr>
          </w:pPr>
          <w:r>
            <w:rPr/>
            <w:t>Section 17.3</w:t>
          </w:r>
          <w:r>
            <w:rPr>
              <w:sz w:val="24"/>
              <w:lang w:val="en-US" w:eastAsia="en-CA"/>
            </w:rPr>
            <w:tab/>
          </w:r>
          <w:r>
            <w:rPr/>
            <w:t>Burden of Proof.</w:t>
            <w:tab/>
          </w:r>
          <w:hyperlink w:anchor="__RefHeading___Toc496435242">
            <w:r>
              <w:rPr>
                <w:rStyle w:val="IndexLink"/>
              </w:rPr>
              <w:t>73</w:t>
            </w:r>
          </w:hyperlink>
        </w:p>
        <w:p>
          <w:pPr>
            <w:pStyle w:val="TOC2"/>
            <w:rPr>
              <w:sz w:val="24"/>
              <w:lang w:val="en-US" w:eastAsia="en-CA"/>
            </w:rPr>
          </w:pPr>
          <w:r>
            <w:rPr/>
            <w:t>Section 17.4</w:t>
          </w:r>
          <w:r>
            <w:rPr>
              <w:sz w:val="24"/>
              <w:lang w:val="en-US" w:eastAsia="en-CA"/>
            </w:rPr>
            <w:tab/>
          </w:r>
          <w:r>
            <w:rPr/>
            <w:t>Construction Agent Self-Help.</w:t>
            <w:tab/>
          </w:r>
          <w:hyperlink w:anchor="__RefHeading___Toc496435243">
            <w:r>
              <w:rPr>
                <w:rStyle w:val="IndexLink"/>
              </w:rPr>
              <w:t>73</w:t>
            </w:r>
          </w:hyperlink>
        </w:p>
        <w:p>
          <w:pPr>
            <w:pStyle w:val="TOC1"/>
            <w:rPr/>
          </w:pPr>
          <w:r>
            <w:rPr/>
            <w:t>ARTICLE XVIII</w:t>
            <w:tab/>
          </w:r>
          <w:hyperlink w:anchor="__RefHeading___Toc496435244">
            <w:r>
              <w:rPr>
                <w:rStyle w:val="IndexLink"/>
              </w:rPr>
              <w:t>74</w:t>
            </w:r>
          </w:hyperlink>
        </w:p>
        <w:p>
          <w:pPr>
            <w:pStyle w:val="TOC1"/>
            <w:rPr/>
          </w:pPr>
          <w:r>
            <w:rPr/>
            <w:t>INDEMNITIES</w:t>
            <w:tab/>
          </w:r>
          <w:hyperlink w:anchor="__RefHeading___Toc496435245">
            <w:r>
              <w:rPr>
                <w:rStyle w:val="IndexLink"/>
              </w:rPr>
              <w:t>74</w:t>
            </w:r>
          </w:hyperlink>
        </w:p>
        <w:p>
          <w:pPr>
            <w:pStyle w:val="TOC2"/>
            <w:rPr>
              <w:sz w:val="24"/>
              <w:lang w:val="en-US" w:eastAsia="en-CA"/>
            </w:rPr>
          </w:pPr>
          <w:r>
            <w:rPr/>
            <w:t>Section 18.1</w:t>
          </w:r>
          <w:r>
            <w:rPr>
              <w:sz w:val="24"/>
              <w:lang w:val="en-US" w:eastAsia="en-CA"/>
            </w:rPr>
            <w:tab/>
          </w:r>
          <w:r>
            <w:rPr/>
            <w:t>Contractor Indemnity.</w:t>
            <w:tab/>
          </w:r>
          <w:hyperlink w:anchor="__RefHeading___Toc496435246">
            <w:r>
              <w:rPr>
                <w:rStyle w:val="IndexLink"/>
              </w:rPr>
              <w:t>74</w:t>
            </w:r>
          </w:hyperlink>
        </w:p>
        <w:p>
          <w:pPr>
            <w:pStyle w:val="TOC2"/>
            <w:rPr>
              <w:sz w:val="24"/>
              <w:lang w:val="en-US" w:eastAsia="en-CA"/>
            </w:rPr>
          </w:pPr>
          <w:r>
            <w:rPr/>
            <w:t>Section 18.2</w:t>
          </w:r>
          <w:r>
            <w:rPr>
              <w:sz w:val="24"/>
              <w:lang w:val="en-US" w:eastAsia="en-CA"/>
            </w:rPr>
            <w:tab/>
          </w:r>
          <w:r>
            <w:rPr/>
            <w:t>Construction Agent Indemnity.</w:t>
            <w:tab/>
          </w:r>
          <w:hyperlink w:anchor="__RefHeading___Toc496435247">
            <w:r>
              <w:rPr>
                <w:rStyle w:val="IndexLink"/>
              </w:rPr>
              <w:t>74</w:t>
            </w:r>
          </w:hyperlink>
        </w:p>
        <w:p>
          <w:pPr>
            <w:pStyle w:val="TOC2"/>
            <w:rPr>
              <w:sz w:val="24"/>
              <w:lang w:val="en-US" w:eastAsia="en-CA"/>
            </w:rPr>
          </w:pPr>
          <w:r>
            <w:rPr/>
            <w:t>Section 18.3</w:t>
          </w:r>
          <w:r>
            <w:rPr>
              <w:sz w:val="24"/>
              <w:lang w:val="en-US" w:eastAsia="en-CA"/>
            </w:rPr>
            <w:tab/>
          </w:r>
          <w:r>
            <w:rPr/>
            <w:t>Patent Indemnity.</w:t>
            <w:tab/>
          </w:r>
          <w:hyperlink w:anchor="__RefHeading___Toc496435248">
            <w:r>
              <w:rPr>
                <w:rStyle w:val="IndexLink"/>
              </w:rPr>
              <w:t>74</w:t>
            </w:r>
          </w:hyperlink>
        </w:p>
        <w:p>
          <w:pPr>
            <w:pStyle w:val="TOC2"/>
            <w:rPr>
              <w:sz w:val="24"/>
              <w:lang w:val="en-US" w:eastAsia="en-CA"/>
            </w:rPr>
          </w:pPr>
          <w:r>
            <w:rPr/>
            <w:t>Section 18.4</w:t>
          </w:r>
          <w:r>
            <w:rPr>
              <w:sz w:val="24"/>
              <w:lang w:val="en-US" w:eastAsia="en-CA"/>
            </w:rPr>
            <w:tab/>
          </w:r>
          <w:r>
            <w:rPr/>
            <w:t>Notice.</w:t>
            <w:tab/>
          </w:r>
          <w:hyperlink w:anchor="__RefHeading___Toc496435249">
            <w:r>
              <w:rPr>
                <w:rStyle w:val="IndexLink"/>
              </w:rPr>
              <w:t>75</w:t>
            </w:r>
          </w:hyperlink>
        </w:p>
        <w:p>
          <w:pPr>
            <w:pStyle w:val="TOC2"/>
            <w:rPr>
              <w:sz w:val="24"/>
              <w:lang w:val="en-US" w:eastAsia="en-CA"/>
            </w:rPr>
          </w:pPr>
          <w:r>
            <w:rPr/>
            <w:t>Section 18.5</w:t>
          </w:r>
          <w:r>
            <w:rPr>
              <w:sz w:val="24"/>
              <w:lang w:val="en-US" w:eastAsia="en-CA"/>
            </w:rPr>
            <w:tab/>
          </w:r>
          <w:r>
            <w:rPr/>
            <w:t>Conduct and Administration of Claims.</w:t>
            <w:tab/>
          </w:r>
          <w:hyperlink w:anchor="__RefHeading___Toc496435250">
            <w:r>
              <w:rPr>
                <w:rStyle w:val="IndexLink"/>
              </w:rPr>
              <w:t>75</w:t>
            </w:r>
          </w:hyperlink>
        </w:p>
        <w:p>
          <w:pPr>
            <w:pStyle w:val="TOC2"/>
            <w:rPr>
              <w:sz w:val="24"/>
              <w:lang w:val="en-US" w:eastAsia="en-CA"/>
            </w:rPr>
          </w:pPr>
          <w:r>
            <w:rPr/>
            <w:t>Section 18.6</w:t>
          </w:r>
          <w:r>
            <w:rPr>
              <w:sz w:val="24"/>
              <w:lang w:val="en-US" w:eastAsia="en-CA"/>
            </w:rPr>
            <w:tab/>
          </w:r>
          <w:r>
            <w:rPr/>
            <w:t>Insurance.</w:t>
            <w:tab/>
          </w:r>
          <w:hyperlink w:anchor="__RefHeading___Toc496435251">
            <w:r>
              <w:rPr>
                <w:rStyle w:val="IndexLink"/>
              </w:rPr>
              <w:t>76</w:t>
            </w:r>
          </w:hyperlink>
        </w:p>
        <w:p>
          <w:pPr>
            <w:pStyle w:val="TOC2"/>
            <w:rPr>
              <w:sz w:val="24"/>
              <w:lang w:val="en-US" w:eastAsia="en-CA"/>
            </w:rPr>
          </w:pPr>
          <w:r>
            <w:rPr/>
            <w:t>Section 18.7</w:t>
          </w:r>
          <w:r>
            <w:rPr>
              <w:sz w:val="24"/>
              <w:lang w:val="en-US" w:eastAsia="en-CA"/>
            </w:rPr>
            <w:tab/>
          </w:r>
          <w:r>
            <w:rPr/>
            <w:t>Limitation on Contractor Indemnities.</w:t>
            <w:tab/>
          </w:r>
          <w:hyperlink w:anchor="__RefHeading___Toc496435252">
            <w:r>
              <w:rPr>
                <w:rStyle w:val="IndexLink"/>
              </w:rPr>
              <w:t>76</w:t>
            </w:r>
          </w:hyperlink>
        </w:p>
        <w:p>
          <w:pPr>
            <w:pStyle w:val="TOC1"/>
            <w:rPr/>
          </w:pPr>
          <w:r>
            <w:rPr/>
            <w:t>ARTICLE XIX</w:t>
            <w:tab/>
          </w:r>
          <w:hyperlink w:anchor="__RefHeading___Toc496435253">
            <w:r>
              <w:rPr>
                <w:rStyle w:val="IndexLink"/>
              </w:rPr>
              <w:t>76</w:t>
            </w:r>
          </w:hyperlink>
        </w:p>
        <w:p>
          <w:pPr>
            <w:pStyle w:val="TOC1"/>
            <w:rPr/>
          </w:pPr>
          <w:r>
            <w:rPr/>
            <w:t>DISPUTE RESOLUTION</w:t>
            <w:tab/>
          </w:r>
          <w:hyperlink w:anchor="__RefHeading___Toc496435254">
            <w:r>
              <w:rPr>
                <w:rStyle w:val="IndexLink"/>
              </w:rPr>
              <w:t>76</w:t>
            </w:r>
          </w:hyperlink>
        </w:p>
        <w:p>
          <w:pPr>
            <w:pStyle w:val="TOC2"/>
            <w:rPr>
              <w:sz w:val="24"/>
              <w:lang w:val="en-US" w:eastAsia="en-CA"/>
            </w:rPr>
          </w:pPr>
          <w:r>
            <w:rPr/>
            <w:t>Section 19.1</w:t>
          </w:r>
          <w:r>
            <w:rPr>
              <w:sz w:val="24"/>
              <w:lang w:val="en-US" w:eastAsia="en-CA"/>
            </w:rPr>
            <w:tab/>
          </w:r>
          <w:r>
            <w:rPr/>
            <w:t>Expert Determination Regarding Time or Price.</w:t>
            <w:tab/>
          </w:r>
          <w:hyperlink w:anchor="__RefHeading___Toc496435255">
            <w:r>
              <w:rPr>
                <w:rStyle w:val="IndexLink"/>
              </w:rPr>
              <w:t>76</w:t>
            </w:r>
          </w:hyperlink>
        </w:p>
        <w:p>
          <w:pPr>
            <w:pStyle w:val="TOC2"/>
            <w:rPr>
              <w:sz w:val="24"/>
              <w:lang w:val="en-US" w:eastAsia="en-CA"/>
            </w:rPr>
          </w:pPr>
          <w:r>
            <w:rPr/>
            <w:t>Section 19.2</w:t>
          </w:r>
          <w:r>
            <w:rPr>
              <w:sz w:val="24"/>
              <w:lang w:val="en-US" w:eastAsia="en-CA"/>
            </w:rPr>
            <w:tab/>
          </w:r>
          <w:r>
            <w:rPr/>
            <w:t>Senior Management Resolution.</w:t>
            <w:tab/>
          </w:r>
          <w:hyperlink w:anchor="__RefHeading___Toc496435256">
            <w:r>
              <w:rPr>
                <w:rStyle w:val="IndexLink"/>
              </w:rPr>
              <w:t>79</w:t>
            </w:r>
          </w:hyperlink>
        </w:p>
        <w:p>
          <w:pPr>
            <w:pStyle w:val="TOC2"/>
            <w:rPr>
              <w:sz w:val="24"/>
              <w:lang w:val="en-US" w:eastAsia="en-CA"/>
            </w:rPr>
          </w:pPr>
          <w:r>
            <w:rPr/>
            <w:t>Section 19.3</w:t>
          </w:r>
          <w:r>
            <w:rPr>
              <w:sz w:val="24"/>
              <w:lang w:val="en-US" w:eastAsia="en-CA"/>
            </w:rPr>
            <w:tab/>
          </w:r>
          <w:r>
            <w:rPr/>
            <w:t>Arbitration.</w:t>
            <w:tab/>
          </w:r>
          <w:hyperlink w:anchor="__RefHeading___Toc496435257">
            <w:r>
              <w:rPr>
                <w:rStyle w:val="IndexLink"/>
              </w:rPr>
              <w:t>79</w:t>
            </w:r>
          </w:hyperlink>
        </w:p>
        <w:p>
          <w:pPr>
            <w:pStyle w:val="TOC2"/>
            <w:rPr>
              <w:sz w:val="24"/>
              <w:lang w:val="en-US" w:eastAsia="en-CA"/>
            </w:rPr>
          </w:pPr>
          <w:r>
            <w:rPr/>
            <w:t>Section 19.4</w:t>
          </w:r>
          <w:r>
            <w:rPr>
              <w:sz w:val="24"/>
              <w:lang w:val="en-US" w:eastAsia="en-CA"/>
            </w:rPr>
            <w:tab/>
          </w:r>
          <w:r>
            <w:rPr/>
            <w:t>Submission to Jurisdiction and Service of Process.</w:t>
            <w:tab/>
          </w:r>
          <w:hyperlink w:anchor="__RefHeading___Toc496435258">
            <w:r>
              <w:rPr>
                <w:rStyle w:val="IndexLink"/>
              </w:rPr>
              <w:t>80</w:t>
            </w:r>
          </w:hyperlink>
        </w:p>
        <w:p>
          <w:pPr>
            <w:pStyle w:val="TOC2"/>
            <w:rPr>
              <w:sz w:val="24"/>
              <w:lang w:val="en-US" w:eastAsia="en-CA"/>
            </w:rPr>
          </w:pPr>
          <w:r>
            <w:rPr/>
            <w:t>Section 19.5</w:t>
          </w:r>
          <w:r>
            <w:rPr>
              <w:sz w:val="24"/>
              <w:lang w:val="en-US" w:eastAsia="en-CA"/>
            </w:rPr>
            <w:tab/>
          </w:r>
          <w:r>
            <w:rPr/>
            <w:t>Applicable Law and Arbitration Act; Waiver of Punitive Damages.</w:t>
            <w:tab/>
          </w:r>
          <w:hyperlink w:anchor="__RefHeading___Toc496435259">
            <w:r>
              <w:rPr>
                <w:rStyle w:val="IndexLink"/>
              </w:rPr>
              <w:t>80</w:t>
            </w:r>
          </w:hyperlink>
        </w:p>
        <w:p>
          <w:pPr>
            <w:pStyle w:val="TOC2"/>
            <w:rPr>
              <w:sz w:val="24"/>
              <w:lang w:val="en-US" w:eastAsia="en-CA"/>
            </w:rPr>
          </w:pPr>
          <w:r>
            <w:rPr/>
            <w:t>Section 19.6</w:t>
          </w:r>
          <w:r>
            <w:rPr>
              <w:sz w:val="24"/>
              <w:lang w:val="en-US" w:eastAsia="en-CA"/>
            </w:rPr>
            <w:tab/>
          </w:r>
          <w:r>
            <w:rPr/>
            <w:t>Consolidation.</w:t>
            <w:tab/>
          </w:r>
          <w:hyperlink w:anchor="__RefHeading___Toc496435260">
            <w:r>
              <w:rPr>
                <w:rStyle w:val="IndexLink"/>
              </w:rPr>
              <w:t>81</w:t>
            </w:r>
          </w:hyperlink>
        </w:p>
        <w:p>
          <w:pPr>
            <w:pStyle w:val="TOC2"/>
            <w:rPr>
              <w:sz w:val="24"/>
              <w:lang w:val="en-US" w:eastAsia="en-CA"/>
            </w:rPr>
          </w:pPr>
          <w:r>
            <w:rPr/>
            <w:t>Section 19.7</w:t>
          </w:r>
          <w:r>
            <w:rPr>
              <w:sz w:val="24"/>
              <w:lang w:val="en-US" w:eastAsia="en-CA"/>
            </w:rPr>
            <w:tab/>
          </w:r>
          <w:r>
            <w:rPr/>
            <w:t>Continuation of Services.</w:t>
            <w:tab/>
          </w:r>
          <w:hyperlink w:anchor="__RefHeading___Toc496435261">
            <w:r>
              <w:rPr>
                <w:rStyle w:val="IndexLink"/>
              </w:rPr>
              <w:t>81</w:t>
            </w:r>
          </w:hyperlink>
        </w:p>
        <w:p>
          <w:pPr>
            <w:pStyle w:val="TOC1"/>
            <w:rPr/>
          </w:pPr>
          <w:r>
            <w:rPr/>
            <w:t>ARTICLE XX</w:t>
            <w:tab/>
          </w:r>
          <w:hyperlink w:anchor="__RefHeading___Toc496435262">
            <w:r>
              <w:rPr>
                <w:rStyle w:val="IndexLink"/>
              </w:rPr>
              <w:t>81</w:t>
            </w:r>
          </w:hyperlink>
        </w:p>
        <w:p>
          <w:pPr>
            <w:pStyle w:val="TOC1"/>
            <w:rPr/>
          </w:pPr>
          <w:r>
            <w:rPr/>
            <w:t>CONFIDENTIAL INFORMATION</w:t>
            <w:tab/>
          </w:r>
          <w:hyperlink w:anchor="__RefHeading___Toc496435263">
            <w:r>
              <w:rPr>
                <w:rStyle w:val="IndexLink"/>
              </w:rPr>
              <w:t>81</w:t>
            </w:r>
          </w:hyperlink>
        </w:p>
        <w:p>
          <w:pPr>
            <w:pStyle w:val="TOC2"/>
            <w:rPr>
              <w:sz w:val="24"/>
              <w:lang w:val="en-US" w:eastAsia="en-CA"/>
            </w:rPr>
          </w:pPr>
          <w:r>
            <w:rPr/>
            <w:t>Section 20.1</w:t>
          </w:r>
          <w:r>
            <w:rPr>
              <w:sz w:val="24"/>
              <w:lang w:val="en-US" w:eastAsia="en-CA"/>
            </w:rPr>
            <w:tab/>
          </w:r>
          <w:r>
            <w:rPr/>
            <w:t>Confidential Information.</w:t>
            <w:tab/>
          </w:r>
          <w:hyperlink w:anchor="__RefHeading___Toc496435264">
            <w:r>
              <w:rPr>
                <w:rStyle w:val="IndexLink"/>
              </w:rPr>
              <w:t>81</w:t>
            </w:r>
          </w:hyperlink>
        </w:p>
        <w:p>
          <w:pPr>
            <w:pStyle w:val="TOC2"/>
            <w:rPr>
              <w:sz w:val="24"/>
              <w:lang w:val="en-US" w:eastAsia="en-CA"/>
            </w:rPr>
          </w:pPr>
          <w:r>
            <w:rPr/>
            <w:t>Section 20.2</w:t>
          </w:r>
          <w:r>
            <w:rPr>
              <w:sz w:val="24"/>
              <w:lang w:val="en-US" w:eastAsia="en-CA"/>
            </w:rPr>
            <w:tab/>
          </w:r>
          <w:r>
            <w:rPr/>
            <w:t>Notice Preceding Compelled Disclosure.</w:t>
            <w:tab/>
          </w:r>
          <w:hyperlink w:anchor="__RefHeading___Toc496435265">
            <w:r>
              <w:rPr>
                <w:rStyle w:val="IndexLink"/>
              </w:rPr>
              <w:t>81</w:t>
            </w:r>
          </w:hyperlink>
        </w:p>
        <w:p>
          <w:pPr>
            <w:pStyle w:val="TOC2"/>
            <w:rPr>
              <w:sz w:val="24"/>
              <w:lang w:val="en-US" w:eastAsia="en-CA"/>
            </w:rPr>
          </w:pPr>
          <w:r>
            <w:rPr/>
            <w:t>Section 20.3</w:t>
          </w:r>
          <w:r>
            <w:rPr>
              <w:sz w:val="24"/>
              <w:lang w:val="en-US" w:eastAsia="en-CA"/>
            </w:rPr>
            <w:tab/>
          </w:r>
          <w:r>
            <w:rPr/>
            <w:t>Definition of "Confidential Information".</w:t>
            <w:tab/>
          </w:r>
          <w:hyperlink w:anchor="__RefHeading___Toc496435266">
            <w:r>
              <w:rPr>
                <w:rStyle w:val="IndexLink"/>
              </w:rPr>
              <w:t>82</w:t>
            </w:r>
          </w:hyperlink>
        </w:p>
        <w:p>
          <w:pPr>
            <w:pStyle w:val="TOC2"/>
            <w:rPr>
              <w:sz w:val="24"/>
              <w:lang w:val="en-US" w:eastAsia="en-CA"/>
            </w:rPr>
          </w:pPr>
          <w:r>
            <w:rPr/>
            <w:t>Section 20.4</w:t>
          </w:r>
          <w:r>
            <w:rPr>
              <w:sz w:val="24"/>
              <w:lang w:val="en-US" w:eastAsia="en-CA"/>
            </w:rPr>
            <w:tab/>
          </w:r>
          <w:r>
            <w:rPr/>
            <w:t>Remedies.</w:t>
            <w:tab/>
          </w:r>
          <w:hyperlink w:anchor="__RefHeading___Toc496435267">
            <w:r>
              <w:rPr>
                <w:rStyle w:val="IndexLink"/>
              </w:rPr>
              <w:t>82</w:t>
            </w:r>
          </w:hyperlink>
        </w:p>
        <w:p>
          <w:pPr>
            <w:pStyle w:val="TOC1"/>
            <w:rPr/>
          </w:pPr>
          <w:r>
            <w:rPr/>
            <w:t>ARTICLE XXI</w:t>
            <w:tab/>
          </w:r>
          <w:hyperlink w:anchor="__RefHeading___Toc496435268">
            <w:r>
              <w:rPr>
                <w:rStyle w:val="IndexLink"/>
              </w:rPr>
              <w:t>82</w:t>
            </w:r>
          </w:hyperlink>
        </w:p>
        <w:p>
          <w:pPr>
            <w:pStyle w:val="TOC1"/>
            <w:rPr/>
          </w:pPr>
          <w:r>
            <w:rPr/>
            <w:t>SECURITY</w:t>
            <w:tab/>
          </w:r>
          <w:hyperlink w:anchor="__RefHeading___Toc496435269">
            <w:r>
              <w:rPr>
                <w:rStyle w:val="IndexLink"/>
              </w:rPr>
              <w:t>82</w:t>
            </w:r>
          </w:hyperlink>
        </w:p>
        <w:p>
          <w:pPr>
            <w:pStyle w:val="TOC2"/>
            <w:rPr>
              <w:sz w:val="24"/>
              <w:lang w:val="en-US" w:eastAsia="en-CA"/>
            </w:rPr>
          </w:pPr>
          <w:r>
            <w:rPr/>
            <w:t>Section 21.1</w:t>
          </w:r>
          <w:r>
            <w:rPr>
              <w:sz w:val="24"/>
              <w:lang w:val="en-US" w:eastAsia="en-CA"/>
            </w:rPr>
            <w:tab/>
          </w:r>
          <w:r>
            <w:rPr/>
            <w:t>Retention Bond.</w:t>
            <w:tab/>
          </w:r>
          <w:hyperlink w:anchor="__RefHeading___Toc496435270">
            <w:r>
              <w:rPr>
                <w:rStyle w:val="IndexLink"/>
              </w:rPr>
              <w:t>82</w:t>
            </w:r>
          </w:hyperlink>
        </w:p>
        <w:p>
          <w:pPr>
            <w:pStyle w:val="TOC2"/>
            <w:rPr>
              <w:sz w:val="24"/>
              <w:lang w:val="en-US" w:eastAsia="en-CA"/>
            </w:rPr>
          </w:pPr>
          <w:r>
            <w:rPr/>
            <w:t>Section 21.2</w:t>
          </w:r>
          <w:r>
            <w:rPr>
              <w:sz w:val="24"/>
              <w:lang w:val="en-US" w:eastAsia="en-CA"/>
            </w:rPr>
            <w:tab/>
          </w:r>
          <w:r>
            <w:rPr/>
            <w:t>Warranty Bond.</w:t>
            <w:tab/>
          </w:r>
          <w:hyperlink w:anchor="__RefHeading___Toc496435271">
            <w:r>
              <w:rPr>
                <w:rStyle w:val="IndexLink"/>
              </w:rPr>
              <w:t>83</w:t>
            </w:r>
          </w:hyperlink>
        </w:p>
        <w:p>
          <w:pPr>
            <w:pStyle w:val="TOC2"/>
            <w:rPr>
              <w:sz w:val="24"/>
              <w:lang w:val="en-US" w:eastAsia="en-CA"/>
            </w:rPr>
          </w:pPr>
          <w:r>
            <w:rPr/>
            <w:t>Section 21.3</w:t>
          </w:r>
          <w:r>
            <w:rPr>
              <w:sz w:val="24"/>
              <w:lang w:val="en-US" w:eastAsia="en-CA"/>
            </w:rPr>
            <w:tab/>
          </w:r>
          <w:r>
            <w:rPr>
              <w:color w:val="000000"/>
            </w:rPr>
            <w:t>Parent Guarantee.</w:t>
          </w:r>
          <w:r>
            <w:rPr/>
            <w:tab/>
          </w:r>
          <w:hyperlink w:anchor="__RefHeading___Toc496435272">
            <w:r>
              <w:rPr>
                <w:rStyle w:val="IndexLink"/>
              </w:rPr>
              <w:t>83</w:t>
            </w:r>
          </w:hyperlink>
        </w:p>
        <w:p>
          <w:pPr>
            <w:pStyle w:val="TOC1"/>
            <w:rPr/>
          </w:pPr>
          <w:r>
            <w:rPr/>
            <w:t>ARTICLE XXII</w:t>
            <w:tab/>
          </w:r>
          <w:hyperlink w:anchor="__RefHeading___Toc496435273">
            <w:r>
              <w:rPr>
                <w:rStyle w:val="IndexLink"/>
              </w:rPr>
              <w:t>83</w:t>
            </w:r>
          </w:hyperlink>
        </w:p>
        <w:p>
          <w:pPr>
            <w:pStyle w:val="TOC1"/>
            <w:rPr/>
          </w:pPr>
          <w:r>
            <w:rPr/>
            <w:t>MISCELLANEOUS PROVISIONS</w:t>
            <w:tab/>
          </w:r>
          <w:hyperlink w:anchor="__RefHeading___Toc496435274">
            <w:r>
              <w:rPr>
                <w:rStyle w:val="IndexLink"/>
              </w:rPr>
              <w:t>83</w:t>
            </w:r>
          </w:hyperlink>
        </w:p>
        <w:p>
          <w:pPr>
            <w:pStyle w:val="TOC2"/>
            <w:rPr>
              <w:sz w:val="24"/>
              <w:lang w:val="en-US" w:eastAsia="en-CA"/>
            </w:rPr>
          </w:pPr>
          <w:r>
            <w:rPr/>
            <w:t>Section 22.1</w:t>
          </w:r>
          <w:r>
            <w:rPr>
              <w:sz w:val="24"/>
              <w:lang w:val="en-US" w:eastAsia="en-CA"/>
            </w:rPr>
            <w:tab/>
          </w:r>
          <w:r>
            <w:rPr/>
            <w:t>Governing Law.</w:t>
            <w:tab/>
          </w:r>
          <w:hyperlink w:anchor="__RefHeading___Toc496435275">
            <w:r>
              <w:rPr>
                <w:rStyle w:val="IndexLink"/>
              </w:rPr>
              <w:t>83</w:t>
            </w:r>
          </w:hyperlink>
        </w:p>
        <w:p>
          <w:pPr>
            <w:pStyle w:val="TOC2"/>
            <w:rPr>
              <w:sz w:val="24"/>
              <w:lang w:val="en-US" w:eastAsia="en-CA"/>
            </w:rPr>
          </w:pPr>
          <w:r>
            <w:rPr/>
            <w:t>Section 22.2</w:t>
          </w:r>
          <w:r>
            <w:rPr>
              <w:sz w:val="24"/>
              <w:lang w:val="en-US" w:eastAsia="en-CA"/>
            </w:rPr>
            <w:tab/>
          </w:r>
          <w:r>
            <w:rPr/>
            <w:t>Notice.</w:t>
            <w:tab/>
          </w:r>
          <w:hyperlink w:anchor="__RefHeading___Toc496435276">
            <w:r>
              <w:rPr>
                <w:rStyle w:val="IndexLink"/>
              </w:rPr>
              <w:t>83</w:t>
            </w:r>
          </w:hyperlink>
        </w:p>
        <w:p>
          <w:pPr>
            <w:pStyle w:val="TOC2"/>
            <w:rPr>
              <w:sz w:val="24"/>
              <w:lang w:val="en-US" w:eastAsia="en-CA"/>
            </w:rPr>
          </w:pPr>
          <w:r>
            <w:rPr/>
            <w:t>Section 22.3</w:t>
          </w:r>
          <w:r>
            <w:rPr>
              <w:sz w:val="24"/>
              <w:lang w:val="en-US" w:eastAsia="en-CA"/>
            </w:rPr>
            <w:tab/>
          </w:r>
          <w:r>
            <w:rPr/>
            <w:t>Assignment.</w:t>
            <w:tab/>
          </w:r>
          <w:hyperlink w:anchor="__RefHeading___Toc496435277">
            <w:r>
              <w:rPr>
                <w:rStyle w:val="IndexLink"/>
              </w:rPr>
              <w:t>85</w:t>
            </w:r>
          </w:hyperlink>
        </w:p>
        <w:p>
          <w:pPr>
            <w:pStyle w:val="TOC2"/>
            <w:rPr>
              <w:sz w:val="24"/>
              <w:lang w:val="en-US" w:eastAsia="en-CA"/>
            </w:rPr>
          </w:pPr>
          <w:r>
            <w:rPr/>
            <w:t>Section 22.4</w:t>
          </w:r>
          <w:r>
            <w:rPr>
              <w:sz w:val="24"/>
              <w:lang w:val="en-US" w:eastAsia="en-CA"/>
            </w:rPr>
            <w:tab/>
          </w:r>
          <w:r>
            <w:rPr/>
            <w:t>No Unlawful Payments; Indemnity.</w:t>
            <w:tab/>
          </w:r>
          <w:hyperlink w:anchor="__RefHeading___Toc496435278">
            <w:r>
              <w:rPr>
                <w:rStyle w:val="IndexLink"/>
              </w:rPr>
              <w:t>85</w:t>
            </w:r>
          </w:hyperlink>
        </w:p>
        <w:p>
          <w:pPr>
            <w:pStyle w:val="TOC2"/>
            <w:rPr>
              <w:sz w:val="24"/>
              <w:lang w:val="en-US" w:eastAsia="en-CA"/>
            </w:rPr>
          </w:pPr>
          <w:r>
            <w:rPr/>
            <w:t>Section 22.5</w:t>
          </w:r>
          <w:r>
            <w:rPr>
              <w:sz w:val="24"/>
              <w:lang w:val="en-US" w:eastAsia="en-CA"/>
            </w:rPr>
            <w:tab/>
          </w:r>
          <w:r>
            <w:rPr/>
            <w:t>Miscellaneous.</w:t>
            <w:tab/>
          </w:r>
          <w:hyperlink w:anchor="__RefHeading___Toc496435279">
            <w:r>
              <w:rPr>
                <w:rStyle w:val="IndexLink"/>
              </w:rPr>
              <w:t>86</w:t>
            </w:r>
          </w:hyperlink>
          <w:r>
            <w:rPr>
              <w:rStyle w:val="IndexLink"/>
            </w:rPr>
            <w:fldChar w:fldCharType="end"/>
          </w:r>
        </w:p>
      </w:sdtContent>
    </w:sdt>
    <w:p>
      <w:pPr>
        <w:pStyle w:val="Normal"/>
        <w:rPr>
          <w:b/>
          <w:bCs/>
          <w:sz w:val="24"/>
          <w:lang w:val="en-US" w:eastAsia="en-CA"/>
        </w:rPr>
      </w:pPr>
      <w:r>
        <w:rPr>
          <w:b/>
          <w:bCs/>
          <w:sz w:val="24"/>
          <w:lang w:val="en-US" w:eastAsia="en-CA"/>
        </w:rPr>
      </w:r>
      <w:r>
        <w:br w:type="page"/>
      </w:r>
    </w:p>
    <w:p>
      <w:pPr>
        <w:pStyle w:val="Normal"/>
        <w:rPr>
          <w:bCs/>
          <w:lang w:val="en-CA" w:eastAsia="en-CA"/>
        </w:rPr>
      </w:pPr>
      <w:r>
        <w:rPr>
          <w:bCs/>
          <w:lang w:val="en-CA" w:eastAsia="en-CA"/>
        </w:rPr>
        <w:t>SCHEDULE OF EXHIBITS</w:t>
      </w:r>
    </w:p>
    <w:p>
      <w:pPr>
        <w:pStyle w:val="Normal"/>
        <w:tabs>
          <w:tab w:val="clear" w:pos="720"/>
          <w:tab w:val="left" w:pos="1440" w:leader="none"/>
          <w:tab w:val="left" w:pos="8784" w:leader="dot"/>
        </w:tabs>
        <w:rPr>
          <w:bCs/>
          <w:lang w:val="en-CA" w:eastAsia="en-CA"/>
        </w:rPr>
      </w:pPr>
      <w:r>
        <w:rPr>
          <w:bCs/>
          <w:lang w:val="en-CA" w:eastAsia="en-CA"/>
        </w:rPr>
      </w:r>
    </w:p>
    <w:p>
      <w:pPr>
        <w:pStyle w:val="Normal"/>
        <w:tabs>
          <w:tab w:val="clear" w:pos="720"/>
          <w:tab w:val="left" w:pos="1680" w:leader="none"/>
          <w:tab w:val="left" w:pos="8784" w:leader="dot"/>
        </w:tabs>
        <w:rPr>
          <w:lang w:val="en-CA" w:eastAsia="en-CA"/>
        </w:rPr>
      </w:pPr>
      <w:r>
        <w:rPr>
          <w:lang w:val="en-CA" w:eastAsia="en-CA"/>
        </w:rPr>
        <w:t>EXHIBIT A</w:t>
        <w:tab/>
        <w:t>PROJECT SCHEDULE SUMMARY</w:t>
      </w:r>
    </w:p>
    <w:p>
      <w:pPr>
        <w:pStyle w:val="Normal"/>
        <w:tabs>
          <w:tab w:val="clear" w:pos="720"/>
          <w:tab w:val="left" w:pos="1440" w:leader="none"/>
          <w:tab w:val="left" w:pos="8784" w:leader="dot"/>
        </w:tabs>
        <w:rPr>
          <w:lang w:val="en-CA" w:eastAsia="en-CA"/>
        </w:rPr>
      </w:pPr>
      <w:r>
        <w:rPr>
          <w:lang w:val="en-CA" w:eastAsia="en-CA"/>
        </w:rPr>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B-1</w:t>
        <w:tab/>
        <w:t>SPECIFICATIONS</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B-2</w:t>
        <w:tab/>
        <w:t>SCOPE OF WORK</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B-3</w:t>
        <w:tab/>
        <w:t>EQUIPMENT</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B-4</w:t>
        <w:tab/>
        <w:t>PRELIMINARY NOTICE TO PROCEED SCOPE OF WORK</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B-5</w:t>
        <w:tab/>
        <w:t>PROJECT IMPORT PLAN</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C-1</w:t>
        <w:tab/>
        <w:t>PAYMENT SCHEDULE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C-2</w:t>
        <w:tab/>
        <w:t>FORM OF INVOICE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C-3</w:t>
        <w:tab/>
        <w:t>OWNER’S TAXES AND FEES</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C-4</w:t>
        <w:tab/>
        <w:t>TERMINATION SCHEDULE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C-4</w:t>
        <w:tab/>
        <w:t>CONTRACT PRICE ALLOWANCES</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D-1</w:t>
        <w:tab/>
        <w:t>FORM OF LIEN WAIVER</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D-2</w:t>
        <w:tab/>
        <w:t>FORM OF CONTRACTOR DISBURSEMENT CERTIFICATE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E-1</w:t>
        <w:tab/>
        <w:t>EMISSIONS GUARANTEE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E-2</w:t>
        <w:tab/>
        <w:t>BASIS CONDITIONS</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E-3</w:t>
        <w:tab/>
        <w:t>PERFORMANCE TESTING GUIDELINES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F</w:t>
        <w:tab/>
        <w:t>FORM OF PARENT GUARANTEE</w:t>
      </w:r>
    </w:p>
    <w:p>
      <w:pPr>
        <w:pStyle w:val="BodyText"/>
        <w:tabs>
          <w:tab w:val="clear" w:pos="720"/>
          <w:tab w:val="left" w:pos="1685" w:leader="none"/>
        </w:tabs>
        <w:rPr>
          <w:rFonts w:ascii="Times New Roman" w:hAnsi="Times New Roman" w:cs="Times New Roman"/>
          <w:sz w:val="24"/>
          <w:lang w:val="en-CA" w:eastAsia="en-CA"/>
        </w:rPr>
      </w:pPr>
      <w:r>
        <w:rPr>
          <w:rFonts w:cs="Times New Roman" w:ascii="Times New Roman" w:hAnsi="Times New Roman"/>
          <w:sz w:val="24"/>
          <w:lang w:val="en-CA" w:eastAsia="en-CA"/>
        </w:rPr>
        <w:t>EXHIBIT G-1</w:t>
        <w:tab/>
        <w:t>CONTRACTOR’S INSURANCE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G-2</w:t>
        <w:tab/>
        <w:t>OWNER’S INSURANCE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H</w:t>
        <w:tab/>
        <w:t>SITE LOCATION MAP</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I-1</w:t>
        <w:tab/>
        <w:t>SUBSTANTIAL COMPLETION CERTIFICATE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I-2</w:t>
        <w:tab/>
        <w:t>FINAL COMPLETION CERTIFICATE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J</w:t>
        <w:tab/>
        <w:t>GOVERNMENTAL AUTHORIZATIONS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K</w:t>
        <w:tab/>
        <w:t>MAJOR SUBCONTRACTS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L</w:t>
        <w:tab/>
        <w:t>CONSTRUCTION AGENT SCOPE OF SUPPLY; SCHEDULE</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M</w:t>
        <w:tab/>
        <w:t>OPERATION AND MAINTENANCE TRAINING</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N</w:t>
        <w:tab/>
        <w:t>CONTENTS OF JOB BOOKS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O</w:t>
        <w:tab/>
        <w:t>DOCUMENTS FOR OWNER’S REVIEW, HOLD POINTS</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P</w:t>
        <w:tab/>
        <w:t>KEY PERSONNEL</w:t>
      </w:r>
    </w:p>
    <w:p>
      <w:pPr>
        <w:pStyle w:val="BodyText"/>
        <w:tabs>
          <w:tab w:val="clear" w:pos="720"/>
          <w:tab w:val="left" w:pos="1680" w:leader="none"/>
        </w:tabs>
        <w:rPr>
          <w:rFonts w:ascii="Times New Roman" w:hAnsi="Times New Roman" w:cs="Times New Roman"/>
          <w:sz w:val="24"/>
          <w:lang w:val="en-CA" w:eastAsia="en-CA"/>
        </w:rPr>
      </w:pPr>
      <w:r>
        <w:rPr>
          <w:rFonts w:cs="Times New Roman" w:ascii="Times New Roman" w:hAnsi="Times New Roman"/>
          <w:sz w:val="24"/>
          <w:lang w:val="en-CA" w:eastAsia="en-CA"/>
        </w:rPr>
        <w:t>EXHIBIT Q</w:t>
        <w:tab/>
        <w:t>PPA TECHNICAL REQUIREMENTS</w:t>
      </w:r>
    </w:p>
    <w:p>
      <w:pPr>
        <w:pStyle w:val="BodyText"/>
        <w:tabs>
          <w:tab w:val="clear" w:pos="720"/>
          <w:tab w:val="left" w:pos="1680" w:leader="none"/>
        </w:tabs>
        <w:rPr>
          <w:rFonts w:ascii="Times New Roman" w:hAnsi="Times New Roman" w:cs="Times New Roman"/>
          <w:b/>
          <w:bCs/>
          <w:sz w:val="24"/>
        </w:rPr>
      </w:pPr>
      <w:r>
        <w:rPr>
          <w:rFonts w:cs="Times New Roman" w:ascii="Times New Roman" w:hAnsi="Times New Roman"/>
          <w:sz w:val="24"/>
          <w:lang w:val="en-CA" w:eastAsia="en-CA"/>
        </w:rPr>
        <w:t>EXHIBIT R</w:t>
        <w:tab/>
        <w:t>START-UP, TESTING AND COMMISSIONING SCHEDULE</w:t>
      </w:r>
    </w:p>
    <w:p>
      <w:pPr>
        <w:sectPr>
          <w:footerReference w:type="default" r:id="rId4"/>
          <w:footerReference w:type="first" r:id="rId5"/>
          <w:type w:val="nextPage"/>
          <w:pgSz w:w="12240" w:h="15840"/>
          <w:pgMar w:left="1440" w:right="1320" w:gutter="0" w:header="0" w:top="1440" w:footer="720" w:bottom="1440"/>
          <w:pgNumType w:start="1" w:fmt="lowerRoman"/>
          <w:formProt w:val="false"/>
          <w:textDirection w:val="lrTb"/>
          <w:docGrid w:type="default" w:linePitch="326" w:charSpace="0"/>
        </w:sectPr>
        <w:pStyle w:val="Normal"/>
        <w:rPr>
          <w:rFonts w:ascii="Times New Roman" w:hAnsi="Times New Roman" w:cs="Times New Roman"/>
          <w:b/>
          <w:bCs/>
          <w:sz w:val="24"/>
        </w:rPr>
      </w:pPr>
      <w:r>
        <w:rPr>
          <w:rFonts w:cs="Times New Roman"/>
          <w:b/>
          <w:bCs/>
          <w:sz w:val="24"/>
        </w:rPr>
      </w:r>
    </w:p>
    <w:p>
      <w:pPr>
        <w:pStyle w:val="Normal"/>
        <w:numPr>
          <w:ilvl w:val="0"/>
          <w:numId w:val="0"/>
        </w:numPr>
        <w:jc w:val="center"/>
        <w:outlineLvl w:val="0"/>
        <w:rPr>
          <w:b/>
          <w:bCs/>
        </w:rPr>
      </w:pPr>
      <w:r>
        <w:rPr>
          <w:b/>
          <w:bCs/>
        </w:rPr>
        <w:t>ENGINEERING, PROCUREMENT &amp; CONSTRUCTION CONTRACT</w:t>
      </w:r>
    </w:p>
    <w:p>
      <w:pPr>
        <w:pStyle w:val="Normal"/>
        <w:jc w:val="center"/>
        <w:rPr>
          <w:b/>
          <w:bCs/>
        </w:rPr>
      </w:pPr>
      <w:r>
        <w:rPr>
          <w:b/>
          <w:bCs/>
        </w:rPr>
      </w:r>
    </w:p>
    <w:p>
      <w:pPr>
        <w:pStyle w:val="BodyText"/>
        <w:rPr/>
      </w:pPr>
      <w:r>
        <w:rPr>
          <w:rFonts w:cs="Times New Roman" w:ascii="Times New Roman" w:hAnsi="Times New Roman"/>
          <w:sz w:val="24"/>
        </w:rPr>
        <w:t>THIS ENGINEERING, PROCUREMENT &amp; CONSTRUCTION</w:t>
      </w:r>
      <w:r>
        <w:rPr>
          <w:rFonts w:cs="Times New Roman" w:ascii="Times New Roman" w:hAnsi="Times New Roman"/>
          <w:b/>
          <w:sz w:val="24"/>
        </w:rPr>
        <w:t xml:space="preserve"> </w:t>
      </w:r>
      <w:r>
        <w:rPr>
          <w:rFonts w:cs="Times New Roman" w:ascii="Times New Roman" w:hAnsi="Times New Roman"/>
          <w:sz w:val="24"/>
        </w:rPr>
        <w:t>CONTRACT (this "</w:t>
      </w:r>
      <w:r>
        <w:rPr>
          <w:rFonts w:cs="Times New Roman" w:ascii="Times New Roman" w:hAnsi="Times New Roman"/>
          <w:sz w:val="24"/>
          <w:u w:val="single"/>
        </w:rPr>
        <w:t>Contract</w:t>
      </w:r>
      <w:r>
        <w:rPr>
          <w:rFonts w:cs="Times New Roman" w:ascii="Times New Roman" w:hAnsi="Times New Roman"/>
          <w:sz w:val="24"/>
        </w:rPr>
        <w:t xml:space="preserve">"), dated as of </w:t>
      </w:r>
      <w:r>
        <w:rPr>
          <w:rFonts w:cs="Times New Roman" w:ascii="Times New Roman" w:hAnsi="Times New Roman"/>
          <w:b/>
          <w:sz w:val="24"/>
        </w:rPr>
        <w:t>[</w:t>
      </w:r>
      <w:r>
        <w:rPr>
          <w:rFonts w:cs="Times New Roman" w:ascii="Times New Roman" w:hAnsi="Times New Roman"/>
          <w:color w:val="00FF00"/>
          <w:sz w:val="24"/>
        </w:rPr>
        <w:t>_______________________</w:t>
      </w:r>
      <w:r>
        <w:rPr>
          <w:rFonts w:cs="Times New Roman" w:ascii="Times New Roman" w:hAnsi="Times New Roman"/>
          <w:b/>
          <w:color w:val="00FF00"/>
          <w:sz w:val="24"/>
        </w:rPr>
        <w:t>]</w:t>
      </w:r>
      <w:r>
        <w:rPr>
          <w:rFonts w:cs="Times New Roman" w:ascii="Times New Roman" w:hAnsi="Times New Roman"/>
          <w:color w:val="00FF00"/>
          <w:sz w:val="24"/>
        </w:rPr>
        <w:t xml:space="preserve"> </w:t>
      </w:r>
      <w:r>
        <w:rPr>
          <w:rFonts w:cs="Times New Roman" w:ascii="Times New Roman" w:hAnsi="Times New Roman"/>
          <w:sz w:val="24"/>
        </w:rPr>
        <w:t>(the "</w:t>
      </w:r>
      <w:r>
        <w:rPr>
          <w:rFonts w:cs="Times New Roman" w:ascii="Times New Roman" w:hAnsi="Times New Roman"/>
          <w:sz w:val="24"/>
          <w:u w:val="single"/>
        </w:rPr>
        <w:t>Effective Date</w:t>
      </w:r>
      <w:r>
        <w:rPr>
          <w:rFonts w:cs="Times New Roman" w:ascii="Times New Roman" w:hAnsi="Times New Roman"/>
          <w:sz w:val="24"/>
        </w:rPr>
        <w:t>"), between [Enron South America Turbine L.L.C.], a Delaware limited liability company ("</w:t>
      </w:r>
      <w:r>
        <w:rPr>
          <w:rFonts w:cs="Times New Roman" w:ascii="Times New Roman" w:hAnsi="Times New Roman"/>
          <w:sz w:val="24"/>
          <w:u w:val="single"/>
        </w:rPr>
        <w:t>Construction Agent</w:t>
      </w:r>
      <w:r>
        <w:rPr>
          <w:rFonts w:cs="Times New Roman" w:ascii="Times New Roman" w:hAnsi="Times New Roman"/>
          <w:sz w:val="24"/>
        </w:rPr>
        <w:t>"), and [Enron Engineering &amp; Construction Company], a corporation organized under the laws of</w:t>
      </w:r>
      <w:r>
        <w:rPr>
          <w:rFonts w:cs="Times New Roman" w:ascii="Times New Roman" w:hAnsi="Times New Roman"/>
          <w:color w:val="00FF00"/>
          <w:sz w:val="24"/>
        </w:rPr>
        <w:t xml:space="preserve"> </w:t>
      </w:r>
      <w:r>
        <w:rPr>
          <w:rFonts w:cs="Times New Roman" w:ascii="Times New Roman" w:hAnsi="Times New Roman"/>
          <w:b/>
          <w:color w:val="00FF00"/>
          <w:sz w:val="24"/>
        </w:rPr>
        <w:t>[</w:t>
      </w:r>
      <w:r>
        <w:rPr>
          <w:rFonts w:cs="Times New Roman" w:ascii="Times New Roman" w:hAnsi="Times New Roman"/>
          <w:color w:val="00FF00"/>
          <w:sz w:val="24"/>
        </w:rPr>
        <w:t>__________________</w:t>
      </w:r>
      <w:r>
        <w:rPr>
          <w:rFonts w:cs="Times New Roman" w:ascii="Times New Roman" w:hAnsi="Times New Roman"/>
          <w:b/>
          <w:color w:val="00FF00"/>
          <w:sz w:val="24"/>
        </w:rPr>
        <w:t>]</w:t>
      </w:r>
      <w:r>
        <w:rPr>
          <w:rFonts w:cs="Times New Roman" w:ascii="Times New Roman" w:hAnsi="Times New Roman"/>
          <w:color w:val="00FF00"/>
          <w:sz w:val="24"/>
        </w:rPr>
        <w:t xml:space="preserve"> </w:t>
      </w:r>
      <w:r>
        <w:rPr>
          <w:rFonts w:cs="Times New Roman" w:ascii="Times New Roman" w:hAnsi="Times New Roman"/>
          <w:sz w:val="24"/>
        </w:rPr>
        <w:t>("</w:t>
      </w:r>
      <w:r>
        <w:rPr>
          <w:rFonts w:cs="Times New Roman" w:ascii="Times New Roman" w:hAnsi="Times New Roman"/>
          <w:sz w:val="24"/>
          <w:u w:val="single"/>
        </w:rPr>
        <w:t>Contractor</w:t>
      </w:r>
      <w:r>
        <w:rPr>
          <w:rFonts w:cs="Times New Roman" w:ascii="Times New Roman" w:hAnsi="Times New Roman"/>
          <w:sz w:val="24"/>
        </w:rPr>
        <w:t>").</w:t>
      </w:r>
    </w:p>
    <w:p>
      <w:pPr>
        <w:pStyle w:val="Normal"/>
        <w:numPr>
          <w:ilvl w:val="0"/>
          <w:numId w:val="0"/>
        </w:numPr>
        <w:spacing w:before="0" w:after="240"/>
        <w:jc w:val="center"/>
        <w:outlineLvl w:val="0"/>
        <w:rPr/>
      </w:pPr>
      <w:r>
        <w:rPr/>
        <w:t>PRELIMINARY STATEMENTS</w:t>
      </w:r>
    </w:p>
    <w:p>
      <w:pPr>
        <w:pStyle w:val="Normal"/>
        <w:numPr>
          <w:ilvl w:val="0"/>
          <w:numId w:val="0"/>
        </w:numPr>
        <w:spacing w:before="0" w:after="240"/>
        <w:ind w:hanging="720" w:start="720" w:end="0"/>
        <w:outlineLvl w:val="0"/>
        <w:rPr/>
      </w:pPr>
      <w:r>
        <w:rPr>
          <w:rStyle w:val="ParaNum"/>
        </w:rPr>
        <w:t>A.</w:t>
        <w:tab/>
      </w:r>
      <w:r>
        <w:rPr/>
        <w:t>RJG – Rio de Janeiro Generation Ltda. ("Owner") desires to develop, and Construction Agent desires to construct on behalf of Owner as Owner's general contractor, a nominal [355/400] MW simple cycle, gas fired electric power generation facility to be located in the vicinity of Serop</w:t>
      </w:r>
      <w:r>
        <w:rPr>
          <w:rFonts w:eastAsia="WP MultinationalA Roman" w:cs="WP MultinationalA Roman" w:ascii="WP MultinationalA Roman" w:hAnsi="WP MultinationalA Roman"/>
        </w:rPr>
        <w:sym w:font="WP MultinationalA Roman" w:char="f04a"/>
      </w:r>
      <w:r>
        <w:rPr/>
        <w:t>dica in the state of Rio de Janeiro, Brazil.</w:t>
      </w:r>
    </w:p>
    <w:p>
      <w:pPr>
        <w:pStyle w:val="Normal"/>
        <w:numPr>
          <w:ilvl w:val="0"/>
          <w:numId w:val="0"/>
        </w:numPr>
        <w:spacing w:before="0" w:after="240"/>
        <w:ind w:hanging="720" w:start="720" w:end="0"/>
        <w:jc w:val="both"/>
        <w:outlineLvl w:val="0"/>
        <w:rPr/>
      </w:pPr>
      <w:r>
        <w:rPr/>
        <w:t>B.</w:t>
        <w:tab/>
        <w:t>Owner, directly or through it's Affiliate, owns, or has rights to acquire, or will own or have rights to acquire eight LM 6000 Enhanced Sprint combustion turbine generator packages.</w:t>
      </w:r>
    </w:p>
    <w:p>
      <w:pPr>
        <w:pStyle w:val="Normal"/>
        <w:numPr>
          <w:ilvl w:val="0"/>
          <w:numId w:val="0"/>
        </w:numPr>
        <w:spacing w:before="0" w:after="240"/>
        <w:ind w:hanging="715" w:start="715" w:end="0"/>
        <w:jc w:val="both"/>
        <w:outlineLvl w:val="0"/>
        <w:rPr/>
      </w:pPr>
      <w:r>
        <w:rPr>
          <w:rStyle w:val="ParaNum"/>
        </w:rPr>
        <w:t>C.</w:t>
      </w:r>
      <w:r>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jc w:val="both"/>
        <w:outlineLvl w:val="0"/>
        <w:rPr/>
      </w:pPr>
      <w:r>
        <w:rPr>
          <w:rStyle w:val="ParaNum"/>
        </w:rPr>
        <w:t>D.</w:t>
      </w:r>
      <w:r>
        <w:rPr/>
        <w:tab/>
        <w:t>Contractor, itself or through subcontractors, desires to provide design, engineering, procurement and construction services to build, start-up, test and commission the Facility (defined below) at the Site (defined below), on a fixed fee, cost reimbursable basis except for those aspects of the Work (defined below) to be performed for a stipulated, fixed price as more particularly described in this Contract.</w:t>
      </w:r>
    </w:p>
    <w:p>
      <w:pPr>
        <w:pStyle w:val="Normal"/>
        <w:jc w:val="both"/>
        <w:rPr/>
      </w:pPr>
      <w:r>
        <w:rPr/>
        <w:t>NOW THEREFORE, in consideration of the foregoing and the mutual covenants contained herein, and for other good and valuable consideration, the receipt and sufficiency of which are hereby acknowledged, Construction Agent and Contractor, intending to be legally bound, hereby agree as follows:</w:t>
      </w:r>
    </w:p>
    <w:p>
      <w:pPr>
        <w:pStyle w:val="Normal"/>
        <w:rPr/>
      </w:pPr>
      <w:r>
        <w:rPr/>
      </w:r>
    </w:p>
    <w:p>
      <w:pPr>
        <w:pStyle w:val="Heading1"/>
        <w:ind w:hanging="0" w:start="0"/>
        <w:rPr/>
      </w:pPr>
      <w:bookmarkStart w:id="0" w:name="__RefHeading___Toc496435102"/>
      <w:bookmarkEnd w:id="0"/>
      <w:r>
        <w:rPr/>
        <w:t>ARTICLE I</w:t>
      </w:r>
    </w:p>
    <w:p>
      <w:pPr>
        <w:pStyle w:val="Heading1"/>
        <w:ind w:hanging="0" w:start="0"/>
        <w:rPr/>
      </w:pPr>
      <w:bookmarkStart w:id="1" w:name="__RefHeading___Toc496435103"/>
      <w:bookmarkEnd w:id="1"/>
      <w:r>
        <w:rPr/>
        <w:t>DEFINITIONS AND CONSTRUCTION</w:t>
      </w:r>
    </w:p>
    <w:p>
      <w:pPr>
        <w:pStyle w:val="Heading2"/>
        <w:ind w:hanging="0" w:start="0"/>
        <w:rPr/>
      </w:pPr>
      <w:bookmarkStart w:id="2" w:name="__RefHeading___Toc496435104"/>
      <w:bookmarkEnd w:id="2"/>
      <w:r>
        <w:rPr/>
        <w:t>Section 1.1</w:t>
        <w:tab/>
        <w:t>Definitions.</w:t>
      </w:r>
    </w:p>
    <w:p>
      <w:pPr>
        <w:pStyle w:val="Normal"/>
        <w:ind w:start="720" w:end="0"/>
        <w:jc w:val="both"/>
        <w:rPr/>
      </w:pPr>
      <w:r>
        <w:rPr/>
        <w:t>Terms appearing herein with their first letter capitalized and without other definition shall have the meanings specified in this Section 1.1, unless the context requires otherwise.</w:t>
      </w:r>
    </w:p>
    <w:p>
      <w:pPr>
        <w:pStyle w:val="Normal"/>
        <w:tabs>
          <w:tab w:val="clear" w:pos="720"/>
          <w:tab w:val="left" w:pos="7731" w:leader="none"/>
        </w:tabs>
        <w:ind w:start="720" w:end="0"/>
        <w:jc w:val="both"/>
        <w:rPr/>
      </w:pPr>
      <w:r>
        <w:rPr/>
      </w:r>
    </w:p>
    <w:p>
      <w:pPr>
        <w:pStyle w:val="Normal"/>
        <w:spacing w:before="0" w:after="240"/>
        <w:ind w:start="720" w:end="0"/>
        <w:jc w:val="both"/>
        <w:rPr/>
      </w:pPr>
      <w:r>
        <w:rPr/>
        <w:t>"</w:t>
      </w:r>
      <w:r>
        <w:rPr>
          <w:u w:val="single"/>
        </w:rPr>
        <w:t>Actual Project Price</w:t>
      </w:r>
      <w:r>
        <w:rPr/>
        <w:t>" has the meaning set forth in Section. 7.2.</w:t>
      </w:r>
    </w:p>
    <w:p>
      <w:pPr>
        <w:pStyle w:val="Normal"/>
        <w:spacing w:before="0" w:after="240"/>
        <w:ind w:start="720" w:end="0"/>
        <w:jc w:val="both"/>
        <w:rPr/>
      </w:pPr>
      <w:r>
        <w:rPr/>
        <w:t>"</w:t>
      </w:r>
      <w:r>
        <w:rPr>
          <w:u w:val="single"/>
        </w:rPr>
        <w:t>Affiliate</w:t>
      </w:r>
      <w:r>
        <w:rPr/>
        <w:t>" means,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Normal"/>
        <w:spacing w:before="0" w:after="240"/>
        <w:ind w:start="720" w:end="0"/>
        <w:jc w:val="both"/>
        <w:rPr/>
      </w:pPr>
      <w:r>
        <w:rPr/>
        <w:t>"</w:t>
      </w:r>
      <w:r>
        <w:rPr>
          <w:u w:val="single"/>
        </w:rPr>
        <w:t>Aggregate Limit</w:t>
      </w:r>
      <w:r>
        <w:rPr/>
        <w:t>" has the meaning set forth in Section 14.1(a).</w:t>
      </w:r>
    </w:p>
    <w:p>
      <w:pPr>
        <w:pStyle w:val="Normal"/>
        <w:spacing w:before="0" w:after="240"/>
        <w:ind w:start="720" w:end="0"/>
        <w:jc w:val="both"/>
        <w:rPr/>
      </w:pPr>
      <w:r>
        <w:rPr/>
        <w:t>"</w:t>
      </w:r>
      <w:r>
        <w:rPr>
          <w:u w:val="single"/>
        </w:rPr>
        <w:t>Anticipated Reimbursable Cost</w:t>
      </w:r>
      <w:r>
        <w:rPr/>
        <w:t>" has the meaning set forth in Section 7.1.1.(c).</w:t>
      </w:r>
    </w:p>
    <w:p>
      <w:pPr>
        <w:pStyle w:val="Normal"/>
        <w:spacing w:before="0" w:after="240"/>
        <w:ind w:start="720" w:end="0"/>
        <w:jc w:val="both"/>
        <w:rPr/>
      </w:pPr>
      <w:r>
        <w:rPr/>
        <w:t>"</w:t>
      </w:r>
      <w:r>
        <w:rPr>
          <w:u w:val="single"/>
        </w:rPr>
        <w:t>Applicant</w:t>
      </w:r>
      <w:r>
        <w:rPr/>
        <w:t>" has the meaning set forth in Section 19.1.</w:t>
      </w:r>
    </w:p>
    <w:p>
      <w:pPr>
        <w:pStyle w:val="Normal"/>
        <w:spacing w:before="0" w:after="240"/>
        <w:ind w:start="720" w:end="0"/>
        <w:jc w:val="both"/>
        <w:rPr/>
      </w:pPr>
      <w:r>
        <w:rPr/>
        <w:t>"</w:t>
      </w:r>
      <w:r>
        <w:rPr>
          <w:u w:val="single"/>
        </w:rPr>
        <w:t>Basis Conditions</w:t>
      </w:r>
      <w:r>
        <w:rPr/>
        <w:t xml:space="preserve">" has the meaning set forth in </w:t>
      </w:r>
      <w:r>
        <w:rPr>
          <w:u w:val="single"/>
        </w:rPr>
        <w:t>Exhibit "E-2"</w:t>
      </w:r>
      <w:r>
        <w:rPr/>
        <w:t>.</w:t>
      </w:r>
    </w:p>
    <w:p>
      <w:pPr>
        <w:pStyle w:val="Normal"/>
        <w:spacing w:before="0" w:after="240"/>
        <w:ind w:start="720" w:end="0"/>
        <w:jc w:val="both"/>
        <w:rPr/>
      </w:pPr>
      <w:r>
        <w:rPr/>
        <w:t>"</w:t>
      </w:r>
      <w:r>
        <w:rPr>
          <w:u w:val="single"/>
        </w:rPr>
        <w:t>Business Day</w:t>
      </w:r>
      <w:r>
        <w:rPr/>
        <w:t>" means any day other than a Saturday, a Sunday, or a day on which banks in Rio de Janeiro, Brazil or Houston, Texas are authorized or required by law to be closed.</w:t>
      </w:r>
    </w:p>
    <w:p>
      <w:pPr>
        <w:pStyle w:val="Normal"/>
        <w:spacing w:before="0" w:after="240"/>
        <w:ind w:start="720" w:end="0"/>
        <w:jc w:val="both"/>
        <w:rPr/>
      </w:pPr>
      <w:r>
        <w:rPr/>
        <w:t>"</w:t>
      </w:r>
      <w:r>
        <w:rPr>
          <w:u w:val="single"/>
        </w:rPr>
        <w:t>CAA</w:t>
      </w:r>
      <w:r>
        <w:rPr/>
        <w:t>" means that certain Construction Agency Agreement relating to the Facility, dated as of the date hereof, by and between Construction Agent and Owner.</w:t>
      </w:r>
    </w:p>
    <w:p>
      <w:pPr>
        <w:pStyle w:val="BodyText"/>
        <w:ind w:start="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Change</w:t>
      </w:r>
      <w:r>
        <w:rPr>
          <w:rFonts w:cs="Times New Roman" w:ascii="Times New Roman" w:hAnsi="Times New Roman"/>
          <w:sz w:val="24"/>
        </w:rPr>
        <w:t>" means any change in the Scope of Work, Specifications, Contract Price, Project Schedule, or Warranties and any other addition, alteration, deletion or modification of the Work pursuant to this Contract.</w:t>
      </w:r>
    </w:p>
    <w:p>
      <w:pPr>
        <w:pStyle w:val="Normal"/>
        <w:spacing w:before="0" w:after="240"/>
        <w:ind w:start="720" w:end="0"/>
        <w:jc w:val="both"/>
        <w:rPr/>
      </w:pPr>
      <w:r>
        <w:rPr/>
        <w:t>"</w:t>
      </w:r>
      <w:r>
        <w:rPr>
          <w:u w:val="single"/>
        </w:rPr>
        <w:t>Change In Law</w:t>
      </w:r>
      <w:r>
        <w:rPr/>
        <w:t>" means the occurrence of any of the following events occurring on or after the Effective Date as a result of or in connection with any action or inaction by any Governmental Authority and not as a result of any action or inaction of Contractor or any Contractor Affiliate, and excluding any event to the extent that the occurrence of such event has as an effect the imposition of or change in any Tax:  (a) any repeal, amendment, modification, supplementation or replacement of any existing Governmental Authorization or Law affecting the Work, Owner, Construction Agent, Contractor, or any Subcontractor, or any Affiliate of Owner, Construction Agent or Contractor in relation to the Work, (b) the promulgation or enactment of any new Governmental Authorization or Law affecting the Work, Owner, Construction Agent, Contractor, or any Subcontractor, or any Affiliate of Owner, Construction Agent or Contractor in relation to the Work, (c) any cancellation or non-renewal or a change in the conditions applicable to any Governmental Authorization, (d) the commencement of the effectiveness of any Law affecting the Work, Owner, Construction Agent, Contractor, or any Subcontractor, or any Affiliate of Owner, Construction Agent or Contractor in relation to the Work or imposition of a requirement for a Governmental Authorization that has not yet entered into effect or is not required at the Effective Date, (e) any change in the manner in which a Law or Governmental Authorization is enforced, applied or interpreted with respect to the Work, Owner, Construction Agent, Contractor, or any Subcontractor, or any Affiliate of Owner, Construction Agent or Contractor in relation to the Work, or in the enforcement, application or interpretation thereof, (f) after the date of grant of any Governmental Authorization a change in the terms and conditions of such Governmental Authorization or the attachment of any new terms or conditions to such Governmental Authorization or any renewal thereof, or (g) any Governmental Authorization not having been timely issued or granted upon application therefore having been duly made.</w:t>
      </w:r>
    </w:p>
    <w:p>
      <w:pPr>
        <w:pStyle w:val="Normal"/>
        <w:spacing w:before="0" w:after="240"/>
        <w:ind w:start="720" w:end="0"/>
        <w:jc w:val="both"/>
        <w:rPr/>
      </w:pPr>
      <w:r>
        <w:rPr/>
        <w:t>"</w:t>
      </w:r>
      <w:r>
        <w:rPr>
          <w:u w:val="single"/>
        </w:rPr>
        <w:t>Change In Taxes</w:t>
      </w:r>
      <w:r>
        <w:rPr/>
        <w:t>" means the occurrence of any of the following occurring on or after the Effective Date as a result of or in connection with any action or inaction by any Governmental Authority and not as a result of any action or inaction of Contractor or any Contractor Affiliate, that relates to Contractor Applicable Taxes other than corporate income taxes:  (a) the repeal, amendment, modification, supplementation or replacement of any existing Law, (b) the promulgation or enactment of any new Law, (c) the commencement of the effectiveness of any Law; (d) any change in the manner in which any Law is enforced, applied or interpreted, or (e) a change in the rate or amount of Taxes.</w:t>
      </w:r>
    </w:p>
    <w:p>
      <w:pPr>
        <w:pStyle w:val="Normal"/>
        <w:spacing w:before="0" w:after="240"/>
        <w:ind w:start="720" w:end="0"/>
        <w:jc w:val="both"/>
        <w:rPr/>
      </w:pPr>
      <w:r>
        <w:rPr/>
        <w:t>"</w:t>
      </w:r>
      <w:r>
        <w:rPr>
          <w:u w:val="single"/>
        </w:rPr>
        <w:t>Change Order</w:t>
      </w:r>
      <w:r>
        <w:rPr/>
        <w:t>" means an instrument effecting a Change that is (a) agreed between and executed by Construction Agent and Contractor pursuant to Article 6 or (b) issued pursuant to the resolution of a dispute in accordance with Article 19, in each case setting forth the details of any Change or Changes effected by such instrument.</w:t>
      </w:r>
    </w:p>
    <w:p>
      <w:pPr>
        <w:pStyle w:val="Normal"/>
        <w:spacing w:before="0" w:after="240"/>
        <w:ind w:start="720" w:end="0"/>
        <w:jc w:val="both"/>
        <w:rPr/>
      </w:pPr>
      <w:r>
        <w:rPr/>
        <w:t>"</w:t>
      </w:r>
      <w:r>
        <w:rPr>
          <w:u w:val="single"/>
        </w:rPr>
        <w:t>Change Order Direction</w:t>
      </w:r>
      <w:r>
        <w:rPr/>
        <w:t>" means a notice from Construction Agent to the Contractor issued pursuant to Section 6.2.1.</w:t>
      </w:r>
    </w:p>
    <w:p>
      <w:pPr>
        <w:pStyle w:val="Normal"/>
        <w:spacing w:before="0" w:after="240"/>
        <w:ind w:start="720" w:end="0"/>
        <w:jc w:val="both"/>
        <w:rPr/>
      </w:pPr>
      <w:r>
        <w:rPr/>
        <w:t>"</w:t>
      </w:r>
      <w:r>
        <w:rPr>
          <w:u w:val="single"/>
        </w:rPr>
        <w:t>Change Order Request</w:t>
      </w:r>
      <w:r>
        <w:rPr/>
        <w:t>" means a notice from Contractor to Construction Agent issued pursuant to Section 6.3.1, in each case setting forth the details of the Change or Changes requested.</w:t>
      </w:r>
    </w:p>
    <w:p>
      <w:pPr>
        <w:pStyle w:val="Normal"/>
        <w:spacing w:before="0" w:after="240"/>
        <w:ind w:start="720" w:end="0"/>
        <w:jc w:val="both"/>
        <w:rPr/>
      </w:pPr>
      <w:r>
        <w:rPr/>
        <w:t>"</w:t>
      </w:r>
      <w:r>
        <w:rPr>
          <w:u w:val="single"/>
        </w:rPr>
        <w:t>Claims</w:t>
      </w:r>
      <w:r>
        <w:rPr/>
        <w:t>" has the meaning set forth in Section 18.1.</w:t>
      </w:r>
    </w:p>
    <w:p>
      <w:pPr>
        <w:pStyle w:val="Normal"/>
        <w:ind w:start="720" w:end="0"/>
        <w:jc w:val="both"/>
        <w:rPr/>
      </w:pPr>
      <w:r>
        <w:rPr/>
        <w:t>"</w:t>
      </w:r>
      <w:r>
        <w:rPr>
          <w:u w:val="single"/>
        </w:rPr>
        <w:t>Confidential Information</w:t>
      </w:r>
      <w:r>
        <w:rPr/>
        <w:t xml:space="preserve">" has the meaning set forth in Section 20.3. </w:t>
      </w:r>
    </w:p>
    <w:p>
      <w:pPr>
        <w:pStyle w:val="Normal"/>
        <w:ind w:start="720" w:end="0"/>
        <w:jc w:val="both"/>
        <w:rPr/>
      </w:pPr>
      <w:r>
        <w:rPr/>
      </w:r>
    </w:p>
    <w:p>
      <w:pPr>
        <w:pStyle w:val="Normal"/>
        <w:ind w:start="720" w:end="0"/>
        <w:jc w:val="both"/>
        <w:rPr/>
      </w:pPr>
      <w:r>
        <w:rPr/>
        <w:t>"</w:t>
      </w:r>
      <w:r>
        <w:rPr>
          <w:u w:val="single"/>
        </w:rPr>
        <w:t>Construction Agent</w:t>
      </w:r>
      <w:r>
        <w:rPr/>
        <w:t>" has the meaning set forth in the Preamble to this Contract.</w:t>
      </w:r>
    </w:p>
    <w:p>
      <w:pPr>
        <w:pStyle w:val="Normal"/>
        <w:ind w:start="720" w:end="0"/>
        <w:jc w:val="both"/>
        <w:rPr/>
      </w:pPr>
      <w:r>
        <w:rPr/>
      </w:r>
    </w:p>
    <w:p>
      <w:pPr>
        <w:pStyle w:val="Normal"/>
        <w:ind w:start="720" w:end="0"/>
        <w:jc w:val="both"/>
        <w:rPr/>
      </w:pPr>
      <w:r>
        <w:rPr/>
        <w:t>"</w:t>
      </w:r>
      <w:r>
        <w:rPr>
          <w:u w:val="single"/>
        </w:rPr>
        <w:t>Construction Agent Affiliate</w:t>
      </w:r>
      <w:r>
        <w:rPr/>
        <w:t>" means any Person which is owned or controlled by Construction Agent, where "own" and "control" have the meanings given such terms in the definition of the term "Affiliate" in this Article 1, together with their respective successors, assigns, officers, directors, employees, Subcontractors and agents.</w:t>
      </w:r>
    </w:p>
    <w:p>
      <w:pPr>
        <w:pStyle w:val="Normal"/>
        <w:ind w:start="720" w:end="0"/>
        <w:jc w:val="both"/>
        <w:rPr/>
      </w:pPr>
      <w:r>
        <w:rPr/>
      </w:r>
    </w:p>
    <w:p>
      <w:pPr>
        <w:pStyle w:val="Normal"/>
        <w:ind w:start="720" w:end="0"/>
        <w:jc w:val="both"/>
        <w:rPr/>
      </w:pPr>
      <w:r>
        <w:rPr/>
        <w:t>"</w:t>
      </w:r>
      <w:r>
        <w:rPr>
          <w:u w:val="single"/>
        </w:rPr>
        <w:t>Construction Agent Delay</w:t>
      </w:r>
      <w:r>
        <w:rPr/>
        <w:t>" means any delay by Construction Agent in performing, or breach by Construction Agent of, its obligations set forth in Article 4 and elsewhere in this Contract, regardless of the  reason for such delay or breach other than a suspension of such obligation in accordance with Article 17 (Force Majeure), to the extent such delay in performance or breach in fact delays the Work or increases Contractor's cost of performance hereunder.</w:t>
      </w:r>
    </w:p>
    <w:p>
      <w:pPr>
        <w:pStyle w:val="Normal"/>
        <w:ind w:start="720" w:end="0"/>
        <w:jc w:val="both"/>
        <w:rPr/>
      </w:pPr>
      <w:r>
        <w:rPr/>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Construction Agent's Representative</w:t>
      </w:r>
      <w:r>
        <w:rPr>
          <w:rFonts w:cs="Times New Roman" w:ascii="Times New Roman" w:hAnsi="Times New Roman"/>
          <w:sz w:val="24"/>
        </w:rPr>
        <w:t>" has the meaning set forth in Section 4.9.</w:t>
      </w:r>
    </w:p>
    <w:p>
      <w:pPr>
        <w:pStyle w:val="Normal"/>
        <w:ind w:start="720" w:end="0"/>
        <w:jc w:val="both"/>
        <w:rPr/>
      </w:pPr>
      <w:r>
        <w:rPr/>
        <w:t>"</w:t>
      </w:r>
      <w:r>
        <w:rPr>
          <w:u w:val="single"/>
        </w:rPr>
        <w:t>Contract</w:t>
      </w:r>
      <w:r>
        <w:rPr/>
        <w:t>" means this engineering, procurement and construction contract, including all exhibits, attachments, and schedules hereto, as amended, modified or supplemented from time to time in accordance with its terms.</w:t>
      </w:r>
    </w:p>
    <w:p>
      <w:pPr>
        <w:pStyle w:val="Normal"/>
        <w:ind w:start="720" w:end="0"/>
        <w:jc w:val="both"/>
        <w:rPr/>
      </w:pPr>
      <w:r>
        <w:rPr/>
      </w:r>
    </w:p>
    <w:p>
      <w:pPr>
        <w:pStyle w:val="Normal"/>
        <w:spacing w:before="0" w:after="240"/>
        <w:ind w:start="720" w:end="0"/>
        <w:jc w:val="both"/>
        <w:rPr/>
      </w:pPr>
      <w:r>
        <w:rPr/>
        <w:t>"</w:t>
      </w:r>
      <w:r>
        <w:rPr>
          <w:u w:val="single"/>
        </w:rPr>
        <w:t>Contract Price</w:t>
      </w:r>
      <w:r>
        <w:rPr/>
        <w:t xml:space="preserve">" has the meaning set forth in Section 7.1.1. </w:t>
      </w:r>
    </w:p>
    <w:p>
      <w:pPr>
        <w:pStyle w:val="Normal"/>
        <w:spacing w:before="0" w:after="240"/>
        <w:ind w:start="720" w:end="0"/>
        <w:jc w:val="both"/>
        <w:rPr/>
      </w:pPr>
      <w:r>
        <w:rPr/>
        <w:t>"</w:t>
      </w:r>
      <w:r>
        <w:rPr>
          <w:u w:val="single"/>
        </w:rPr>
        <w:t>Contractor</w:t>
      </w:r>
      <w:r>
        <w:rPr/>
        <w:t xml:space="preserve">" has the meaning set forth in the Preamble to this Contract. </w:t>
      </w:r>
    </w:p>
    <w:p>
      <w:pPr>
        <w:pStyle w:val="Normal"/>
        <w:spacing w:before="0" w:after="240"/>
        <w:ind w:start="720" w:end="0"/>
        <w:jc w:val="both"/>
        <w:rPr/>
      </w:pPr>
      <w:r>
        <w:rPr/>
        <w:t>"</w:t>
      </w:r>
      <w:r>
        <w:rPr>
          <w:u w:val="single"/>
        </w:rPr>
        <w:t>Contractor Affiliate</w:t>
      </w:r>
      <w:r>
        <w:rPr/>
        <w:t xml:space="preserve">" means any Person owned or controlled by Contractor </w:t>
      </w:r>
      <w:r>
        <w:rPr>
          <w:b/>
          <w:bCs/>
        </w:rPr>
        <w:t>[or Enron Engineering &amp; Construction Company]</w:t>
      </w:r>
      <w:r>
        <w:rPr/>
        <w:t>, where "own" and "control" have the meanings given such terms in the definition of the term "Affiliate" in this Article 1, together with their respective successors, assigns, officers, directors, employees, Subcontractors and agents.</w:t>
      </w:r>
    </w:p>
    <w:p>
      <w:pPr>
        <w:pStyle w:val="Normal"/>
        <w:spacing w:before="0" w:after="240"/>
        <w:ind w:start="720" w:end="0"/>
        <w:jc w:val="both"/>
        <w:rPr/>
      </w:pPr>
      <w:r>
        <w:rPr/>
        <w:t>"</w:t>
      </w:r>
      <w:r>
        <w:rPr>
          <w:u w:val="single"/>
        </w:rPr>
        <w:t>Contractor Applicable Taxes</w:t>
      </w:r>
      <w:r>
        <w:rPr/>
        <w:t>" has the meaning set forth in Section 3.12.1.</w:t>
      </w:r>
    </w:p>
    <w:p>
      <w:pPr>
        <w:pStyle w:val="Normal"/>
        <w:spacing w:before="0" w:after="240"/>
        <w:ind w:start="720" w:end="0"/>
        <w:jc w:val="both"/>
        <w:rPr/>
      </w:pPr>
      <w:r>
        <w:rPr/>
        <w:t>"</w:t>
      </w:r>
      <w:r>
        <w:rPr>
          <w:u w:val="single"/>
        </w:rPr>
        <w:t>Contractor Indemnitees</w:t>
      </w:r>
      <w:r>
        <w:rPr/>
        <w:t>" means Contractor, any Contractor Affiliate, and any Subcontractor or Affiliate of any Subcontractor, and each of their respective successors, assigns, officers, directors, employees and agents.</w:t>
      </w:r>
    </w:p>
    <w:p>
      <w:pPr>
        <w:pStyle w:val="Normal"/>
        <w:spacing w:before="0" w:after="240"/>
        <w:ind w:start="720" w:end="0"/>
        <w:jc w:val="both"/>
        <w:rPr/>
      </w:pPr>
      <w:r>
        <w:rPr/>
        <w:t>"</w:t>
      </w:r>
      <w:r>
        <w:rPr>
          <w:u w:val="single"/>
        </w:rPr>
        <w:t>Contractor Lien</w:t>
      </w:r>
      <w:r>
        <w:rPr/>
        <w:t>" has the meaning set forth in Section 3.16.1.</w:t>
      </w:r>
    </w:p>
    <w:p>
      <w:pPr>
        <w:pStyle w:val="Normal"/>
        <w:spacing w:before="0" w:after="240"/>
        <w:ind w:start="720" w:end="0"/>
        <w:jc w:val="both"/>
        <w:rPr/>
      </w:pPr>
      <w:r>
        <w:rPr/>
        <w:t>"</w:t>
      </w:r>
      <w:r>
        <w:rPr>
          <w:u w:val="single"/>
        </w:rPr>
        <w:t>Contractor’s Equipment</w:t>
      </w:r>
      <w:r>
        <w:rPr/>
        <w:t>" means all appliances or things of whatever nature required by Contractor or its Subcontractors for the performance of the Work at the Site, excluding the Equipment and the Free Issue Equipment.</w:t>
      </w:r>
    </w:p>
    <w:p>
      <w:pPr>
        <w:pStyle w:val="Normal"/>
        <w:spacing w:before="0" w:after="240"/>
        <w:ind w:start="720" w:end="0"/>
        <w:jc w:val="both"/>
        <w:rPr/>
      </w:pPr>
      <w:r>
        <w:rPr/>
        <w:t>"</w:t>
      </w:r>
      <w:r>
        <w:rPr>
          <w:u w:val="single"/>
        </w:rPr>
        <w:t>Contractor's fee</w:t>
      </w:r>
      <w:r>
        <w:rPr/>
        <w:t>" has the meaning set forth in Section 7.1.1(a).</w:t>
      </w:r>
    </w:p>
    <w:p>
      <w:pPr>
        <w:pStyle w:val="Normal"/>
        <w:spacing w:before="0" w:after="240"/>
        <w:ind w:start="720" w:end="0"/>
        <w:jc w:val="both"/>
        <w:rPr/>
      </w:pPr>
      <w:r>
        <w:rPr/>
        <w:t>"</w:t>
      </w:r>
      <w:r>
        <w:rPr>
          <w:u w:val="single"/>
        </w:rPr>
        <w:t>Costs of Completion</w:t>
      </w:r>
      <w:r>
        <w:rPr/>
        <w:t>" has the meaning set forth in Section 16.1.4.</w:t>
      </w:r>
    </w:p>
    <w:p>
      <w:pPr>
        <w:pStyle w:val="Normal"/>
        <w:spacing w:before="0" w:after="240"/>
        <w:ind w:start="720" w:end="0"/>
        <w:jc w:val="both"/>
        <w:rPr/>
      </w:pPr>
      <w:r>
        <w:rPr/>
        <w:t>"</w:t>
      </w:r>
      <w:r>
        <w:rPr>
          <w:u w:val="single"/>
        </w:rPr>
        <w:t>Day</w:t>
      </w:r>
      <w:r>
        <w:rPr/>
        <w:t>" or "</w:t>
      </w:r>
      <w:r>
        <w:rPr>
          <w:u w:val="single"/>
        </w:rPr>
        <w:t>day</w:t>
      </w:r>
      <w:r>
        <w:rPr/>
        <w:t>" means a calendar day and shall include Saturdays, Sundays and holidays.</w:t>
      </w:r>
    </w:p>
    <w:p>
      <w:pPr>
        <w:pStyle w:val="Normal"/>
        <w:spacing w:before="0" w:after="240"/>
        <w:ind w:start="720" w:end="0"/>
        <w:jc w:val="both"/>
        <w:rPr/>
      </w:pPr>
      <w:r>
        <w:rPr/>
        <w:t>"</w:t>
      </w:r>
      <w:r>
        <w:rPr>
          <w:u w:val="single"/>
        </w:rPr>
        <w:t>Default Rate</w:t>
      </w:r>
      <w:r>
        <w:rPr/>
        <w:t>" means the lower of (a) the maximum per annum interest rate allowed by law or, (b) a per annum rate equal to the (i) the Prime Rate as in effect from time to time plus (ii) two percent (2%), calculated on the basis of a 360-day year and the actual number of days elapsed.</w:t>
      </w:r>
    </w:p>
    <w:p>
      <w:pPr>
        <w:pStyle w:val="Normal"/>
        <w:spacing w:before="0" w:after="240"/>
        <w:ind w:start="720" w:end="0"/>
        <w:jc w:val="both"/>
        <w:rPr/>
      </w:pPr>
      <w:r>
        <w:rPr/>
        <w:t>"</w:t>
      </w:r>
      <w:r>
        <w:rPr>
          <w:u w:val="single"/>
        </w:rPr>
        <w:t>Dispute</w:t>
      </w:r>
      <w:r>
        <w:rPr/>
        <w:t>" has the meaning set forth in Section 19.2.</w:t>
      </w:r>
    </w:p>
    <w:p>
      <w:pPr>
        <w:pStyle w:val="Normal"/>
        <w:spacing w:before="0" w:after="240"/>
        <w:ind w:start="720" w:end="0"/>
        <w:jc w:val="both"/>
        <w:rPr/>
      </w:pPr>
      <w:r>
        <w:rPr/>
        <w:t>"</w:t>
      </w:r>
      <w:r>
        <w:rPr>
          <w:u w:val="single"/>
        </w:rPr>
        <w:t>Early Takeover</w:t>
      </w:r>
      <w:r>
        <w:rPr/>
        <w:t>" has the meaning set forth in Section 11.8.</w:t>
      </w:r>
    </w:p>
    <w:p>
      <w:pPr>
        <w:pStyle w:val="Normal"/>
        <w:ind w:firstLine="720" w:end="0"/>
        <w:jc w:val="both"/>
        <w:rPr/>
      </w:pPr>
      <w:r>
        <w:rPr/>
        <w:t>"</w:t>
      </w:r>
      <w:r>
        <w:rPr>
          <w:u w:val="single"/>
        </w:rPr>
        <w:t>Early Works Agreements</w:t>
      </w:r>
      <w:r>
        <w:rPr/>
        <w:t>" has the meaning set forth in Section 5.1.1.4</w:t>
      </w:r>
    </w:p>
    <w:p>
      <w:pPr>
        <w:pStyle w:val="Normal"/>
        <w:ind w:firstLine="720" w:end="0"/>
        <w:jc w:val="both"/>
        <w:rPr/>
      </w:pPr>
      <w:r>
        <w:rPr/>
      </w:r>
    </w:p>
    <w:p>
      <w:pPr>
        <w:pStyle w:val="Normal"/>
        <w:ind w:firstLine="720" w:end="0"/>
        <w:jc w:val="both"/>
        <w:rPr/>
      </w:pPr>
      <w:r>
        <w:rPr/>
        <w:t>"</w:t>
      </w:r>
      <w:r>
        <w:rPr>
          <w:u w:val="single"/>
        </w:rPr>
        <w:t>ECE</w:t>
      </w:r>
      <w:r>
        <w:rPr/>
        <w:t>" means Enron Comercializadora de Energia, Ltda.</w:t>
      </w:r>
    </w:p>
    <w:p>
      <w:pPr>
        <w:pStyle w:val="Normal"/>
        <w:ind w:firstLine="720" w:end="0"/>
        <w:jc w:val="both"/>
        <w:rPr/>
      </w:pPr>
      <w:r>
        <w:rPr/>
      </w:r>
    </w:p>
    <w:p>
      <w:pPr>
        <w:pStyle w:val="Normal"/>
        <w:ind w:firstLine="720" w:end="0"/>
        <w:jc w:val="both"/>
        <w:rPr/>
      </w:pPr>
      <w:r>
        <w:rPr/>
        <w:t>"</w:t>
      </w:r>
      <w:r>
        <w:rPr>
          <w:u w:val="single"/>
        </w:rPr>
        <w:t>Effective Date</w:t>
      </w:r>
      <w:r>
        <w:rPr/>
        <w:t>" has the meaning set forth in the Preamble to this Contract.</w:t>
      </w:r>
    </w:p>
    <w:p>
      <w:pPr>
        <w:pStyle w:val="Normal"/>
        <w:ind w:firstLine="720" w:end="0"/>
        <w:jc w:val="both"/>
        <w:rPr/>
      </w:pPr>
      <w:r>
        <w:rPr/>
      </w:r>
    </w:p>
    <w:p>
      <w:pPr>
        <w:pStyle w:val="Normal"/>
        <w:ind w:firstLine="720" w:end="0"/>
        <w:jc w:val="both"/>
        <w:rPr/>
      </w:pPr>
      <w:r>
        <w:rPr/>
        <w:t>"</w:t>
      </w:r>
      <w:r>
        <w:rPr>
          <w:u w:val="single"/>
        </w:rPr>
        <w:t>End Date"</w:t>
      </w:r>
      <w:r>
        <w:rPr/>
        <w:t xml:space="preserve"> means the date which is 180 days after the Target Completion Date, as adjusted.</w:t>
      </w:r>
    </w:p>
    <w:p>
      <w:pPr>
        <w:pStyle w:val="Normal"/>
        <w:ind w:firstLine="720" w:end="0"/>
        <w:jc w:val="both"/>
        <w:rPr/>
      </w:pPr>
      <w:r>
        <w:rPr/>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Equipment</w:t>
      </w:r>
      <w:r>
        <w:rPr>
          <w:rFonts w:cs="Times New Roman" w:ascii="Times New Roman" w:hAnsi="Times New Roman"/>
          <w:sz w:val="24"/>
        </w:rPr>
        <w:t xml:space="preserve">" means all </w:t>
      </w:r>
      <w:r>
        <w:rPr>
          <w:rStyle w:val="LP2"/>
          <w:rFonts w:cs="Times New Roman" w:ascii="Times New Roman" w:hAnsi="Times New Roman"/>
          <w:sz w:val="24"/>
        </w:rPr>
        <w:t>machinery, equipment, computer hardware and software, apparatus, materials, and things of all kinds to be provided by Contractor to Owner under this Contract and that are to be incorporated into the Facility or to form a part of the Work to be delivered to Owner</w:t>
      </w:r>
      <w:r>
        <w:rPr>
          <w:rFonts w:cs="Times New Roman" w:ascii="Times New Roman" w:hAnsi="Times New Roman"/>
          <w:sz w:val="24"/>
        </w:rPr>
        <w:t>.</w:t>
      </w:r>
    </w:p>
    <w:p>
      <w:pPr>
        <w:pStyle w:val="BodyText"/>
        <w:ind w:start="720" w:end="0"/>
        <w:rPr/>
      </w:pPr>
      <w:r>
        <w:rPr>
          <w:rFonts w:cs="Times New Roman" w:ascii="Times New Roman" w:hAnsi="Times New Roman"/>
          <w:sz w:val="24"/>
        </w:rPr>
        <w:t>"</w:t>
      </w:r>
      <w:r>
        <w:rPr>
          <w:rFonts w:cs="Times New Roman" w:ascii="Times New Roman" w:hAnsi="Times New Roman"/>
          <w:sz w:val="24"/>
          <w:u w:val="single"/>
        </w:rPr>
        <w:t>Expert Reference Notice</w:t>
      </w:r>
      <w:r>
        <w:rPr>
          <w:rFonts w:cs="Times New Roman" w:ascii="Times New Roman" w:hAnsi="Times New Roman"/>
          <w:sz w:val="24"/>
        </w:rPr>
        <w:t>" has the meaning set forth in Section 19.1.</w:t>
      </w:r>
    </w:p>
    <w:p>
      <w:pPr>
        <w:pStyle w:val="Normal"/>
        <w:spacing w:before="0" w:after="240"/>
        <w:ind w:start="720" w:end="0"/>
        <w:jc w:val="both"/>
        <w:rPr/>
      </w:pPr>
      <w:r>
        <w:rPr/>
        <w:t>"</w:t>
      </w:r>
      <w:r>
        <w:rPr>
          <w:u w:val="single"/>
        </w:rPr>
        <w:t>Extended Warranty Period</w:t>
      </w:r>
      <w:r>
        <w:rPr/>
        <w:t>" has the meaning set forth in Section 12.2.</w:t>
      </w:r>
    </w:p>
    <w:p>
      <w:pPr>
        <w:pStyle w:val="Normal"/>
        <w:ind w:start="720" w:end="0"/>
        <w:jc w:val="both"/>
        <w:rPr/>
      </w:pPr>
      <w:r>
        <w:rPr/>
        <w:t>"</w:t>
      </w:r>
      <w:r>
        <w:rPr>
          <w:u w:val="single"/>
        </w:rPr>
        <w:t>Facility</w:t>
      </w:r>
      <w:r>
        <w:rPr/>
        <w:t xml:space="preserve">" means the power generation plant and related facilities described in </w:t>
      </w:r>
      <w:r>
        <w:rPr>
          <w:u w:val="single"/>
        </w:rPr>
        <w:t>Exhibit "B-1"</w:t>
      </w:r>
      <w:r>
        <w:rPr/>
        <w:t>.</w:t>
      </w:r>
    </w:p>
    <w:p>
      <w:pPr>
        <w:pStyle w:val="Normal"/>
        <w:ind w:start="720" w:end="0"/>
        <w:jc w:val="both"/>
        <w:rPr/>
      </w:pPr>
      <w:r>
        <w:rPr/>
      </w:r>
    </w:p>
    <w:p>
      <w:pPr>
        <w:pStyle w:val="Normal"/>
        <w:ind w:start="720" w:end="0"/>
        <w:jc w:val="both"/>
        <w:rPr/>
      </w:pPr>
      <w:r>
        <w:rPr/>
        <w:t>"</w:t>
      </w:r>
      <w:r>
        <w:rPr>
          <w:u w:val="single"/>
        </w:rPr>
        <w:t>Facility Operations Manuals</w:t>
      </w:r>
      <w:r>
        <w:rPr/>
        <w:t>" has the meaning set forth in Section 10.4.</w:t>
      </w:r>
    </w:p>
    <w:p>
      <w:pPr>
        <w:pStyle w:val="Normal"/>
        <w:ind w:start="720" w:end="0"/>
        <w:jc w:val="both"/>
        <w:rPr/>
      </w:pPr>
      <w:r>
        <w:rPr/>
      </w:r>
    </w:p>
    <w:p>
      <w:pPr>
        <w:pStyle w:val="Normal"/>
        <w:spacing w:before="0" w:after="240"/>
        <w:ind w:start="720" w:end="0"/>
        <w:jc w:val="both"/>
        <w:rPr/>
      </w:pPr>
      <w:r>
        <w:rPr/>
        <w:t>"</w:t>
      </w:r>
      <w:r>
        <w:rPr>
          <w:u w:val="single"/>
        </w:rPr>
        <w:t>Facility Punchlist</w:t>
      </w:r>
      <w:r>
        <w:rPr/>
        <w:t>" has the meaning set forth in Section 11.5.1.</w:t>
      </w:r>
    </w:p>
    <w:p>
      <w:pPr>
        <w:pStyle w:val="Normal"/>
        <w:ind w:start="720" w:end="0"/>
        <w:jc w:val="both"/>
        <w:rPr/>
      </w:pPr>
      <w:r>
        <w:rPr/>
        <w:t>"</w:t>
      </w:r>
      <w:r>
        <w:rPr>
          <w:u w:val="single"/>
        </w:rPr>
        <w:t>Final Completion</w:t>
      </w:r>
      <w:r>
        <w:rPr/>
        <w:t>" has the meaning set forth in Section 11.3.</w:t>
      </w:r>
    </w:p>
    <w:p>
      <w:pPr>
        <w:pStyle w:val="Normal"/>
        <w:ind w:start="720" w:end="0"/>
        <w:jc w:val="both"/>
        <w:rPr/>
      </w:pPr>
      <w:r>
        <w:rPr/>
      </w:r>
    </w:p>
    <w:p>
      <w:pPr>
        <w:pStyle w:val="Normal"/>
        <w:ind w:start="720" w:end="0"/>
        <w:jc w:val="both"/>
        <w:rPr/>
      </w:pPr>
      <w:r>
        <w:rPr/>
        <w:t>"</w:t>
      </w:r>
      <w:r>
        <w:rPr>
          <w:u w:val="single"/>
        </w:rPr>
        <w:t>Final Completion Certificate</w:t>
      </w:r>
      <w:r>
        <w:rPr/>
        <w:t>" has the meaning set forth in Section 11.4.</w:t>
      </w:r>
    </w:p>
    <w:p>
      <w:pPr>
        <w:pStyle w:val="Normal"/>
        <w:ind w:start="720" w:end="0"/>
        <w:jc w:val="both"/>
        <w:rPr/>
      </w:pPr>
      <w:r>
        <w:rPr/>
      </w:r>
    </w:p>
    <w:p>
      <w:pPr>
        <w:pStyle w:val="Normal"/>
        <w:ind w:start="720" w:end="0"/>
        <w:jc w:val="both"/>
        <w:rPr/>
      </w:pPr>
      <w:r>
        <w:rPr/>
        <w:t>"</w:t>
      </w:r>
      <w:r>
        <w:rPr>
          <w:u w:val="single"/>
        </w:rPr>
        <w:t>Financial Close</w:t>
      </w:r>
      <w:r>
        <w:rPr/>
        <w:t>"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Normal"/>
        <w:ind w:start="720" w:end="0"/>
        <w:jc w:val="both"/>
        <w:rPr/>
      </w:pPr>
      <w:r>
        <w:rPr/>
      </w:r>
    </w:p>
    <w:p>
      <w:pPr>
        <w:pStyle w:val="Normal"/>
        <w:ind w:start="720" w:end="0"/>
        <w:jc w:val="both"/>
        <w:rPr/>
      </w:pPr>
      <w:r>
        <w:rPr/>
        <w:t>"</w:t>
      </w:r>
      <w:r>
        <w:rPr>
          <w:u w:val="single"/>
        </w:rPr>
        <w:t>Fixed Costs</w:t>
      </w:r>
      <w:r>
        <w:rPr/>
        <w:t>" has the meaning set forth in Section 7.1.1(b).</w:t>
      </w:r>
    </w:p>
    <w:p>
      <w:pPr>
        <w:pStyle w:val="Normal"/>
        <w:ind w:start="720" w:end="0"/>
        <w:jc w:val="both"/>
        <w:rPr/>
      </w:pPr>
      <w:r>
        <w:rPr/>
      </w:r>
    </w:p>
    <w:p>
      <w:pPr>
        <w:pStyle w:val="Normal"/>
        <w:ind w:start="720" w:end="0"/>
        <w:jc w:val="both"/>
        <w:rPr/>
      </w:pPr>
      <w:r>
        <w:rPr/>
        <w:t>"</w:t>
      </w:r>
      <w:r>
        <w:rPr>
          <w:u w:val="single"/>
        </w:rPr>
        <w:t>Fixed Scope of Work</w:t>
      </w:r>
      <w:r>
        <w:rPr/>
        <w:t xml:space="preserve">" means all Project and construction management, design, engineering and documentation, construction support activities, start-up, testing and commissioning of each Phase and the Facility, performance of certain training, and preparation and delivery of operations and maintenance manuals, as set forth in Section 3.1.2 and </w:t>
      </w:r>
      <w:r>
        <w:rPr>
          <w:u w:val="single"/>
        </w:rPr>
        <w:t>Exhibit "B-2A"</w:t>
      </w:r>
      <w:r>
        <w:rPr/>
        <w:t>.</w:t>
      </w:r>
    </w:p>
    <w:p>
      <w:pPr>
        <w:pStyle w:val="Normal"/>
        <w:ind w:start="720" w:end="0"/>
        <w:jc w:val="both"/>
        <w:rPr/>
      </w:pPr>
      <w:r>
        <w:rPr/>
      </w:r>
    </w:p>
    <w:p>
      <w:pPr>
        <w:pStyle w:val="Normal"/>
        <w:ind w:start="720" w:end="0"/>
        <w:jc w:val="both"/>
        <w:rPr/>
      </w:pPr>
      <w:r>
        <w:rPr/>
        <w:t>"</w:t>
      </w:r>
      <w:r>
        <w:rPr>
          <w:u w:val="single"/>
        </w:rPr>
        <w:t>Force Majeure</w:t>
      </w:r>
      <w:r>
        <w:rPr/>
        <w:t>" has the meaning set forth in Section 17.1.</w:t>
      </w:r>
    </w:p>
    <w:p>
      <w:pPr>
        <w:pStyle w:val="Normal"/>
        <w:ind w:start="720" w:end="0"/>
        <w:jc w:val="both"/>
        <w:rPr/>
      </w:pPr>
      <w:r>
        <w:rPr/>
      </w:r>
    </w:p>
    <w:p>
      <w:pPr>
        <w:pStyle w:val="Normal"/>
        <w:ind w:firstLine="720" w:end="0"/>
        <w:jc w:val="both"/>
        <w:rPr/>
      </w:pPr>
      <w:r>
        <w:rPr/>
        <w:t>"</w:t>
      </w:r>
      <w:r>
        <w:rPr>
          <w:u w:val="single"/>
        </w:rPr>
        <w:t>Fuel</w:t>
      </w:r>
      <w:r>
        <w:rPr/>
        <w:t xml:space="preserve">" means natural gas or diesel fuel substantially conforming to the applicable fuel specifications set forth in </w:t>
      </w:r>
      <w:r>
        <w:rPr>
          <w:u w:val="single"/>
        </w:rPr>
        <w:t>Exhibit "E-2"</w:t>
      </w:r>
      <w:r>
        <w:rPr/>
        <w:t>.</w:t>
      </w:r>
    </w:p>
    <w:p>
      <w:pPr>
        <w:pStyle w:val="Normal"/>
        <w:ind w:firstLine="720" w:end="0"/>
        <w:jc w:val="both"/>
        <w:rPr/>
      </w:pPr>
      <w:r>
        <w:rPr/>
      </w:r>
    </w:p>
    <w:p>
      <w:pPr>
        <w:pStyle w:val="Normal"/>
        <w:ind w:firstLine="720" w:end="0"/>
        <w:jc w:val="both"/>
        <w:rPr/>
      </w:pPr>
      <w:r>
        <w:rPr/>
        <w:t>"</w:t>
      </w:r>
      <w:r>
        <w:rPr>
          <w:u w:val="single"/>
        </w:rPr>
        <w:t>GE</w:t>
      </w:r>
      <w:r>
        <w:rPr/>
        <w:t>" means GE Packaged Power, Inc.</w:t>
      </w:r>
    </w:p>
    <w:p>
      <w:pPr>
        <w:pStyle w:val="Normal"/>
        <w:ind w:firstLine="720" w:end="0"/>
        <w:jc w:val="both"/>
        <w:rPr/>
      </w:pPr>
      <w:r>
        <w:rPr/>
      </w:r>
    </w:p>
    <w:p>
      <w:pPr>
        <w:pStyle w:val="Normal"/>
        <w:ind w:start="720" w:end="0"/>
        <w:jc w:val="both"/>
        <w:rPr/>
      </w:pPr>
      <w:r>
        <w:rPr/>
        <w:t>"</w:t>
      </w:r>
      <w:r>
        <w:rPr>
          <w:u w:val="single"/>
        </w:rPr>
        <w:t>GE Contract</w:t>
      </w:r>
      <w:r>
        <w:rPr/>
        <w:t>" means that certain Agreement, dated May 12, 2000, by and between Westdeutsche Landesbank Girozentrale, New York Branch acting through its agent Enron North America Corp., and GE Packaged Power, Inc. which provides for the sale and purchase of the GE Units.</w:t>
      </w:r>
    </w:p>
    <w:p>
      <w:pPr>
        <w:pStyle w:val="Normal"/>
        <w:ind w:start="720" w:end="0"/>
        <w:jc w:val="both"/>
        <w:rPr/>
      </w:pPr>
      <w:r>
        <w:rPr/>
      </w:r>
    </w:p>
    <w:p>
      <w:pPr>
        <w:pStyle w:val="Normal"/>
        <w:ind w:start="720" w:end="0"/>
        <w:jc w:val="both"/>
        <w:rPr/>
      </w:pPr>
      <w:r>
        <w:rPr/>
        <w:t>"</w:t>
      </w:r>
      <w:r>
        <w:rPr>
          <w:u w:val="single"/>
        </w:rPr>
        <w:t>GE Unit</w:t>
      </w:r>
      <w:r>
        <w:rPr/>
        <w:t>" means an LM 6000 Enhanced Sprint combustion turbine generator set purchased under the GE Contract.</w:t>
      </w:r>
    </w:p>
    <w:p>
      <w:pPr>
        <w:pStyle w:val="Normal"/>
        <w:ind w:start="720" w:end="0"/>
        <w:jc w:val="both"/>
        <w:rPr/>
      </w:pPr>
      <w:r>
        <w:rPr/>
      </w:r>
    </w:p>
    <w:p>
      <w:pPr>
        <w:pStyle w:val="Normal"/>
        <w:ind w:start="720" w:end="0"/>
        <w:jc w:val="both"/>
        <w:rPr/>
      </w:pPr>
      <w:r>
        <w:rPr/>
        <w:t>"</w:t>
      </w:r>
      <w:r>
        <w:rPr>
          <w:u w:val="single"/>
        </w:rPr>
        <w:t>Good Industry Practice</w:t>
      </w:r>
      <w:r>
        <w:rPr/>
        <w:t>" or "</w:t>
      </w:r>
      <w:r>
        <w:rPr>
          <w:u w:val="single"/>
        </w:rPr>
        <w:t>GIP</w:t>
      </w:r>
      <w:r>
        <w:rPr/>
        <w:t>" means the exercise of that degree of skill, diligence and prudence that would reasonably and ordinarily be expected from a skilled and experienced construction contractor or equipment manufacturer applying the standards generally adopted by international construction contractors and equipment manufacturers for the construction of independent (non</w:t>
        <w:noBreakHyphen/>
        <w:t>utility) power generation facilities of a type and scale similar to the Facility or the manufacture of equipment therefore, unless the result of such exercise would violate any applicable Brazilian Law.</w:t>
      </w:r>
    </w:p>
    <w:p>
      <w:pPr>
        <w:pStyle w:val="Normal"/>
        <w:ind w:start="720" w:end="0"/>
        <w:jc w:val="both"/>
        <w:rPr/>
      </w:pPr>
      <w:r>
        <w:rPr/>
      </w:r>
    </w:p>
    <w:p>
      <w:pPr>
        <w:pStyle w:val="Normal"/>
        <w:ind w:start="720" w:end="0"/>
        <w:jc w:val="both"/>
        <w:rPr/>
      </w:pPr>
      <w:r>
        <w:rPr/>
        <w:t>"</w:t>
      </w:r>
      <w:r>
        <w:rPr>
          <w:u w:val="single"/>
        </w:rPr>
        <w:t>Governmental Authority</w:t>
      </w:r>
      <w:r>
        <w:rPr/>
        <w:t>"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any of the foregoing.</w:t>
      </w:r>
    </w:p>
    <w:p>
      <w:pPr>
        <w:pStyle w:val="Normal"/>
        <w:ind w:start="720" w:end="0"/>
        <w:jc w:val="both"/>
        <w:rPr/>
      </w:pPr>
      <w:r>
        <w:rPr/>
      </w:r>
    </w:p>
    <w:p>
      <w:pPr>
        <w:pStyle w:val="Normal"/>
        <w:ind w:start="720" w:end="0"/>
        <w:jc w:val="both"/>
        <w:rPr/>
      </w:pPr>
      <w:r>
        <w:rPr/>
        <w:t>"</w:t>
      </w:r>
      <w:r>
        <w:rPr>
          <w:u w:val="single"/>
        </w:rPr>
        <w:t>Governmental Authorizations</w:t>
      </w:r>
      <w:r>
        <w:rPr/>
        <w:t>"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ind w:start="720" w:end="0"/>
        <w:jc w:val="both"/>
        <w:rPr/>
      </w:pPr>
      <w:r>
        <w:rPr/>
      </w:r>
    </w:p>
    <w:p>
      <w:pPr>
        <w:pStyle w:val="Normal"/>
        <w:ind w:start="720" w:end="0"/>
        <w:jc w:val="both"/>
        <w:rPr/>
      </w:pPr>
      <w:r>
        <w:rPr/>
        <w:t>"</w:t>
      </w:r>
      <w:r>
        <w:rPr>
          <w:u w:val="single"/>
        </w:rPr>
        <w:t>Grid</w:t>
      </w:r>
      <w:r>
        <w:rPr/>
        <w:t>"  means the portion of the Brazilian electric transmission system, as identified pursuant to the procedures set forth in ANEEL Resolution No. 245 dated July 31, 1998, as amended or modified from time to time.</w:t>
      </w:r>
    </w:p>
    <w:p>
      <w:pPr>
        <w:pStyle w:val="Normal"/>
        <w:ind w:start="720" w:end="0"/>
        <w:jc w:val="both"/>
        <w:rPr/>
      </w:pPr>
      <w:r>
        <w:rPr/>
      </w:r>
    </w:p>
    <w:p>
      <w:pPr>
        <w:pStyle w:val="Normal"/>
        <w:ind w:start="720" w:end="0"/>
        <w:jc w:val="both"/>
        <w:rPr/>
      </w:pPr>
      <w:r>
        <w:rPr/>
        <w:t>"</w:t>
      </w:r>
      <w:r>
        <w:rPr>
          <w:u w:val="single"/>
        </w:rPr>
        <w:t>Hazardous Substances</w:t>
      </w:r>
      <w:r>
        <w:rPr/>
        <w:t>" means any substance or material regulated or governed by any Governmental Authority having jurisdiction as,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ind w:start="720" w:end="0"/>
        <w:jc w:val="both"/>
        <w:rPr/>
      </w:pPr>
      <w:r>
        <w:rPr/>
      </w:r>
    </w:p>
    <w:p>
      <w:pPr>
        <w:pStyle w:val="Normal"/>
        <w:ind w:start="720" w:end="0"/>
        <w:jc w:val="both"/>
        <w:rPr/>
      </w:pPr>
      <w:r>
        <w:rPr/>
        <w:t>"</w:t>
      </w:r>
      <w:r>
        <w:rPr>
          <w:u w:val="single"/>
        </w:rPr>
        <w:t>Holdpoint</w:t>
      </w:r>
      <w:r>
        <w:rPr/>
        <w:t>" means those system or equipment check</w:t>
        <w:noBreakHyphen/>
        <w:t xml:space="preserve">out or testing holdpoints so identified and listed in </w:t>
      </w:r>
      <w:r>
        <w:rPr>
          <w:u w:val="single"/>
        </w:rPr>
        <w:t>Exhibit "O</w:t>
      </w:r>
      <w:r>
        <w:rPr/>
        <w:t>".</w:t>
      </w:r>
    </w:p>
    <w:p>
      <w:pPr>
        <w:pStyle w:val="Normal"/>
        <w:ind w:start="720" w:end="0"/>
        <w:jc w:val="both"/>
        <w:rPr/>
      </w:pPr>
      <w:r>
        <w:rPr/>
      </w:r>
    </w:p>
    <w:p>
      <w:pPr>
        <w:pStyle w:val="Normal"/>
        <w:ind w:start="720" w:end="0"/>
        <w:jc w:val="both"/>
        <w:rPr/>
      </w:pPr>
      <w:r>
        <w:rPr/>
        <w:t>"</w:t>
      </w:r>
      <w:r>
        <w:rPr>
          <w:u w:val="single"/>
        </w:rPr>
        <w:t>Hydrology Report</w:t>
      </w:r>
      <w:r>
        <w:rPr/>
        <w:t>" means the report prepared and delivered to Owner/Construction Agent pursuant to the Hydrology Study.</w:t>
      </w:r>
    </w:p>
    <w:p>
      <w:pPr>
        <w:pStyle w:val="Normal"/>
        <w:ind w:start="720" w:end="0"/>
        <w:jc w:val="both"/>
        <w:rPr/>
      </w:pPr>
      <w:r>
        <w:rPr/>
      </w:r>
    </w:p>
    <w:p>
      <w:pPr>
        <w:pStyle w:val="Normal"/>
        <w:ind w:start="720" w:end="0"/>
        <w:jc w:val="both"/>
        <w:rPr/>
      </w:pPr>
      <w:r>
        <w:rPr/>
        <w:t>"</w:t>
      </w:r>
      <w:r>
        <w:rPr>
          <w:u w:val="single"/>
        </w:rPr>
        <w:t>Hydrology Study</w:t>
      </w:r>
      <w:r>
        <w:rPr/>
        <w:t>" means the study commissioned by Construction Agent or its Affiliate and performed to determine historical flooding and flood patterns, precipitation levels, drainage and runoff patterns, and similar hydrological conditions at the site.</w:t>
      </w:r>
    </w:p>
    <w:p>
      <w:pPr>
        <w:pStyle w:val="Normal"/>
        <w:ind w:start="720" w:end="0"/>
        <w:jc w:val="both"/>
        <w:rPr/>
      </w:pPr>
      <w:r>
        <w:rPr/>
      </w:r>
    </w:p>
    <w:p>
      <w:pPr>
        <w:pStyle w:val="Normal"/>
        <w:ind w:start="720" w:end="0"/>
        <w:jc w:val="both"/>
        <w:rPr/>
      </w:pPr>
      <w:r>
        <w:rPr/>
        <w:t>"</w:t>
      </w:r>
      <w:r>
        <w:rPr>
          <w:u w:val="single"/>
        </w:rPr>
        <w:t>ICC</w:t>
      </w:r>
      <w:r>
        <w:rPr/>
        <w:t>" has the meaning set forth in Section 19.3.</w:t>
      </w:r>
    </w:p>
    <w:p>
      <w:pPr>
        <w:pStyle w:val="Normal"/>
        <w:ind w:start="720" w:end="0"/>
        <w:jc w:val="both"/>
        <w:rPr/>
      </w:pPr>
      <w:r>
        <w:rPr/>
      </w:r>
    </w:p>
    <w:p>
      <w:pPr>
        <w:pStyle w:val="Normal"/>
        <w:ind w:start="720" w:end="0"/>
        <w:jc w:val="both"/>
        <w:rPr/>
      </w:pPr>
      <w:r>
        <w:rPr/>
        <w:t>"</w:t>
      </w:r>
      <w:r>
        <w:rPr>
          <w:u w:val="single"/>
        </w:rPr>
        <w:t>ICE</w:t>
      </w:r>
      <w:r>
        <w:rPr/>
        <w:t>" has the meaning set forth in Section 19.1(b).</w:t>
      </w:r>
    </w:p>
    <w:p>
      <w:pPr>
        <w:pStyle w:val="Normal"/>
        <w:ind w:start="720" w:end="0"/>
        <w:jc w:val="both"/>
        <w:rPr/>
      </w:pPr>
      <w:r>
        <w:rPr/>
      </w:r>
    </w:p>
    <w:p>
      <w:pPr>
        <w:pStyle w:val="Normal"/>
        <w:ind w:start="720" w:end="0"/>
        <w:jc w:val="both"/>
        <w:rPr/>
      </w:pPr>
      <w:r>
        <w:rPr/>
        <w:t>"</w:t>
      </w:r>
      <w:r>
        <w:rPr>
          <w:u w:val="single"/>
        </w:rPr>
        <w:t>Incentive Bonus</w:t>
      </w:r>
      <w:r>
        <w:rPr/>
        <w:t>" has the meaning set forth in Section 7.1.3.</w:t>
      </w:r>
    </w:p>
    <w:p>
      <w:pPr>
        <w:pStyle w:val="Normal"/>
        <w:ind w:start="720" w:end="0"/>
        <w:jc w:val="both"/>
        <w:rPr/>
      </w:pPr>
      <w:r>
        <w:rPr/>
      </w:r>
    </w:p>
    <w:p>
      <w:pPr>
        <w:pStyle w:val="Normal"/>
        <w:ind w:start="720" w:end="0"/>
        <w:jc w:val="both"/>
        <w:rPr/>
      </w:pPr>
      <w:r>
        <w:rPr/>
        <w:t>"</w:t>
      </w:r>
      <w:r>
        <w:rPr>
          <w:u w:val="single"/>
        </w:rPr>
        <w:t>Indemnitee</w:t>
      </w:r>
      <w:r>
        <w:rPr/>
        <w:t>" has the meaning set forth in Section 18.5.</w:t>
      </w:r>
    </w:p>
    <w:p>
      <w:pPr>
        <w:pStyle w:val="Normal"/>
        <w:ind w:start="720" w:end="0"/>
        <w:jc w:val="both"/>
        <w:rPr/>
      </w:pPr>
      <w:r>
        <w:rPr/>
      </w:r>
    </w:p>
    <w:p>
      <w:pPr>
        <w:pStyle w:val="Normal"/>
        <w:ind w:start="720" w:end="0"/>
        <w:jc w:val="both"/>
        <w:rPr/>
      </w:pPr>
      <w:r>
        <w:rPr/>
        <w:t>"</w:t>
      </w:r>
      <w:r>
        <w:rPr>
          <w:u w:val="single"/>
        </w:rPr>
        <w:t>Indemnitor</w:t>
      </w:r>
      <w:r>
        <w:rPr/>
        <w:t>" has the meaning set forth in Section 18.5.</w:t>
      </w:r>
    </w:p>
    <w:p>
      <w:pPr>
        <w:pStyle w:val="Normal"/>
        <w:ind w:start="720" w:end="0"/>
        <w:jc w:val="both"/>
        <w:rPr/>
      </w:pPr>
      <w:r>
        <w:rPr/>
      </w:r>
    </w:p>
    <w:p>
      <w:pPr>
        <w:pStyle w:val="Normal"/>
        <w:ind w:start="720" w:end="0"/>
        <w:jc w:val="both"/>
        <w:rPr/>
      </w:pPr>
      <w:r>
        <w:rPr/>
        <w:t>"</w:t>
      </w:r>
      <w:r>
        <w:rPr>
          <w:u w:val="single"/>
        </w:rPr>
        <w:t>Independent Expert</w:t>
      </w:r>
      <w:r>
        <w:rPr/>
        <w:t>" has the meaning set forth in Section 19.1.</w:t>
      </w:r>
    </w:p>
    <w:p>
      <w:pPr>
        <w:pStyle w:val="Normal"/>
        <w:ind w:start="720" w:end="0"/>
        <w:jc w:val="both"/>
        <w:rPr/>
      </w:pPr>
      <w:r>
        <w:rPr/>
      </w:r>
    </w:p>
    <w:p>
      <w:pPr>
        <w:pStyle w:val="Normal"/>
        <w:ind w:start="720" w:end="0"/>
        <w:jc w:val="both"/>
        <w:rPr/>
      </w:pPr>
      <w:r>
        <w:rPr/>
        <w:t>"</w:t>
      </w:r>
      <w:r>
        <w:rPr>
          <w:u w:val="single"/>
        </w:rPr>
        <w:t>Initial Work</w:t>
      </w:r>
      <w:r>
        <w:rPr/>
        <w:t>" means all work performed by Contractor or any affiliate thereof pursuant to any Early Works Agreement(s).</w:t>
      </w:r>
    </w:p>
    <w:p>
      <w:pPr>
        <w:pStyle w:val="Normal"/>
        <w:ind w:start="720" w:end="0"/>
        <w:jc w:val="both"/>
        <w:rPr/>
      </w:pPr>
      <w:r>
        <w:rPr/>
      </w:r>
    </w:p>
    <w:p>
      <w:pPr>
        <w:pStyle w:val="Normal"/>
        <w:ind w:start="720" w:end="0"/>
        <w:jc w:val="both"/>
        <w:rPr/>
      </w:pPr>
      <w:r>
        <w:rPr/>
        <w:t>"</w:t>
      </w:r>
      <w:r>
        <w:rPr>
          <w:u w:val="single"/>
        </w:rPr>
        <w:t>Job Books</w:t>
      </w:r>
      <w:r>
        <w:rPr/>
        <w:t>" has the meaning set forth in Section 10.1.</w:t>
      </w:r>
    </w:p>
    <w:p>
      <w:pPr>
        <w:pStyle w:val="Normal"/>
        <w:ind w:start="720" w:end="0"/>
        <w:jc w:val="both"/>
        <w:rPr/>
      </w:pPr>
      <w:r>
        <w:rPr/>
      </w:r>
    </w:p>
    <w:p>
      <w:pPr>
        <w:pStyle w:val="Normal"/>
        <w:ind w:start="720" w:end="0"/>
        <w:jc w:val="both"/>
        <w:rPr/>
      </w:pPr>
      <w:r>
        <w:rPr/>
        <w:t>"</w:t>
      </w:r>
      <w:r>
        <w:rPr>
          <w:u w:val="single"/>
        </w:rPr>
        <w:t>Key Personnel</w:t>
      </w:r>
      <w:r>
        <w:rPr/>
        <w:t>" has the meaning set forth in Section 3.4.2.</w:t>
      </w:r>
    </w:p>
    <w:p>
      <w:pPr>
        <w:pStyle w:val="Normal"/>
        <w:ind w:start="720" w:end="0"/>
        <w:jc w:val="both"/>
        <w:rPr/>
      </w:pPr>
      <w:r>
        <w:rPr/>
      </w:r>
    </w:p>
    <w:p>
      <w:pPr>
        <w:pStyle w:val="Normal"/>
        <w:ind w:start="720" w:end="0"/>
        <w:jc w:val="both"/>
        <w:rPr/>
      </w:pPr>
      <w:r>
        <w:rPr/>
        <w:t>"</w:t>
      </w:r>
      <w:r>
        <w:rPr>
          <w:u w:val="single"/>
        </w:rPr>
        <w:t>kW</w:t>
      </w:r>
      <w:r>
        <w:rPr/>
        <w:t>" means kilowatts.</w:t>
      </w:r>
    </w:p>
    <w:p>
      <w:pPr>
        <w:pStyle w:val="Normal"/>
        <w:ind w:start="720" w:end="0"/>
        <w:jc w:val="both"/>
        <w:rPr/>
      </w:pPr>
      <w:r>
        <w:rPr/>
      </w:r>
    </w:p>
    <w:p>
      <w:pPr>
        <w:pStyle w:val="Normal"/>
        <w:ind w:start="720" w:end="0"/>
        <w:jc w:val="both"/>
        <w:rPr/>
      </w:pPr>
      <w:r>
        <w:rPr/>
        <w:t>"</w:t>
      </w:r>
      <w:r>
        <w:rPr>
          <w:u w:val="single"/>
        </w:rPr>
        <w:t>kWh</w:t>
      </w:r>
      <w:r>
        <w:rPr/>
        <w:t>" means kilowatt-hours.</w:t>
      </w:r>
    </w:p>
    <w:p>
      <w:pPr>
        <w:pStyle w:val="Normal"/>
        <w:ind w:start="720" w:end="0"/>
        <w:jc w:val="both"/>
        <w:rPr/>
      </w:pPr>
      <w:r>
        <w:rPr/>
      </w:r>
    </w:p>
    <w:p>
      <w:pPr>
        <w:pStyle w:val="Normal"/>
        <w:ind w:start="720" w:end="0"/>
        <w:jc w:val="both"/>
        <w:rPr/>
      </w:pPr>
      <w:r>
        <w:rPr/>
        <w:t>"</w:t>
      </w:r>
      <w:r>
        <w:rPr>
          <w:u w:val="single"/>
        </w:rPr>
        <w:t>Law</w:t>
      </w:r>
      <w:r>
        <w:rPr/>
        <w:t>" means any constitution, charter, act, statute, law, ordinance, code, rule, regulation, order, treaty, decree, announcement or published practice or any interpretation thereof, or other action of any Governmental Authority, or specified standards or objective criteria contained in any applicable Governmental Authorization, or any decree, judgment or order of a court, or any engineering, construction, safety or electrical generation code applicable to the Work, the Facility or any part of either of them.</w:t>
      </w:r>
    </w:p>
    <w:p>
      <w:pPr>
        <w:pStyle w:val="Normal"/>
        <w:ind w:start="720" w:end="0"/>
        <w:jc w:val="both"/>
        <w:rPr/>
      </w:pPr>
      <w:r>
        <w:rPr/>
      </w:r>
    </w:p>
    <w:p>
      <w:pPr>
        <w:pStyle w:val="Normal"/>
        <w:ind w:start="720" w:end="0"/>
        <w:jc w:val="both"/>
        <w:rPr/>
      </w:pPr>
      <w:r>
        <w:rPr/>
        <w:t>"</w:t>
      </w:r>
      <w:r>
        <w:rPr>
          <w:u w:val="single"/>
        </w:rPr>
        <w:t>Lender</w:t>
      </w:r>
      <w:r>
        <w:rPr/>
        <w:t>" means lenders, institutions, noteholders or bondholders providing or guaranteeing, financing or refinancing to Owner for the construction of the Facility, and any agent or trustee therefore.</w:t>
      </w:r>
    </w:p>
    <w:p>
      <w:pPr>
        <w:pStyle w:val="Normal"/>
        <w:ind w:start="720" w:end="0"/>
        <w:jc w:val="both"/>
        <w:rPr/>
      </w:pPr>
      <w:r>
        <w:rPr/>
      </w:r>
    </w:p>
    <w:p>
      <w:pPr>
        <w:pStyle w:val="Normal"/>
        <w:ind w:start="720" w:end="0"/>
        <w:jc w:val="both"/>
        <w:rPr/>
      </w:pPr>
      <w:r>
        <w:rPr/>
        <w:t>"</w:t>
      </w:r>
      <w:r>
        <w:rPr>
          <w:u w:val="single"/>
        </w:rPr>
        <w:t>Major Subcontract</w:t>
      </w:r>
      <w:r>
        <w:rPr/>
        <w:t xml:space="preserve">" means any Subcontract for a portion of the Work designated as a Major Subcontract Scope of Work in </w:t>
      </w:r>
      <w:r>
        <w:rPr>
          <w:u w:val="single"/>
        </w:rPr>
        <w:t>Exhibit "K"</w:t>
      </w:r>
      <w:r>
        <w:rPr/>
        <w:t>, together with any subcontract with value in excess of $500,000.</w:t>
      </w:r>
    </w:p>
    <w:p>
      <w:pPr>
        <w:pStyle w:val="Normal"/>
        <w:ind w:start="720" w:end="0"/>
        <w:jc w:val="both"/>
        <w:rPr/>
      </w:pPr>
      <w:r>
        <w:rPr/>
      </w:r>
    </w:p>
    <w:p>
      <w:pPr>
        <w:pStyle w:val="Normal"/>
        <w:ind w:start="720" w:end="0"/>
        <w:jc w:val="both"/>
        <w:rPr/>
      </w:pPr>
      <w:r>
        <w:rPr/>
        <w:t>"</w:t>
      </w:r>
      <w:r>
        <w:rPr>
          <w:u w:val="single"/>
        </w:rPr>
        <w:t>Major Subcontractor</w:t>
      </w:r>
      <w:r>
        <w:rPr/>
        <w:t>" means any Subcontractor with whom Contractor enters into a Major Subcontract.</w:t>
      </w:r>
    </w:p>
    <w:p>
      <w:pPr>
        <w:pStyle w:val="Normal"/>
        <w:ind w:start="720" w:end="0"/>
        <w:jc w:val="both"/>
        <w:rPr/>
      </w:pPr>
      <w:r>
        <w:rPr/>
      </w:r>
    </w:p>
    <w:p>
      <w:pPr>
        <w:pStyle w:val="Normal"/>
        <w:ind w:start="720" w:end="0"/>
        <w:jc w:val="both"/>
        <w:rPr/>
      </w:pPr>
      <w:r>
        <w:rPr/>
        <w:t>"</w:t>
      </w:r>
      <w:r>
        <w:rPr>
          <w:u w:val="single"/>
        </w:rPr>
        <w:t>Mechanical Completion</w:t>
      </w:r>
      <w:r>
        <w:rPr/>
        <w:t>" means, with respect to the Facility and each Phase, unit, system or component thereof, the physical completion thereof, except for Punchlist Items,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alignment of all rotating equipment,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 safely and  without damage to the Facility or any other property and without injury to any person.</w:t>
      </w:r>
    </w:p>
    <w:p>
      <w:pPr>
        <w:pStyle w:val="Normal"/>
        <w:ind w:start="720" w:end="0"/>
        <w:jc w:val="both"/>
        <w:rPr/>
      </w:pPr>
      <w:r>
        <w:rPr/>
      </w:r>
    </w:p>
    <w:p>
      <w:pPr>
        <w:pStyle w:val="Normal"/>
        <w:ind w:start="720" w:end="0"/>
        <w:jc w:val="both"/>
        <w:rPr/>
      </w:pPr>
      <w:r>
        <w:rPr/>
        <w:t>"</w:t>
      </w:r>
      <w:r>
        <w:rPr>
          <w:u w:val="single"/>
        </w:rPr>
        <w:t>Milestone</w:t>
      </w:r>
      <w:r>
        <w:rPr/>
        <w:t>" means that portion of the Work for which a portion of the Contract Price has been allocated as a payment due from Owner, all as more fully set forth in the Payment Schedule.</w:t>
      </w:r>
    </w:p>
    <w:p>
      <w:pPr>
        <w:pStyle w:val="Normal"/>
        <w:ind w:start="720" w:end="0"/>
        <w:jc w:val="both"/>
        <w:rPr/>
      </w:pPr>
      <w:r>
        <w:rPr/>
      </w:r>
    </w:p>
    <w:p>
      <w:pPr>
        <w:pStyle w:val="Normal"/>
        <w:ind w:start="720" w:end="0"/>
        <w:jc w:val="both"/>
        <w:rPr/>
      </w:pPr>
      <w:r>
        <w:rPr/>
        <w:t>"</w:t>
      </w:r>
      <w:r>
        <w:rPr>
          <w:u w:val="single"/>
        </w:rPr>
        <w:t>Month</w:t>
      </w:r>
      <w:r>
        <w:rPr/>
        <w:t>" or "</w:t>
      </w:r>
      <w:r>
        <w:rPr>
          <w:u w:val="single"/>
        </w:rPr>
        <w:t>month</w:t>
      </w:r>
      <w:r>
        <w:rPr/>
        <w:t>" means a calendar month (in accordance with the Gregorian calendar).</w:t>
      </w:r>
    </w:p>
    <w:p>
      <w:pPr>
        <w:pStyle w:val="Normal"/>
        <w:ind w:start="720" w:end="0"/>
        <w:jc w:val="both"/>
        <w:rPr/>
      </w:pPr>
      <w:r>
        <w:rPr/>
      </w:r>
    </w:p>
    <w:p>
      <w:pPr>
        <w:pStyle w:val="Normal"/>
        <w:ind w:start="720" w:end="0"/>
        <w:jc w:val="both"/>
        <w:rPr/>
      </w:pPr>
      <w:r>
        <w:rPr/>
        <w:t>"</w:t>
      </w:r>
      <w:r>
        <w:rPr>
          <w:u w:val="single"/>
        </w:rPr>
        <w:t>MW</w:t>
      </w:r>
      <w:r>
        <w:rPr/>
        <w:t>" means megawatts.</w:t>
      </w:r>
    </w:p>
    <w:p>
      <w:pPr>
        <w:pStyle w:val="Normal"/>
        <w:ind w:start="720" w:end="0"/>
        <w:jc w:val="both"/>
        <w:rPr/>
      </w:pPr>
      <w:r>
        <w:rPr/>
      </w:r>
    </w:p>
    <w:p>
      <w:pPr>
        <w:pStyle w:val="Normal"/>
        <w:ind w:start="720" w:end="0"/>
        <w:jc w:val="both"/>
        <w:rPr/>
      </w:pPr>
      <w:r>
        <w:rPr/>
        <w:t>"</w:t>
      </w:r>
      <w:r>
        <w:rPr>
          <w:u w:val="single"/>
        </w:rPr>
        <w:t>Noise Study</w:t>
      </w:r>
      <w:r>
        <w:rPr/>
        <w:t>" means the report prepared and delivered to Owner/Construction Agent pursuant to the Noise Study.</w:t>
      </w:r>
    </w:p>
    <w:p>
      <w:pPr>
        <w:pStyle w:val="Normal"/>
        <w:ind w:start="720" w:end="0"/>
        <w:jc w:val="both"/>
        <w:rPr/>
      </w:pPr>
      <w:r>
        <w:rPr/>
      </w:r>
    </w:p>
    <w:p>
      <w:pPr>
        <w:pStyle w:val="Normal"/>
        <w:ind w:start="720" w:end="0"/>
        <w:jc w:val="both"/>
        <w:rPr/>
      </w:pPr>
      <w:r>
        <w:rPr/>
        <w:t>"</w:t>
      </w:r>
      <w:r>
        <w:rPr>
          <w:u w:val="single"/>
        </w:rPr>
        <w:t>Noise Study Report</w:t>
      </w:r>
      <w:r>
        <w:rPr/>
        <w:t>" means the study commissioned by Construction Agent or its Affiliate and performed to determine projected noise levels at the Site boundary caused by the facility when complete and operational.</w:t>
      </w:r>
    </w:p>
    <w:p>
      <w:pPr>
        <w:pStyle w:val="Normal"/>
        <w:ind w:start="720" w:end="0"/>
        <w:jc w:val="both"/>
        <w:rPr/>
      </w:pPr>
      <w:r>
        <w:rPr/>
      </w:r>
    </w:p>
    <w:p>
      <w:pPr>
        <w:pStyle w:val="Normal"/>
        <w:ind w:start="720" w:end="0"/>
        <w:jc w:val="both"/>
        <w:rPr/>
      </w:pPr>
      <w:r>
        <w:rPr/>
        <w:t>"</w:t>
      </w:r>
      <w:r>
        <w:rPr>
          <w:u w:val="single"/>
        </w:rPr>
        <w:t>NTP</w:t>
      </w:r>
      <w:r>
        <w:rPr/>
        <w:t>" has the meaning set forth in Section 5.1.3.</w:t>
      </w:r>
    </w:p>
    <w:p>
      <w:pPr>
        <w:pStyle w:val="Normal"/>
        <w:ind w:start="720" w:end="0"/>
        <w:jc w:val="both"/>
        <w:rPr/>
      </w:pPr>
      <w:r>
        <w:rPr/>
      </w:r>
    </w:p>
    <w:p>
      <w:pPr>
        <w:pStyle w:val="Normal"/>
        <w:ind w:start="720" w:end="0"/>
        <w:jc w:val="both"/>
        <w:rPr/>
      </w:pPr>
      <w:r>
        <w:rPr/>
        <w:t>"</w:t>
      </w:r>
      <w:r>
        <w:rPr>
          <w:u w:val="single"/>
        </w:rPr>
        <w:t>NTP Effective Date</w:t>
      </w:r>
      <w:r>
        <w:rPr/>
        <w:t>" has the meaning set forth in Section 5.1.2.</w:t>
      </w:r>
    </w:p>
    <w:p>
      <w:pPr>
        <w:pStyle w:val="Normal"/>
        <w:ind w:start="720" w:end="0"/>
        <w:jc w:val="both"/>
        <w:rPr/>
      </w:pPr>
      <w:r>
        <w:rPr/>
      </w:r>
    </w:p>
    <w:p>
      <w:pPr>
        <w:pStyle w:val="Normal"/>
        <w:ind w:start="720" w:end="0"/>
        <w:jc w:val="both"/>
        <w:rPr/>
      </w:pPr>
      <w:r>
        <w:rPr/>
        <w:t>"</w:t>
      </w:r>
      <w:r>
        <w:rPr>
          <w:u w:val="single"/>
        </w:rPr>
        <w:t>Operator</w:t>
      </w:r>
      <w:r>
        <w:rPr/>
        <w:t>" means either the Person under contract to Owner for the operation and maintenance of the Facility, if any, or Owner.</w:t>
      </w:r>
    </w:p>
    <w:p>
      <w:pPr>
        <w:pStyle w:val="Normal"/>
        <w:ind w:start="720" w:end="0"/>
        <w:jc w:val="both"/>
        <w:rPr/>
      </w:pPr>
      <w:r>
        <w:rPr/>
      </w:r>
    </w:p>
    <w:p>
      <w:pPr>
        <w:pStyle w:val="Normal"/>
        <w:ind w:start="720" w:end="0"/>
        <w:jc w:val="both"/>
        <w:rPr/>
      </w:pPr>
      <w:r>
        <w:rPr/>
        <w:t>"</w:t>
      </w:r>
      <w:r>
        <w:rPr>
          <w:u w:val="single"/>
        </w:rPr>
        <w:t>Original Onshore Price</w:t>
      </w:r>
      <w:r>
        <w:rPr/>
        <w:t>" has the meaning set forth in Section 7.1.3.(b).</w:t>
      </w:r>
    </w:p>
    <w:p>
      <w:pPr>
        <w:pStyle w:val="Normal"/>
        <w:ind w:start="720" w:end="0"/>
        <w:jc w:val="both"/>
        <w:rPr/>
      </w:pPr>
      <w:r>
        <w:rPr/>
      </w:r>
    </w:p>
    <w:p>
      <w:pPr>
        <w:pStyle w:val="Normal"/>
        <w:ind w:start="720" w:end="0"/>
        <w:jc w:val="both"/>
        <w:rPr/>
      </w:pPr>
      <w:r>
        <w:rPr/>
        <w:t>"</w:t>
      </w:r>
      <w:r>
        <w:rPr>
          <w:u w:val="single"/>
        </w:rPr>
        <w:t>Out of Scope Construction</w:t>
      </w:r>
      <w:r>
        <w:rPr/>
        <w:t>" has the meaning set forth in Section 3.15.</w:t>
      </w:r>
    </w:p>
    <w:p>
      <w:pPr>
        <w:pStyle w:val="Normal"/>
        <w:ind w:start="720" w:end="0"/>
        <w:jc w:val="both"/>
        <w:rPr/>
      </w:pPr>
      <w:r>
        <w:rPr/>
      </w:r>
    </w:p>
    <w:p>
      <w:pPr>
        <w:pStyle w:val="Normal"/>
        <w:ind w:start="720" w:end="0"/>
        <w:jc w:val="both"/>
        <w:rPr/>
      </w:pPr>
      <w:r>
        <w:rPr/>
        <w:t>"</w:t>
      </w:r>
      <w:r>
        <w:rPr>
          <w:u w:val="single"/>
        </w:rPr>
        <w:t>Owner</w:t>
      </w:r>
      <w:r>
        <w:rPr/>
        <w:t>" has the meaning set forth in the Preliminary Statements.</w:t>
      </w:r>
    </w:p>
    <w:p>
      <w:pPr>
        <w:pStyle w:val="Normal"/>
        <w:ind w:start="720" w:end="0"/>
        <w:jc w:val="both"/>
        <w:rPr/>
      </w:pPr>
      <w:r>
        <w:rPr/>
      </w:r>
    </w:p>
    <w:p>
      <w:pPr>
        <w:pStyle w:val="Normal"/>
        <w:ind w:start="720" w:end="0"/>
        <w:jc w:val="both"/>
        <w:rPr/>
      </w:pPr>
      <w:r>
        <w:rPr/>
        <w:t>"</w:t>
      </w:r>
      <w:r>
        <w:rPr>
          <w:u w:val="single"/>
        </w:rPr>
        <w:t>Owner Indemnitees</w:t>
      </w:r>
      <w:r>
        <w:rPr/>
        <w:t>" means Construction Agent, any Construction Agent Affiliate, Owner, Lender, and Operator, any Affiliate of Owner, Lender or Operator, and each of their respective successors, assigns, officers, directors, employees and agents.</w:t>
      </w:r>
    </w:p>
    <w:p>
      <w:pPr>
        <w:pStyle w:val="Normal"/>
        <w:ind w:start="720" w:end="0"/>
        <w:jc w:val="both"/>
        <w:rPr/>
      </w:pPr>
      <w:r>
        <w:rPr/>
      </w:r>
    </w:p>
    <w:p>
      <w:pPr>
        <w:pStyle w:val="Normal"/>
        <w:ind w:start="720" w:end="0"/>
        <w:jc w:val="both"/>
        <w:rPr/>
      </w:pPr>
      <w:r>
        <w:rPr/>
        <w:t>"</w:t>
      </w:r>
      <w:r>
        <w:rPr>
          <w:u w:val="single"/>
        </w:rPr>
        <w:t>Owner Spare Parts</w:t>
      </w:r>
      <w:r>
        <w:rPr/>
        <w:t>" has the meaning set forth in Section 3.2.2.</w:t>
      </w:r>
    </w:p>
    <w:p>
      <w:pPr>
        <w:pStyle w:val="Normal"/>
        <w:ind w:start="720" w:end="0"/>
        <w:jc w:val="both"/>
        <w:rPr/>
      </w:pPr>
      <w:r>
        <w:rPr/>
      </w:r>
    </w:p>
    <w:p>
      <w:pPr>
        <w:pStyle w:val="Normal"/>
        <w:ind w:start="720" w:end="0"/>
        <w:jc w:val="both"/>
        <w:rPr/>
      </w:pPr>
      <w:r>
        <w:rPr/>
        <w:t>"</w:t>
      </w:r>
      <w:r>
        <w:rPr>
          <w:u w:val="single"/>
        </w:rPr>
        <w:t>Owner Spare Parts List</w:t>
      </w:r>
      <w:r>
        <w:rPr/>
        <w:t>" has the meaning set forth in Section 3.2.2.</w:t>
      </w:r>
    </w:p>
    <w:p>
      <w:pPr>
        <w:pStyle w:val="Normal"/>
        <w:ind w:start="720" w:end="0"/>
        <w:jc w:val="both"/>
        <w:rPr/>
      </w:pPr>
      <w:r>
        <w:rPr/>
      </w:r>
    </w:p>
    <w:p>
      <w:pPr>
        <w:pStyle w:val="Normal"/>
        <w:ind w:start="720" w:end="0"/>
        <w:jc w:val="both"/>
        <w:rPr/>
      </w:pPr>
      <w:r>
        <w:rPr/>
        <w:t>"</w:t>
      </w:r>
      <w:r>
        <w:rPr>
          <w:u w:val="single"/>
        </w:rPr>
        <w:t>Parent Guarantee</w:t>
      </w:r>
      <w:r>
        <w:rPr/>
        <w:t>" has the meaning set forth in Section 21.3.</w:t>
      </w:r>
    </w:p>
    <w:p>
      <w:pPr>
        <w:pStyle w:val="Normal"/>
        <w:ind w:start="720" w:end="0"/>
        <w:jc w:val="both"/>
        <w:rPr/>
      </w:pPr>
      <w:r>
        <w:rPr/>
      </w:r>
    </w:p>
    <w:p>
      <w:pPr>
        <w:pStyle w:val="Normal"/>
        <w:ind w:start="720" w:end="0"/>
        <w:jc w:val="both"/>
        <w:rPr/>
      </w:pPr>
      <w:r>
        <w:rPr/>
        <w:t>"</w:t>
      </w:r>
      <w:r>
        <w:rPr>
          <w:u w:val="single"/>
        </w:rPr>
        <w:t>Party</w:t>
      </w:r>
      <w:r>
        <w:rPr/>
        <w:t>" means Construction Agent or Contractor.</w:t>
      </w:r>
    </w:p>
    <w:p>
      <w:pPr>
        <w:pStyle w:val="Normal"/>
        <w:ind w:start="720" w:end="0"/>
        <w:jc w:val="both"/>
        <w:rPr/>
      </w:pPr>
      <w:r>
        <w:rPr/>
      </w:r>
    </w:p>
    <w:p>
      <w:pPr>
        <w:pStyle w:val="Normal"/>
        <w:ind w:start="720" w:end="0"/>
        <w:jc w:val="both"/>
        <w:rPr/>
      </w:pPr>
      <w:r>
        <w:rPr/>
        <w:t>"</w:t>
      </w:r>
      <w:r>
        <w:rPr>
          <w:u w:val="single"/>
        </w:rPr>
        <w:t>Parties</w:t>
      </w:r>
      <w:r>
        <w:rPr/>
        <w:t>" means Construction Agent and Contractor.</w:t>
      </w:r>
    </w:p>
    <w:p>
      <w:pPr>
        <w:pStyle w:val="Normal"/>
        <w:ind w:start="720" w:end="0"/>
        <w:jc w:val="both"/>
        <w:rPr/>
      </w:pPr>
      <w:r>
        <w:rPr/>
      </w:r>
    </w:p>
    <w:p>
      <w:pPr>
        <w:pStyle w:val="Normal"/>
        <w:ind w:start="720" w:end="0"/>
        <w:jc w:val="both"/>
        <w:rPr/>
      </w:pPr>
      <w:r>
        <w:rPr/>
        <w:t>"</w:t>
      </w:r>
      <w:r>
        <w:rPr>
          <w:u w:val="single"/>
        </w:rPr>
        <w:t>Payment Schedule</w:t>
      </w:r>
      <w:r>
        <w:rPr/>
        <w:t xml:space="preserve">" means the milestone payment schedule as set forth in </w:t>
      </w:r>
      <w:r>
        <w:rPr>
          <w:u w:val="single"/>
        </w:rPr>
        <w:t>Exhibit "C-1"</w:t>
      </w:r>
      <w:r>
        <w:rPr/>
        <w:t>.</w:t>
      </w:r>
    </w:p>
    <w:p>
      <w:pPr>
        <w:pStyle w:val="Normal"/>
        <w:ind w:start="720" w:end="0"/>
        <w:jc w:val="both"/>
        <w:rPr/>
      </w:pPr>
      <w:r>
        <w:rPr/>
      </w:r>
    </w:p>
    <w:p>
      <w:pPr>
        <w:pStyle w:val="Normal"/>
        <w:ind w:start="720" w:end="0"/>
        <w:jc w:val="both"/>
        <w:rPr/>
      </w:pPr>
      <w:r>
        <w:rPr/>
        <w:t>"</w:t>
      </w:r>
      <w:r>
        <w:rPr>
          <w:u w:val="single"/>
        </w:rPr>
        <w:t>Performance Tests</w:t>
      </w:r>
      <w:r>
        <w:rPr/>
        <w:t xml:space="preserve">" means the performance described in </w:t>
      </w:r>
      <w:r>
        <w:rPr>
          <w:u w:val="single"/>
        </w:rPr>
        <w:t>Exhibit "E-3"</w:t>
      </w:r>
      <w:r>
        <w:rPr/>
        <w:t>.</w:t>
      </w:r>
    </w:p>
    <w:p>
      <w:pPr>
        <w:pStyle w:val="Normal"/>
        <w:ind w:start="720" w:end="0"/>
        <w:jc w:val="both"/>
        <w:rPr/>
      </w:pPr>
      <w:r>
        <w:rPr/>
      </w:r>
    </w:p>
    <w:p>
      <w:pPr>
        <w:pStyle w:val="Normal"/>
        <w:ind w:start="720" w:end="0"/>
        <w:jc w:val="both"/>
        <w:rPr/>
      </w:pPr>
      <w:r>
        <w:rPr/>
        <w:t>"</w:t>
      </w:r>
      <w:r>
        <w:rPr>
          <w:u w:val="single"/>
        </w:rPr>
        <w:t>Person</w:t>
      </w:r>
      <w:r>
        <w:rPr/>
        <w:t>" means any natural person, corporation, company, partnership (general or limited), limited liability company, business trust, or other entity or association.</w:t>
      </w:r>
    </w:p>
    <w:p>
      <w:pPr>
        <w:pStyle w:val="Normal"/>
        <w:ind w:start="720" w:end="0"/>
        <w:jc w:val="both"/>
        <w:rPr/>
      </w:pPr>
      <w:r>
        <w:rPr/>
      </w:r>
    </w:p>
    <w:p>
      <w:pPr>
        <w:pStyle w:val="Normal"/>
        <w:ind w:start="720" w:end="0"/>
        <w:jc w:val="both"/>
        <w:rPr/>
      </w:pPr>
      <w:r>
        <w:rPr/>
        <w:t>"</w:t>
      </w:r>
      <w:r>
        <w:rPr>
          <w:u w:val="single"/>
        </w:rPr>
        <w:t>Phase</w:t>
      </w:r>
      <w:r>
        <w:rPr/>
        <w:t>" means any of Phase I, Phase II, Phase III or Phase IV.</w:t>
      </w:r>
    </w:p>
    <w:p>
      <w:pPr>
        <w:pStyle w:val="Normal"/>
        <w:ind w:start="720" w:end="0"/>
        <w:jc w:val="both"/>
        <w:rPr/>
      </w:pPr>
      <w:r>
        <w:rPr/>
      </w:r>
    </w:p>
    <w:p>
      <w:pPr>
        <w:pStyle w:val="Normal"/>
        <w:ind w:start="720" w:end="0"/>
        <w:jc w:val="both"/>
        <w:rPr/>
      </w:pPr>
      <w:r>
        <w:rPr/>
        <w:t>"</w:t>
      </w:r>
      <w:r>
        <w:rPr>
          <w:u w:val="single"/>
        </w:rPr>
        <w:t>Phase I</w:t>
      </w:r>
      <w:r>
        <w:rPr/>
        <w:t xml:space="preserve">" means the first pair of GE Units scheduled to be installed and operational, together with the associated control cab and applicable balance of plant, capable of simple cycle operations on natural gas fuel, as further described in </w:t>
      </w:r>
      <w:r>
        <w:rPr>
          <w:u w:val="single"/>
        </w:rPr>
        <w:t>Exhibit "B-1"</w:t>
      </w:r>
      <w:r>
        <w:rPr/>
        <w:t>.</w:t>
      </w:r>
    </w:p>
    <w:p>
      <w:pPr>
        <w:pStyle w:val="Normal"/>
        <w:ind w:start="720" w:end="0"/>
        <w:jc w:val="both"/>
        <w:rPr/>
      </w:pPr>
      <w:r>
        <w:rPr/>
      </w:r>
    </w:p>
    <w:p>
      <w:pPr>
        <w:pStyle w:val="Normal"/>
        <w:ind w:start="720" w:end="0"/>
        <w:jc w:val="both"/>
        <w:rPr/>
      </w:pPr>
      <w:r>
        <w:rPr/>
        <w:t>"</w:t>
      </w:r>
      <w:r>
        <w:rPr>
          <w:u w:val="single"/>
        </w:rPr>
        <w:t>Phase II</w:t>
      </w:r>
      <w:r>
        <w:rPr/>
        <w:t xml:space="preserve">" means the second pair of GE Units scheduled to be installed and operational, together with the associated control cab and applicable balance of plant, capable of simple cycle operations on natural gas fuel, as further described in </w:t>
      </w:r>
      <w:r>
        <w:rPr>
          <w:u w:val="single"/>
        </w:rPr>
        <w:t>Exhibit "B-1"</w:t>
      </w:r>
      <w:r>
        <w:rPr/>
        <w:t>.</w:t>
      </w:r>
    </w:p>
    <w:p>
      <w:pPr>
        <w:pStyle w:val="Normal"/>
        <w:ind w:start="720" w:end="0"/>
        <w:jc w:val="both"/>
        <w:rPr/>
      </w:pPr>
      <w:r>
        <w:rPr/>
      </w:r>
    </w:p>
    <w:p>
      <w:pPr>
        <w:pStyle w:val="Normal"/>
        <w:ind w:start="720" w:end="0"/>
        <w:jc w:val="both"/>
        <w:rPr/>
      </w:pPr>
      <w:r>
        <w:rPr/>
        <w:t>"</w:t>
      </w:r>
      <w:r>
        <w:rPr>
          <w:u w:val="single"/>
        </w:rPr>
        <w:t>Phase III</w:t>
      </w:r>
      <w:r>
        <w:rPr/>
        <w:t xml:space="preserve">" means the third pair of GE Units scheduled to be installed and operational, together with the associated control cab and applicable balance of plant, capable of simple cycle operations on natural gas fuel, as further described in </w:t>
      </w:r>
      <w:r>
        <w:rPr>
          <w:u w:val="single"/>
        </w:rPr>
        <w:t>Exhibit "B-1"</w:t>
      </w:r>
      <w:r>
        <w:rPr/>
        <w:t>.</w:t>
      </w:r>
    </w:p>
    <w:p>
      <w:pPr>
        <w:pStyle w:val="Normal"/>
        <w:ind w:start="720" w:end="0"/>
        <w:jc w:val="both"/>
        <w:rPr/>
      </w:pPr>
      <w:r>
        <w:rPr/>
      </w:r>
    </w:p>
    <w:p>
      <w:pPr>
        <w:pStyle w:val="Normal"/>
        <w:ind w:start="720" w:end="0"/>
        <w:jc w:val="both"/>
        <w:rPr>
          <w:b/>
          <w:bCs/>
        </w:rPr>
      </w:pPr>
      <w:r>
        <w:rPr/>
        <w:t>"</w:t>
      </w:r>
      <w:r>
        <w:rPr>
          <w:u w:val="single"/>
        </w:rPr>
        <w:t>Phase IV</w:t>
      </w:r>
      <w:r>
        <w:rPr/>
        <w:t xml:space="preserve">" means the fourth pair of GE Units scheduled to be installed and operational, together with the associated control cab and applicable balance of plant, capable of simple cycle operations on natural gas fuel, as further described in </w:t>
      </w:r>
      <w:r>
        <w:rPr>
          <w:u w:val="single"/>
        </w:rPr>
        <w:t>Exhibit "B-1"</w:t>
      </w:r>
      <w:r>
        <w:rPr/>
        <w:t>.</w:t>
      </w:r>
    </w:p>
    <w:p>
      <w:pPr>
        <w:pStyle w:val="Normal"/>
        <w:ind w:start="720" w:end="0"/>
        <w:jc w:val="both"/>
        <w:rPr>
          <w:b/>
          <w:bCs/>
        </w:rPr>
      </w:pPr>
      <w:r>
        <w:rPr>
          <w:b/>
          <w:bCs/>
        </w:rPr>
      </w:r>
    </w:p>
    <w:p>
      <w:pPr>
        <w:pStyle w:val="Normal"/>
        <w:ind w:start="720" w:end="0"/>
        <w:jc w:val="both"/>
        <w:rPr/>
      </w:pPr>
      <w:r>
        <w:rPr/>
        <w:t>"</w:t>
      </w:r>
      <w:r>
        <w:rPr>
          <w:u w:val="single"/>
        </w:rPr>
        <w:t>Port of Import</w:t>
      </w:r>
      <w:r>
        <w:rPr/>
        <w:t xml:space="preserve">" means </w:t>
      </w:r>
      <w:r>
        <w:rPr>
          <w:color w:val="00FF00"/>
        </w:rPr>
        <w:t>[_________________________]</w:t>
      </w:r>
      <w:r>
        <w:rPr/>
        <w:t>.</w:t>
      </w:r>
    </w:p>
    <w:p>
      <w:pPr>
        <w:pStyle w:val="Normal"/>
        <w:ind w:start="720" w:end="0"/>
        <w:jc w:val="both"/>
        <w:rPr/>
      </w:pPr>
      <w:r>
        <w:rPr/>
      </w:r>
    </w:p>
    <w:p>
      <w:pPr>
        <w:pStyle w:val="Normal"/>
        <w:ind w:start="720" w:end="0"/>
        <w:jc w:val="both"/>
        <w:rPr/>
      </w:pPr>
      <w:r>
        <w:rPr/>
        <w:t>"</w:t>
      </w:r>
      <w:r>
        <w:rPr>
          <w:u w:val="single"/>
        </w:rPr>
        <w:t>Position</w:t>
      </w:r>
      <w:r>
        <w:rPr/>
        <w:t>" has the meaning set forth in Section 19.1(f)(i).</w:t>
      </w:r>
    </w:p>
    <w:p>
      <w:pPr>
        <w:pStyle w:val="Normal"/>
        <w:ind w:start="720" w:end="0"/>
        <w:jc w:val="both"/>
        <w:rPr/>
      </w:pPr>
      <w:r>
        <w:rPr/>
      </w:r>
    </w:p>
    <w:p>
      <w:pPr>
        <w:pStyle w:val="Normal"/>
        <w:ind w:start="720" w:end="0"/>
        <w:jc w:val="both"/>
        <w:rPr/>
      </w:pPr>
      <w:r>
        <w:rPr/>
        <w:t>"</w:t>
      </w:r>
      <w:r>
        <w:rPr>
          <w:u w:val="single"/>
        </w:rPr>
        <w:t>PPA</w:t>
      </w:r>
      <w:r>
        <w:rPr/>
        <w:t>" means the [power offtake, tolling, energy conversion or other similar agreement between Owner and ECE, dated as of _____________, _______].</w:t>
      </w:r>
    </w:p>
    <w:p>
      <w:pPr>
        <w:pStyle w:val="Normal"/>
        <w:ind w:start="720" w:end="0"/>
        <w:jc w:val="both"/>
        <w:rPr/>
      </w:pPr>
      <w:r>
        <w:rPr/>
      </w:r>
    </w:p>
    <w:p>
      <w:pPr>
        <w:pStyle w:val="Normal"/>
        <w:ind w:start="720" w:end="0"/>
        <w:jc w:val="both"/>
        <w:rPr/>
      </w:pPr>
      <w:r>
        <w:rPr/>
        <w:t>"</w:t>
      </w:r>
      <w:r>
        <w:rPr>
          <w:u w:val="single"/>
        </w:rPr>
        <w:t>Primary Warranty Period</w:t>
      </w:r>
      <w:r>
        <w:rPr/>
        <w:t>" has the meaning set forth in Section 12.2.</w:t>
      </w:r>
    </w:p>
    <w:p>
      <w:pPr>
        <w:pStyle w:val="Normal"/>
        <w:ind w:start="720" w:end="0"/>
        <w:jc w:val="both"/>
        <w:rPr/>
      </w:pPr>
      <w:r>
        <w:rPr/>
      </w:r>
    </w:p>
    <w:p>
      <w:pPr>
        <w:pStyle w:val="Normal"/>
        <w:ind w:start="720" w:end="0"/>
        <w:jc w:val="both"/>
        <w:rPr/>
      </w:pPr>
      <w:r>
        <w:rPr/>
        <w:t>"</w:t>
      </w:r>
      <w:r>
        <w:rPr>
          <w:u w:val="single"/>
        </w:rPr>
        <w:t>Prime Rate</w:t>
      </w:r>
      <w:r>
        <w:rPr/>
        <w:t xml:space="preserve">" means, at the time any determination thereof is to be made, the fluctuating rate per annum announced from time to time by [Citibank N.A., New York] and any successor thereto as its "prime rate" (or, if otherwise denominated, such bank’s reference rate for interest rate calculations on general commercial loans), which rate is not necessarily the lowest or best rate which such bank may at any time and from time to time charge any of its customers.  If such bank ceases to announce such a rate, then "Prime Rate" shall mean, at the time any determination thereof is to be made, the fluctuating per annum rate of interest then most recently reported in the </w:t>
      </w:r>
      <w:r>
        <w:rPr>
          <w:u w:val="single"/>
        </w:rPr>
        <w:t>Wall Street Journal</w:t>
      </w:r>
      <w:r>
        <w:rPr/>
        <w:t xml:space="preserve"> as the "Prime Rate" (the base rate on corporate loans at large U.S. money center commercial banks) and if reported as a range, the interest rate shall be the mid-point of the range.</w:t>
      </w:r>
    </w:p>
    <w:p>
      <w:pPr>
        <w:pStyle w:val="Normal"/>
        <w:ind w:start="720" w:end="0"/>
        <w:jc w:val="both"/>
        <w:rPr/>
      </w:pPr>
      <w:r>
        <w:rPr/>
      </w:r>
    </w:p>
    <w:p>
      <w:pPr>
        <w:pStyle w:val="Normal"/>
        <w:ind w:start="720" w:end="0"/>
        <w:jc w:val="both"/>
        <w:rPr/>
      </w:pPr>
      <w:r>
        <w:rPr/>
        <w:t>"</w:t>
      </w:r>
      <w:r>
        <w:rPr>
          <w:u w:val="single"/>
        </w:rPr>
        <w:t>Project</w:t>
      </w:r>
      <w:r>
        <w:rPr/>
        <w:t>" means the Facility to be constructed pursuant to this Contract, together with any Governmental Authorizations obtained or required therefor or relating thereto, and any other agreements, certificates, instruments, or documents relating to the financing, operation or maintenance of the Facility, acquisition of property rights in and to the Site, and fuel supply and power offtake arrangements, all as required for the development, construction and commercial operation of the Facility.</w:t>
      </w:r>
    </w:p>
    <w:p>
      <w:pPr>
        <w:pStyle w:val="Normal"/>
        <w:ind w:start="720" w:end="0"/>
        <w:jc w:val="both"/>
        <w:rPr/>
      </w:pPr>
      <w:r>
        <w:rPr/>
      </w:r>
    </w:p>
    <w:p>
      <w:pPr>
        <w:pStyle w:val="Normal"/>
        <w:ind w:start="720" w:end="0"/>
        <w:jc w:val="both"/>
        <w:rPr/>
      </w:pPr>
      <w:r>
        <w:rPr/>
        <w:t>"</w:t>
      </w:r>
      <w:r>
        <w:rPr>
          <w:u w:val="single"/>
        </w:rPr>
        <w:t>Project Execution Plan</w:t>
      </w:r>
      <w:r>
        <w:rPr/>
        <w:t>" has the meaning set forth in Section 5.2.1.</w:t>
      </w:r>
    </w:p>
    <w:p>
      <w:pPr>
        <w:pStyle w:val="Normal"/>
        <w:ind w:start="720" w:end="0"/>
        <w:jc w:val="both"/>
        <w:rPr/>
      </w:pPr>
      <w:r>
        <w:rPr/>
      </w:r>
    </w:p>
    <w:p>
      <w:pPr>
        <w:pStyle w:val="Normal"/>
        <w:ind w:start="720" w:end="0"/>
        <w:jc w:val="both"/>
        <w:rPr/>
      </w:pPr>
      <w:r>
        <w:rPr/>
        <w:t>"</w:t>
      </w:r>
      <w:r>
        <w:rPr>
          <w:u w:val="single"/>
        </w:rPr>
        <w:t>Project Schedule</w:t>
      </w:r>
      <w:r>
        <w:rPr/>
        <w:t>" has the meaning set forth in Section 5.1.5.</w:t>
      </w:r>
    </w:p>
    <w:p>
      <w:pPr>
        <w:pStyle w:val="Normal"/>
        <w:ind w:start="720" w:end="0"/>
        <w:jc w:val="both"/>
        <w:rPr/>
      </w:pPr>
      <w:r>
        <w:rPr/>
      </w:r>
    </w:p>
    <w:p>
      <w:pPr>
        <w:pStyle w:val="Normal"/>
        <w:ind w:start="720" w:end="0"/>
        <w:jc w:val="both"/>
        <w:rPr/>
      </w:pPr>
      <w:r>
        <w:rPr/>
        <w:t>"</w:t>
      </w:r>
      <w:r>
        <w:rPr>
          <w:u w:val="single"/>
        </w:rPr>
        <w:t>Project Schedule Summary</w:t>
      </w:r>
      <w:r>
        <w:rPr/>
        <w:t xml:space="preserve">" means the summary schedule set forth in </w:t>
      </w:r>
      <w:r>
        <w:rPr>
          <w:u w:val="single"/>
        </w:rPr>
        <w:t>Exhibit "A"</w:t>
      </w:r>
      <w:r>
        <w:rPr/>
        <w:t>.</w:t>
      </w:r>
    </w:p>
    <w:p>
      <w:pPr>
        <w:pStyle w:val="Normal"/>
        <w:ind w:start="720" w:end="0"/>
        <w:jc w:val="both"/>
        <w:rPr/>
      </w:pPr>
      <w:r>
        <w:rPr/>
      </w:r>
    </w:p>
    <w:p>
      <w:pPr>
        <w:pStyle w:val="Normal"/>
        <w:ind w:start="720" w:end="0"/>
        <w:jc w:val="both"/>
        <w:rPr/>
      </w:pPr>
      <w:r>
        <w:rPr/>
        <w:t>"</w:t>
      </w:r>
      <w:r>
        <w:rPr>
          <w:u w:val="single"/>
        </w:rPr>
        <w:t>Punchlist</w:t>
      </w:r>
      <w:r>
        <w:rPr/>
        <w:t>" has the meaning set forth in Section 11.5.1.</w:t>
      </w:r>
    </w:p>
    <w:p>
      <w:pPr>
        <w:pStyle w:val="Normal"/>
        <w:ind w:start="720" w:end="0"/>
        <w:jc w:val="both"/>
        <w:rPr/>
      </w:pPr>
      <w:r>
        <w:rPr/>
      </w:r>
    </w:p>
    <w:p>
      <w:pPr>
        <w:pStyle w:val="Normal"/>
        <w:ind w:start="720" w:end="0"/>
        <w:jc w:val="both"/>
        <w:rPr/>
      </w:pPr>
      <w:r>
        <w:rPr/>
        <w:t>"</w:t>
      </w:r>
      <w:r>
        <w:rPr>
          <w:u w:val="single"/>
        </w:rPr>
        <w:t>Punchlist Item</w:t>
      </w:r>
      <w:r>
        <w:rPr/>
        <w:t>" means any uncompleted part of any Phase or the Facility that (considered individually or in the aggregate of all Punchlist Items) does not and will not adversely affect the performance of the Facility or the ability of Owner to operate the Facility safely and in the ordinary course of business in accordance with GIP.</w:t>
      </w:r>
    </w:p>
    <w:p>
      <w:pPr>
        <w:pStyle w:val="Normal"/>
        <w:ind w:start="720" w:end="0"/>
        <w:jc w:val="both"/>
        <w:rPr/>
      </w:pPr>
      <w:r>
        <w:rPr/>
      </w:r>
    </w:p>
    <w:p>
      <w:pPr>
        <w:pStyle w:val="Normal"/>
        <w:ind w:start="720" w:end="0"/>
        <w:jc w:val="both"/>
        <w:rPr/>
      </w:pPr>
      <w:r>
        <w:rPr/>
        <w:t>"</w:t>
      </w:r>
      <w:r>
        <w:rPr>
          <w:u w:val="single"/>
        </w:rPr>
        <w:t>Punchlist Withholding</w:t>
      </w:r>
      <w:r>
        <w:rPr/>
        <w:t>" has the meaning set forth in Section 11.5.2.</w:t>
      </w:r>
    </w:p>
    <w:p>
      <w:pPr>
        <w:pStyle w:val="Normal"/>
        <w:ind w:start="720" w:end="0"/>
        <w:jc w:val="both"/>
        <w:rPr/>
      </w:pPr>
      <w:r>
        <w:rPr/>
      </w:r>
    </w:p>
    <w:p>
      <w:pPr>
        <w:pStyle w:val="Normal"/>
        <w:ind w:start="720" w:end="0"/>
        <w:jc w:val="both"/>
        <w:rPr/>
      </w:pPr>
      <w:r>
        <w:rPr/>
        <w:t>"</w:t>
      </w:r>
      <w:r>
        <w:rPr>
          <w:u w:val="single"/>
        </w:rPr>
        <w:t>Reimbursable Costs"</w:t>
      </w:r>
      <w:r>
        <w:rPr/>
        <w:t xml:space="preserve"> has the meaning set forth in Section 7.1.1(c).</w:t>
      </w:r>
    </w:p>
    <w:p>
      <w:pPr>
        <w:pStyle w:val="Normal"/>
        <w:ind w:start="720" w:end="0"/>
        <w:jc w:val="both"/>
        <w:rPr/>
      </w:pPr>
      <w:r>
        <w:rPr/>
      </w:r>
    </w:p>
    <w:p>
      <w:pPr>
        <w:pStyle w:val="Normal"/>
        <w:ind w:start="720" w:end="0"/>
        <w:jc w:val="both"/>
        <w:rPr/>
      </w:pPr>
      <w:r>
        <w:rPr/>
        <w:t>"</w:t>
      </w:r>
      <w:r>
        <w:rPr>
          <w:u w:val="single"/>
        </w:rPr>
        <w:t>Reimbursable Scope of Work</w:t>
      </w:r>
      <w:r>
        <w:rPr/>
        <w:t xml:space="preserve">" means all Site development and permitting, shipping, transportation and control of Equipment and Free Issue Equipment, civil works, structural steel and platforms, raw water system, cooling water systems, water treatment systems, gas fuel systems, fire fighting systems, waste water systems, compressed air systems, emissions monitoring systems, piping/heat trace/insulation, Facility control systems, buildings, lighting, grounding, lightning protection, internal distribution systems, electrical bulks, substation/HV interconnect, certain start-up, testing and commissioning and training, together with certain other activities, as set forth in Section 3.1.3 and </w:t>
      </w:r>
      <w:r>
        <w:rPr>
          <w:u w:val="single"/>
        </w:rPr>
        <w:t>Exhibit "B-2B"</w:t>
      </w:r>
      <w:r>
        <w:rPr/>
        <w:t>.</w:t>
      </w:r>
    </w:p>
    <w:p>
      <w:pPr>
        <w:pStyle w:val="Normal"/>
        <w:ind w:start="720" w:end="0"/>
        <w:jc w:val="both"/>
        <w:rPr/>
      </w:pPr>
      <w:r>
        <w:rPr/>
      </w:r>
    </w:p>
    <w:p>
      <w:pPr>
        <w:pStyle w:val="Normal"/>
        <w:ind w:start="720" w:end="0"/>
        <w:jc w:val="both"/>
        <w:rPr/>
      </w:pPr>
      <w:r>
        <w:rPr/>
        <w:t>"</w:t>
      </w:r>
      <w:r>
        <w:rPr>
          <w:u w:val="single"/>
        </w:rPr>
        <w:t>Related Persons</w:t>
      </w:r>
      <w:r>
        <w:rPr/>
        <w:t>" has the meaning set forth in Section 14.6.</w:t>
      </w:r>
    </w:p>
    <w:p>
      <w:pPr>
        <w:pStyle w:val="Normal"/>
        <w:ind w:start="720" w:end="0"/>
        <w:jc w:val="both"/>
        <w:rPr/>
      </w:pPr>
      <w:r>
        <w:rPr/>
      </w:r>
    </w:p>
    <w:p>
      <w:pPr>
        <w:pStyle w:val="Normal"/>
        <w:ind w:start="720" w:end="0"/>
        <w:jc w:val="both"/>
        <w:rPr/>
      </w:pPr>
      <w:r>
        <w:rPr/>
        <w:t>"</w:t>
      </w:r>
      <w:r>
        <w:rPr>
          <w:u w:val="single"/>
        </w:rPr>
        <w:t>Replacement Contractor</w:t>
      </w:r>
      <w:r>
        <w:rPr/>
        <w:t>" has the meaning set forth in Section 16.1.2.</w:t>
      </w:r>
    </w:p>
    <w:p>
      <w:pPr>
        <w:pStyle w:val="Normal"/>
        <w:ind w:start="720" w:end="0"/>
        <w:jc w:val="both"/>
        <w:rPr/>
      </w:pPr>
      <w:r>
        <w:rPr/>
      </w:r>
    </w:p>
    <w:p>
      <w:pPr>
        <w:pStyle w:val="Normal"/>
        <w:ind w:start="720" w:end="0"/>
        <w:jc w:val="both"/>
        <w:rPr/>
      </w:pPr>
      <w:r>
        <w:rPr/>
        <w:t>"</w:t>
      </w:r>
      <w:r>
        <w:rPr>
          <w:u w:val="single"/>
        </w:rPr>
        <w:t>Representatives</w:t>
      </w:r>
      <w:r>
        <w:rPr/>
        <w:t>" has the meaning set forth in Section 20.1.</w:t>
      </w:r>
    </w:p>
    <w:p>
      <w:pPr>
        <w:pStyle w:val="Normal"/>
        <w:ind w:start="720" w:end="0"/>
        <w:jc w:val="both"/>
        <w:rPr/>
      </w:pPr>
      <w:r>
        <w:rPr/>
      </w:r>
    </w:p>
    <w:p>
      <w:pPr>
        <w:pStyle w:val="Normal"/>
        <w:ind w:start="720" w:end="0"/>
        <w:jc w:val="both"/>
        <w:rPr/>
      </w:pPr>
      <w:r>
        <w:rPr/>
        <w:t>"</w:t>
      </w:r>
      <w:r>
        <w:rPr>
          <w:u w:val="single"/>
        </w:rPr>
        <w:t>Respondent</w:t>
      </w:r>
      <w:r>
        <w:rPr/>
        <w:t>" has the meaning set forth in Section 19.1.</w:t>
      </w:r>
    </w:p>
    <w:p>
      <w:pPr>
        <w:pStyle w:val="Normal"/>
        <w:ind w:start="720" w:end="0"/>
        <w:jc w:val="both"/>
        <w:rPr/>
      </w:pPr>
      <w:r>
        <w:rPr/>
      </w:r>
    </w:p>
    <w:p>
      <w:pPr>
        <w:pStyle w:val="Normal"/>
        <w:ind w:start="720" w:end="0"/>
        <w:jc w:val="both"/>
        <w:rPr/>
      </w:pPr>
      <w:r>
        <w:rPr/>
        <w:t>"</w:t>
      </w:r>
      <w:r>
        <w:rPr>
          <w:u w:val="single"/>
        </w:rPr>
        <w:t>Retention</w:t>
      </w:r>
      <w:r>
        <w:rPr/>
        <w:t>" has the meaning set forth in Section 7.2.4.</w:t>
      </w:r>
    </w:p>
    <w:p>
      <w:pPr>
        <w:pStyle w:val="Normal"/>
        <w:ind w:start="720" w:end="0"/>
        <w:jc w:val="both"/>
        <w:rPr/>
      </w:pPr>
      <w:r>
        <w:rPr/>
      </w:r>
    </w:p>
    <w:p>
      <w:pPr>
        <w:pStyle w:val="Normal"/>
        <w:ind w:start="720" w:end="0"/>
        <w:jc w:val="both"/>
        <w:rPr/>
      </w:pPr>
      <w:r>
        <w:rPr/>
        <w:t>"</w:t>
      </w:r>
      <w:r>
        <w:rPr>
          <w:u w:val="single"/>
        </w:rPr>
        <w:t>Retention Bond</w:t>
      </w:r>
      <w:r>
        <w:rPr/>
        <w:t>" has the meaning set forth in Section 21.1.</w:t>
      </w:r>
    </w:p>
    <w:p>
      <w:pPr>
        <w:pStyle w:val="Normal"/>
        <w:ind w:start="720" w:end="0"/>
        <w:jc w:val="both"/>
        <w:rPr/>
      </w:pPr>
      <w:r>
        <w:rPr/>
      </w:r>
    </w:p>
    <w:p>
      <w:pPr>
        <w:pStyle w:val="Normal"/>
        <w:ind w:start="720" w:end="0"/>
        <w:jc w:val="both"/>
        <w:rPr/>
      </w:pPr>
      <w:r>
        <w:rPr/>
        <w:t>"</w:t>
      </w:r>
      <w:r>
        <w:rPr>
          <w:u w:val="single"/>
        </w:rPr>
        <w:t>Scope of Work</w:t>
      </w:r>
      <w:r>
        <w:rPr/>
        <w:t>" means the Fixed Scope of Work and the Reimbursable Scope of Work.</w:t>
      </w:r>
    </w:p>
    <w:p>
      <w:pPr>
        <w:pStyle w:val="Normal"/>
        <w:ind w:start="720" w:end="0"/>
        <w:jc w:val="both"/>
        <w:rPr/>
      </w:pPr>
      <w:r>
        <w:rPr/>
      </w:r>
    </w:p>
    <w:p>
      <w:pPr>
        <w:pStyle w:val="Normal"/>
        <w:ind w:start="720" w:end="0"/>
        <w:jc w:val="both"/>
        <w:rPr/>
      </w:pPr>
      <w:r>
        <w:rPr/>
        <w:t>"</w:t>
      </w:r>
      <w:r>
        <w:rPr>
          <w:u w:val="single"/>
        </w:rPr>
        <w:t>Site</w:t>
      </w:r>
      <w:r>
        <w:rPr/>
        <w:t xml:space="preserve">" means the real property described in </w:t>
      </w:r>
      <w:r>
        <w:rPr>
          <w:u w:val="single"/>
        </w:rPr>
        <w:t>Exhibit "H"</w:t>
      </w:r>
      <w:r>
        <w:rPr/>
        <w:t>.</w:t>
      </w:r>
    </w:p>
    <w:p>
      <w:pPr>
        <w:pStyle w:val="Normal"/>
        <w:ind w:start="720" w:end="0"/>
        <w:jc w:val="both"/>
        <w:rPr/>
      </w:pPr>
      <w:r>
        <w:rPr/>
      </w:r>
    </w:p>
    <w:p>
      <w:pPr>
        <w:pStyle w:val="Normal"/>
        <w:ind w:start="720" w:end="0"/>
        <w:jc w:val="both"/>
        <w:rPr/>
      </w:pPr>
      <w:r>
        <w:rPr/>
        <w:t>"</w:t>
      </w:r>
      <w:r>
        <w:rPr>
          <w:u w:val="single"/>
        </w:rPr>
        <w:t>Site Survey</w:t>
      </w:r>
      <w:r>
        <w:rPr/>
        <w:t>" means a site survey which includes (i) a legal description of the Site (including a metes and bounds description or similar description of the Site, as is customary in Brazilian land descriptions), (ii) a survey prepared by a licensed/registered surveyor as is customary in Brazil, and (iii) a topographical map of the Site.</w:t>
      </w:r>
    </w:p>
    <w:p>
      <w:pPr>
        <w:pStyle w:val="Normal"/>
        <w:ind w:start="720" w:end="0"/>
        <w:jc w:val="both"/>
        <w:rPr/>
      </w:pPr>
      <w:r>
        <w:rPr/>
      </w:r>
    </w:p>
    <w:p>
      <w:pPr>
        <w:pStyle w:val="Normal"/>
        <w:ind w:start="720" w:end="0"/>
        <w:jc w:val="both"/>
        <w:rPr/>
      </w:pPr>
      <w:r>
        <w:rPr/>
        <w:t>"</w:t>
      </w:r>
      <w:r>
        <w:rPr>
          <w:u w:val="single"/>
        </w:rPr>
        <w:t>Specifications</w:t>
      </w:r>
      <w:r>
        <w:rPr/>
        <w:t xml:space="preserve">" means the specifications set forth in </w:t>
      </w:r>
      <w:r>
        <w:rPr>
          <w:u w:val="single"/>
        </w:rPr>
        <w:t>Exhibit "B"</w:t>
      </w:r>
      <w:r>
        <w:rPr/>
        <w:t>.</w:t>
      </w:r>
    </w:p>
    <w:p>
      <w:pPr>
        <w:pStyle w:val="Normal"/>
        <w:ind w:start="720" w:end="0"/>
        <w:jc w:val="both"/>
        <w:rPr/>
      </w:pPr>
      <w:r>
        <w:rPr/>
      </w:r>
    </w:p>
    <w:p>
      <w:pPr>
        <w:pStyle w:val="Normal"/>
        <w:ind w:start="720" w:end="0"/>
        <w:jc w:val="both"/>
        <w:rPr/>
      </w:pPr>
      <w:r>
        <w:rPr/>
        <w:t>"</w:t>
      </w:r>
      <w:r>
        <w:rPr>
          <w:u w:val="single"/>
        </w:rPr>
        <w:t>Subcontract</w:t>
      </w:r>
      <w:r>
        <w:rPr/>
        <w:t>" means any agreement or purchase order between Contractor and any Subcontractor or any Subcontractor and any other Subcontractor for the performance of any portion of the Work.</w:t>
      </w:r>
    </w:p>
    <w:p>
      <w:pPr>
        <w:pStyle w:val="Normal"/>
        <w:ind w:start="720" w:end="0"/>
        <w:jc w:val="both"/>
        <w:rPr/>
      </w:pPr>
      <w:r>
        <w:rPr/>
      </w:r>
    </w:p>
    <w:p>
      <w:pPr>
        <w:pStyle w:val="Normal"/>
        <w:ind w:start="720" w:end="0"/>
        <w:jc w:val="both"/>
        <w:rPr/>
      </w:pPr>
      <w:r>
        <w:rPr/>
        <w:t>"</w:t>
      </w:r>
      <w:r>
        <w:rPr>
          <w:u w:val="single"/>
        </w:rPr>
        <w:t>Subcontractor</w:t>
      </w:r>
      <w:r>
        <w:rPr/>
        <w:t>"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Normal"/>
        <w:ind w:start="720" w:end="0"/>
        <w:jc w:val="both"/>
        <w:rPr/>
      </w:pPr>
      <w:r>
        <w:rPr/>
      </w:r>
    </w:p>
    <w:p>
      <w:pPr>
        <w:pStyle w:val="Normal"/>
        <w:ind w:start="720" w:end="0"/>
        <w:jc w:val="both"/>
        <w:rPr/>
      </w:pPr>
      <w:r>
        <w:rPr/>
        <w:t>"</w:t>
      </w:r>
      <w:r>
        <w:rPr>
          <w:u w:val="single"/>
        </w:rPr>
        <w:t>Subcontractor Lien</w:t>
      </w:r>
      <w:r>
        <w:rPr/>
        <w:t>" has the meaning set forth in Section 3.16.1.</w:t>
      </w:r>
    </w:p>
    <w:p>
      <w:pPr>
        <w:pStyle w:val="Normal"/>
        <w:ind w:start="720" w:end="0"/>
        <w:jc w:val="both"/>
        <w:rPr/>
      </w:pPr>
      <w:r>
        <w:rPr/>
      </w:r>
    </w:p>
    <w:p>
      <w:pPr>
        <w:pStyle w:val="Normal"/>
        <w:ind w:start="720" w:end="0"/>
        <w:jc w:val="both"/>
        <w:rPr/>
      </w:pPr>
      <w:r>
        <w:rPr/>
        <w:t>"</w:t>
      </w:r>
      <w:r>
        <w:rPr>
          <w:u w:val="single"/>
        </w:rPr>
        <w:t>Substantial Completion</w:t>
      </w:r>
      <w:r>
        <w:rPr/>
        <w:t>" has the meaning set forth in Section 11.2.</w:t>
      </w:r>
    </w:p>
    <w:p>
      <w:pPr>
        <w:pStyle w:val="Normal"/>
        <w:ind w:start="720" w:end="0"/>
        <w:jc w:val="both"/>
        <w:rPr/>
      </w:pPr>
      <w:r>
        <w:rPr/>
      </w:r>
    </w:p>
    <w:p>
      <w:pPr>
        <w:pStyle w:val="Normal"/>
        <w:ind w:start="720" w:end="0"/>
        <w:jc w:val="both"/>
        <w:rPr/>
      </w:pPr>
      <w:r>
        <w:rPr/>
        <w:t>"</w:t>
      </w:r>
      <w:r>
        <w:rPr>
          <w:u w:val="single"/>
        </w:rPr>
        <w:t>Substantial Completion Certificate</w:t>
      </w:r>
      <w:r>
        <w:rPr/>
        <w:t>" has the meaning set forth in Section 11.4.</w:t>
      </w:r>
    </w:p>
    <w:p>
      <w:pPr>
        <w:pStyle w:val="Normal"/>
        <w:ind w:start="720" w:end="0"/>
        <w:jc w:val="both"/>
        <w:rPr/>
      </w:pPr>
      <w:r>
        <w:rPr/>
      </w:r>
    </w:p>
    <w:p>
      <w:pPr>
        <w:pStyle w:val="Normal"/>
        <w:ind w:start="720" w:end="0"/>
        <w:jc w:val="both"/>
        <w:rPr/>
      </w:pPr>
      <w:r>
        <w:rPr/>
        <w:t>"</w:t>
      </w:r>
      <w:r>
        <w:rPr>
          <w:u w:val="single"/>
        </w:rPr>
        <w:t>Target Completion Date"</w:t>
      </w:r>
      <w:r>
        <w:rPr/>
        <w:t xml:space="preserve"> has the meaning set forth in Section 13.1.</w:t>
      </w:r>
    </w:p>
    <w:p>
      <w:pPr>
        <w:pStyle w:val="Normal"/>
        <w:ind w:start="720" w:end="0"/>
        <w:jc w:val="both"/>
        <w:rPr/>
      </w:pPr>
      <w:r>
        <w:rPr/>
      </w:r>
    </w:p>
    <w:p>
      <w:pPr>
        <w:pStyle w:val="Normal"/>
        <w:ind w:start="720" w:end="0"/>
        <w:jc w:val="both"/>
        <w:rPr/>
      </w:pPr>
      <w:r>
        <w:rPr/>
        <w:t>"</w:t>
      </w:r>
      <w:r>
        <w:rPr>
          <w:u w:val="single"/>
        </w:rPr>
        <w:t>Target Project Price</w:t>
      </w:r>
      <w:r>
        <w:rPr/>
        <w:t>" has the meaning set forth in Section 7.1.2.</w:t>
      </w:r>
    </w:p>
    <w:p>
      <w:pPr>
        <w:pStyle w:val="Normal"/>
        <w:ind w:start="720" w:end="0"/>
        <w:jc w:val="both"/>
        <w:rPr/>
      </w:pPr>
      <w:r>
        <w:rPr/>
      </w:r>
    </w:p>
    <w:p>
      <w:pPr>
        <w:pStyle w:val="Normal"/>
        <w:ind w:start="720" w:end="0"/>
        <w:jc w:val="both"/>
        <w:rPr/>
      </w:pPr>
      <w:r>
        <w:rPr/>
        <w:t>"</w:t>
      </w:r>
      <w:r>
        <w:rPr>
          <w:u w:val="single"/>
        </w:rPr>
        <w:t>Taxes</w:t>
      </w:r>
      <w:r>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 capital taxes, taxes resulting from inflation accounting, profession taxes, works contract taxes and ad valorem taxes.</w:t>
      </w:r>
    </w:p>
    <w:p>
      <w:pPr>
        <w:pStyle w:val="Normal"/>
        <w:ind w:start="720" w:end="0"/>
        <w:jc w:val="both"/>
        <w:rPr/>
      </w:pPr>
      <w:r>
        <w:rPr/>
      </w:r>
    </w:p>
    <w:p>
      <w:pPr>
        <w:pStyle w:val="Normal"/>
        <w:ind w:start="720" w:end="0"/>
        <w:jc w:val="both"/>
        <w:rPr/>
      </w:pPr>
      <w:r>
        <w:rPr/>
        <w:t>"</w:t>
      </w:r>
      <w:r>
        <w:rPr>
          <w:u w:val="single"/>
        </w:rPr>
        <w:t>Technical Limits</w:t>
      </w:r>
      <w:r>
        <w:rPr/>
        <w:t>" means the limits and restrictions applicable to the operation and maintenance of the Equipment and the Facility, as set forth in the Specifications and the Job Books.</w:t>
      </w:r>
    </w:p>
    <w:p>
      <w:pPr>
        <w:pStyle w:val="Normal"/>
        <w:ind w:start="720" w:end="0"/>
        <w:jc w:val="both"/>
        <w:rPr/>
      </w:pPr>
      <w:r>
        <w:rPr/>
      </w:r>
    </w:p>
    <w:p>
      <w:pPr>
        <w:pStyle w:val="Normal"/>
        <w:ind w:start="720" w:end="0"/>
        <w:jc w:val="both"/>
        <w:rPr/>
      </w:pPr>
      <w:r>
        <w:rPr/>
        <w:t>"</w:t>
      </w:r>
      <w:r>
        <w:rPr>
          <w:u w:val="single"/>
        </w:rPr>
        <w:t>Technology Failure</w:t>
      </w:r>
      <w:r>
        <w:rPr/>
        <w:t xml:space="preserve">" shall mean a failure of any Unit directly resulting from the air compressor or materials not proven in use in similar longitudinal applications in any MHI 501F or 701F combustion gas turbine, other than a failure which results from (i) Contractor's failure to properly install, commission, test or operate the Facility or any part thereof or (ii) any failure of any auxiliary equipment in the Facility.  For purposes of the preceding sentence, "proven" shall mean satisfactory performance for 8000 hours of use in commercial operations; </w:t>
      </w:r>
      <w:r>
        <w:rPr>
          <w:u w:val="single"/>
        </w:rPr>
        <w:t>provided</w:t>
      </w:r>
      <w:r>
        <w:rPr/>
        <w:t xml:space="preserve">, </w:t>
      </w:r>
      <w:r>
        <w:rPr>
          <w:u w:val="single"/>
        </w:rPr>
        <w:t>however</w:t>
      </w:r>
      <w:r>
        <w:rPr/>
        <w:t>, that notwithstanding that the compressor has achieved proven technology status, in the event that both Units have a common compressor failure, such common failure shall be deemed to be a Technology Failure.</w:t>
      </w:r>
    </w:p>
    <w:p>
      <w:pPr>
        <w:pStyle w:val="Normal"/>
        <w:ind w:start="720" w:end="0"/>
        <w:jc w:val="both"/>
        <w:rPr/>
      </w:pPr>
      <w:r>
        <w:rPr/>
      </w:r>
    </w:p>
    <w:p>
      <w:pPr>
        <w:pStyle w:val="Normal"/>
        <w:ind w:start="720" w:end="0"/>
        <w:jc w:val="both"/>
        <w:rPr/>
      </w:pPr>
      <w:r>
        <w:rPr/>
        <w:t>"</w:t>
      </w:r>
      <w:r>
        <w:rPr>
          <w:u w:val="single"/>
        </w:rPr>
        <w:t>Turnover</w:t>
      </w:r>
      <w:r>
        <w:rPr/>
        <w:t>" has the meaning set forth in Section 8.2.2.</w:t>
      </w:r>
    </w:p>
    <w:p>
      <w:pPr>
        <w:pStyle w:val="Normal"/>
        <w:ind w:start="720" w:end="0"/>
        <w:jc w:val="both"/>
        <w:rPr/>
      </w:pPr>
      <w:r>
        <w:rPr/>
      </w:r>
    </w:p>
    <w:p>
      <w:pPr>
        <w:pStyle w:val="Normal"/>
        <w:ind w:start="720" w:end="0"/>
        <w:jc w:val="both"/>
        <w:rPr/>
      </w:pPr>
      <w:r>
        <w:rPr/>
        <w:t>"</w:t>
      </w:r>
      <w:r>
        <w:rPr>
          <w:u w:val="single"/>
        </w:rPr>
        <w:t>USD, U.S. Dollars or $</w:t>
      </w:r>
      <w:r>
        <w:rPr/>
        <w:t>" means lawful currency of the United States of America.</w:t>
      </w:r>
    </w:p>
    <w:p>
      <w:pPr>
        <w:pStyle w:val="Normal"/>
        <w:ind w:start="720" w:end="0"/>
        <w:jc w:val="both"/>
        <w:rPr/>
      </w:pPr>
      <w:r>
        <w:rPr/>
      </w:r>
    </w:p>
    <w:p>
      <w:pPr>
        <w:pStyle w:val="Normal"/>
        <w:ind w:start="720" w:end="0"/>
        <w:jc w:val="both"/>
        <w:rPr/>
      </w:pPr>
      <w:r>
        <w:rPr/>
        <w:t>"</w:t>
      </w:r>
      <w:r>
        <w:rPr>
          <w:u w:val="single"/>
        </w:rPr>
        <w:t>Value</w:t>
      </w:r>
      <w:r>
        <w:rPr/>
        <w:t>" has the meaning set forth in Section 19.1(i).</w:t>
      </w:r>
    </w:p>
    <w:p>
      <w:pPr>
        <w:pStyle w:val="Normal"/>
        <w:ind w:start="720" w:end="0"/>
        <w:jc w:val="both"/>
        <w:rPr/>
      </w:pPr>
      <w:r>
        <w:rPr/>
      </w:r>
    </w:p>
    <w:p>
      <w:pPr>
        <w:pStyle w:val="Normal"/>
        <w:ind w:start="720" w:end="0"/>
        <w:jc w:val="both"/>
        <w:rPr/>
      </w:pPr>
      <w:r>
        <w:rPr/>
        <w:t>"</w:t>
      </w:r>
      <w:r>
        <w:rPr>
          <w:u w:val="single"/>
        </w:rPr>
        <w:t>Vender O&amp;M Manuals</w:t>
      </w:r>
      <w:r>
        <w:rPr/>
        <w:t>" has the meaning set forth in Section 10.5.</w:t>
      </w:r>
    </w:p>
    <w:p>
      <w:pPr>
        <w:pStyle w:val="Normal"/>
        <w:ind w:start="720" w:end="0"/>
        <w:jc w:val="both"/>
        <w:rPr/>
      </w:pPr>
      <w:r>
        <w:rPr/>
      </w:r>
    </w:p>
    <w:p>
      <w:pPr>
        <w:pStyle w:val="Normal"/>
        <w:ind w:start="720" w:end="0"/>
        <w:jc w:val="both"/>
        <w:rPr/>
      </w:pPr>
      <w:r>
        <w:rPr/>
        <w:t>"</w:t>
      </w:r>
      <w:r>
        <w:rPr>
          <w:u w:val="single"/>
        </w:rPr>
        <w:t>Warranties</w:t>
      </w:r>
      <w:r>
        <w:rPr/>
        <w:t>" means the express warranties provided by Contractor in Article 12.</w:t>
      </w:r>
    </w:p>
    <w:p>
      <w:pPr>
        <w:pStyle w:val="Normal"/>
        <w:ind w:start="720" w:end="0"/>
        <w:jc w:val="both"/>
        <w:rPr/>
      </w:pPr>
      <w:r>
        <w:rPr/>
      </w:r>
    </w:p>
    <w:p>
      <w:pPr>
        <w:pStyle w:val="Normal"/>
        <w:ind w:start="720" w:end="0"/>
        <w:jc w:val="both"/>
        <w:rPr/>
      </w:pPr>
      <w:r>
        <w:rPr/>
        <w:t>"</w:t>
      </w:r>
      <w:r>
        <w:rPr>
          <w:u w:val="single"/>
        </w:rPr>
        <w:t>Warranty Bond</w:t>
      </w:r>
      <w:r>
        <w:rPr/>
        <w:t>" has the meaning set forth in Section 21.2.</w:t>
      </w:r>
    </w:p>
    <w:p>
      <w:pPr>
        <w:pStyle w:val="Normal"/>
        <w:ind w:start="720" w:end="0"/>
        <w:jc w:val="both"/>
        <w:rPr/>
      </w:pPr>
      <w:r>
        <w:rPr/>
      </w:r>
    </w:p>
    <w:p>
      <w:pPr>
        <w:pStyle w:val="Normal"/>
        <w:ind w:start="720" w:end="0"/>
        <w:jc w:val="both"/>
        <w:rPr/>
      </w:pPr>
      <w:r>
        <w:rPr/>
        <w:t>"</w:t>
      </w:r>
      <w:r>
        <w:rPr>
          <w:u w:val="single"/>
        </w:rPr>
        <w:t>Warranty Period</w:t>
      </w:r>
      <w:r>
        <w:rPr/>
        <w:t>" has the meaning set forth in Section 12.2.</w:t>
      </w:r>
    </w:p>
    <w:p>
      <w:pPr>
        <w:pStyle w:val="Normal"/>
        <w:ind w:start="720" w:end="0"/>
        <w:jc w:val="both"/>
        <w:rPr/>
      </w:pPr>
      <w:r>
        <w:rPr/>
      </w:r>
    </w:p>
    <w:p>
      <w:pPr>
        <w:pStyle w:val="Normal"/>
        <w:ind w:start="720" w:end="0"/>
        <w:jc w:val="both"/>
        <w:rPr/>
      </w:pPr>
      <w:r>
        <w:rPr/>
        <w:t>"</w:t>
      </w:r>
      <w:r>
        <w:rPr>
          <w:u w:val="single"/>
        </w:rPr>
        <w:t>Work</w:t>
      </w:r>
      <w:r>
        <w:rPr/>
        <w:t>" means all Equipment and Free Issue Equipment, and other structures, instruments, facilities and materials included or to be included in the Facility or delivered or to be delivered to Construction Agent or Owner by Contractor pursuant to this Contract and all obligations, duties and responsibilities assigned to or undertaken by Contractor with respect thereto pursuant to this Contract, and includes the Fixed Scope of Work and the Reimbursable Scope of Work.</w:t>
      </w:r>
    </w:p>
    <w:p>
      <w:pPr>
        <w:pStyle w:val="Normal"/>
        <w:ind w:start="720" w:end="0"/>
        <w:jc w:val="both"/>
        <w:rPr/>
      </w:pPr>
      <w:r>
        <w:rPr/>
      </w:r>
    </w:p>
    <w:p>
      <w:pPr>
        <w:pStyle w:val="Normal"/>
        <w:ind w:start="720" w:end="0"/>
        <w:jc w:val="both"/>
        <w:rPr/>
      </w:pPr>
      <w:r>
        <w:rPr/>
        <w:t>"</w:t>
      </w:r>
      <w:r>
        <w:rPr>
          <w:u w:val="single"/>
        </w:rPr>
        <w:t>World Bank Standards</w:t>
      </w:r>
      <w:r>
        <w:rPr/>
        <w:t>" means the environmental guidelines and occupational health and safety standards set forth in the World Bank Group "Pollution Prevention and Abatement Handbook, 1998;  Toward Cleaner Production; Thermal Power-Guidelines for New Plants"</w:t>
      </w:r>
      <w:r>
        <w:rPr>
          <w:color w:val="000000"/>
        </w:rPr>
        <w:t xml:space="preserve"> and the World Bank Group "Health and Safety Guidelines-General" [dated September 1988 and draft dated September 1995], each with the exceptions noted in </w:t>
      </w:r>
      <w:r>
        <w:rPr>
          <w:color w:val="000000"/>
          <w:u w:val="single"/>
        </w:rPr>
        <w:t>Exhibit "B-2"</w:t>
      </w:r>
      <w:r>
        <w:rPr/>
        <w:t>.</w:t>
      </w:r>
    </w:p>
    <w:p>
      <w:pPr>
        <w:pStyle w:val="Heading2"/>
        <w:ind w:hanging="0" w:start="0"/>
        <w:rPr/>
      </w:pPr>
      <w:bookmarkStart w:id="3" w:name="__RefHeading___Toc496435105"/>
      <w:bookmarkEnd w:id="3"/>
      <w:r>
        <w:rPr/>
        <w:t>Section 1.2</w:t>
        <w:tab/>
        <w:t>Rules of Construction.</w:t>
      </w:r>
    </w:p>
    <w:p>
      <w:pPr>
        <w:pStyle w:val="Normal"/>
        <w:keepNext w:val="true"/>
        <w:tabs>
          <w:tab w:val="left" w:pos="720" w:leader="none"/>
        </w:tabs>
        <w:rPr/>
      </w:pPr>
      <w:r>
        <w:rPr/>
        <w:t>In this Contract:</w:t>
      </w:r>
    </w:p>
    <w:p>
      <w:pPr>
        <w:pStyle w:val="Normal"/>
        <w:keepNext w:val="true"/>
        <w:rPr/>
      </w:pPr>
      <w:r>
        <w:rPr/>
      </w:r>
    </w:p>
    <w:p>
      <w:pPr>
        <w:pStyle w:val="Normal"/>
        <w:ind w:hanging="720" w:start="2160" w:end="0"/>
        <w:rPr/>
      </w:pPr>
      <w:r>
        <w:rPr/>
        <w:t>(a)</w:t>
        <w:tab/>
        <w:t>the singular includes the plural and vice versa;</w:t>
      </w:r>
    </w:p>
    <w:p>
      <w:pPr>
        <w:pStyle w:val="Normal"/>
        <w:ind w:hanging="720" w:start="2160" w:end="0"/>
        <w:rPr/>
      </w:pPr>
      <w:r>
        <w:rPr/>
      </w:r>
    </w:p>
    <w:p>
      <w:pPr>
        <w:pStyle w:val="Normal"/>
        <w:ind w:hanging="720" w:start="2160" w:end="0"/>
        <w:rPr/>
      </w:pPr>
      <w:r>
        <w:rPr/>
        <w:t>(b)</w:t>
        <w:tab/>
        <w:t>the masculine gender includes the female gender and vice versa;</w:t>
      </w:r>
    </w:p>
    <w:p>
      <w:pPr>
        <w:pStyle w:val="Normal"/>
        <w:ind w:hanging="720" w:start="2160" w:end="0"/>
        <w:rPr/>
      </w:pPr>
      <w:r>
        <w:rPr/>
      </w:r>
    </w:p>
    <w:p>
      <w:pPr>
        <w:pStyle w:val="Normal"/>
        <w:ind w:hanging="720" w:start="2160" w:end="0"/>
        <w:rPr/>
      </w:pPr>
      <w:r>
        <w:rPr/>
        <w:t>(c)</w:t>
        <w:tab/>
        <w:t>the word "including" means including without limitation;</w:t>
      </w:r>
    </w:p>
    <w:p>
      <w:pPr>
        <w:pStyle w:val="Normal"/>
        <w:ind w:hanging="720" w:start="2160" w:end="0"/>
        <w:rPr/>
      </w:pPr>
      <w:r>
        <w:rPr/>
      </w:r>
    </w:p>
    <w:p>
      <w:pPr>
        <w:pStyle w:val="Normal"/>
        <w:ind w:hanging="720" w:start="2160" w:end="0"/>
        <w:rPr/>
      </w:pPr>
      <w:r>
        <w:rPr/>
        <w:t>(d)</w:t>
        <w:tab/>
        <w:t>references to Articles, Sections and Exhibits are, unless the context otherwise requires, references to Articles and, Sections of and Exhibits to this Contract;</w:t>
      </w:r>
    </w:p>
    <w:p>
      <w:pPr>
        <w:pStyle w:val="Normal"/>
        <w:ind w:hanging="720" w:start="2160" w:end="0"/>
        <w:rPr/>
      </w:pPr>
      <w:r>
        <w:rPr/>
      </w:r>
    </w:p>
    <w:p>
      <w:pPr>
        <w:pStyle w:val="Normal"/>
        <w:ind w:hanging="720" w:start="2160" w:end="0"/>
        <w:rPr/>
      </w:pPr>
      <w:r>
        <w:rPr/>
        <w:t>(e)</w:t>
        <w:tab/>
        <w:t>Article, Section and Exhibit headings are for ease of reference only;</w:t>
      </w:r>
    </w:p>
    <w:p>
      <w:pPr>
        <w:pStyle w:val="Normal"/>
        <w:ind w:hanging="720" w:start="2160" w:end="0"/>
        <w:rPr/>
      </w:pPr>
      <w:r>
        <w:rPr/>
      </w:r>
    </w:p>
    <w:p>
      <w:pPr>
        <w:pStyle w:val="Normal"/>
        <w:ind w:hanging="720" w:start="2160" w:end="0"/>
        <w:rPr/>
      </w:pPr>
      <w:r>
        <w:rPr/>
        <w:t>(f)</w:t>
        <w:tab/>
        <w:t>any reference to a statute shall be construed to refer to such statute as the same may have (been, or may from time to time be, amended or re-enacted; and</w:t>
      </w:r>
    </w:p>
    <w:p>
      <w:pPr>
        <w:pStyle w:val="Normal"/>
        <w:ind w:hanging="720" w:start="2160" w:end="0"/>
        <w:rPr/>
      </w:pPr>
      <w:r>
        <w:rPr/>
      </w:r>
    </w:p>
    <w:p>
      <w:pPr>
        <w:pStyle w:val="Normal"/>
        <w:ind w:hanging="720" w:start="2160" w:end="0"/>
        <w:rPr/>
      </w:pPr>
      <w:r>
        <w:rPr/>
        <w:t>(g)</w:t>
        <w:tab/>
        <w:t>unless otherwise provided herein, whenever a consent or approval is required by one Party from the other Party, such consent or approval shall not be unreasonably withheld or delayed.</w:t>
      </w:r>
    </w:p>
    <w:p>
      <w:pPr>
        <w:pStyle w:val="Heading2"/>
        <w:ind w:hanging="0" w:start="0"/>
        <w:rPr/>
      </w:pPr>
      <w:bookmarkStart w:id="4" w:name="__RefHeading___Toc496435106"/>
      <w:bookmarkEnd w:id="4"/>
      <w:r>
        <w:rPr/>
        <w:t>Section 1.3</w:t>
        <w:tab/>
        <w:t>Precedence of Documents; Conflicting Provisions.</w:t>
      </w:r>
    </w:p>
    <w:p>
      <w:pPr>
        <w:pStyle w:val="Normal"/>
        <w:jc w:val="both"/>
        <w:rPr/>
      </w:pPr>
      <w:r>
        <w:rPr>
          <w:b/>
          <w:bCs/>
          <w:szCs w:val="24"/>
          <w:lang w:val="en-CA"/>
        </w:rPr>
        <w:tab/>
      </w:r>
      <w:r>
        <w:rPr>
          <w:szCs w:val="24"/>
          <w:lang w:val="en-CA"/>
        </w:rPr>
        <w:t xml:space="preserve">1.3.1  </w:t>
      </w:r>
      <w:r>
        <w:rPr>
          <w:szCs w:val="24"/>
          <w:lang w:val="en-CA"/>
        </w:rPr>
      </w:r>
      <w:r>
        <w:rPr>
          <w:color w:val="000000"/>
          <w:szCs w:val="24"/>
        </w:rPr>
        <w:t xml:space="preserve">Unless otherwise provided in this Contract, the Exhibits to this Contract form part of this Contract and shall have full force and effect as though they were expressly set forth in the body of this Contract, and this Contract and the Exhibits hereto are to be taken as mutually explanatory of one another; </w:t>
      </w:r>
      <w:r>
        <w:rPr>
          <w:color w:val="000000"/>
          <w:szCs w:val="24"/>
          <w:u w:val="single"/>
        </w:rPr>
        <w:t>provided</w:t>
      </w:r>
      <w:r>
        <w:rPr>
          <w:color w:val="000000"/>
          <w:szCs w:val="24"/>
        </w:rPr>
        <w:t xml:space="preserve">, </w:t>
      </w:r>
      <w:r>
        <w:rPr>
          <w:color w:val="000000"/>
          <w:szCs w:val="24"/>
          <w:u w:val="single"/>
        </w:rPr>
        <w:t>however</w:t>
      </w:r>
      <w:r>
        <w:rPr>
          <w:color w:val="000000"/>
          <w:szCs w:val="24"/>
        </w:rPr>
        <w:t>, that in the case of ambiguities or discrepancies within or between such documents this Contract shall have precedence over the Exhibits, and this Contract and the Exhibits together shall have precedence over any other documents which may form a part of this Contract.  In the event of any conflict or discrepancy between the provisions of this Contract or the Exhibits hereto, or any of them, and GIP, this Contract and the Exhibits shall have precedence over GIP.</w:t>
      </w:r>
    </w:p>
    <w:p>
      <w:pPr>
        <w:pStyle w:val="Normal"/>
        <w:jc w:val="both"/>
        <w:rPr>
          <w:color w:val="000000"/>
          <w:szCs w:val="24"/>
        </w:rPr>
      </w:pPr>
      <w:r>
        <w:rPr>
          <w:color w:val="000000"/>
          <w:szCs w:val="24"/>
        </w:rPr>
      </w:r>
    </w:p>
    <w:p>
      <w:pPr>
        <w:pStyle w:val="Normal"/>
        <w:jc w:val="both"/>
        <w:rPr/>
      </w:pPr>
      <w:r>
        <w:rPr/>
        <w:tab/>
        <w:t>1.3.2  In the event of any conflict among the Exhibits, the Exhibit of the latest date mutually agreed upon by the parties shall control.  Subject to the foregoing, the several instruments forming part of this Contract are to be taken as mutually explanatory of one another and in the case of ambiguities or discrepancies within or between such parts the same shall be explained and adjusted by the issue of a written instruction by Owner.</w:t>
      </w:r>
    </w:p>
    <w:p>
      <w:pPr>
        <w:pStyle w:val="Normal"/>
        <w:rPr/>
      </w:pPr>
      <w:r>
        <w:rPr/>
      </w:r>
    </w:p>
    <w:p>
      <w:pPr>
        <w:pStyle w:val="Heading1"/>
        <w:ind w:hanging="0" w:start="0"/>
        <w:rPr>
          <w:rStyle w:val="Hidden"/>
        </w:rPr>
      </w:pPr>
      <w:bookmarkStart w:id="5" w:name="__RefHeading___Toc496435107"/>
      <w:bookmarkEnd w:id="5"/>
      <w:r>
        <w:rPr/>
        <w:t>ARTICLE II</w:t>
      </w:r>
    </w:p>
    <w:p>
      <w:pPr>
        <w:pStyle w:val="Heading1"/>
        <w:ind w:hanging="0" w:start="0"/>
        <w:rPr/>
      </w:pPr>
      <w:bookmarkStart w:id="6" w:name="__RefHeading___Toc496435108"/>
      <w:bookmarkEnd w:id="6"/>
      <w:r>
        <w:rPr/>
        <w:t>RELATIONSHIP OF CONSTRUCTION AGENT, OWNER, CONTRACTOR AND SUBCONTRACTORS</w:t>
      </w:r>
    </w:p>
    <w:p>
      <w:pPr>
        <w:pStyle w:val="Heading2"/>
        <w:ind w:hanging="0" w:start="0"/>
        <w:rPr/>
      </w:pPr>
      <w:bookmarkStart w:id="7" w:name="__RefHeading___Toc496435109"/>
      <w:bookmarkEnd w:id="7"/>
      <w:r>
        <w:rPr/>
        <w:t>Section 2.1</w:t>
        <w:tab/>
        <w:t>Status of Contractor.</w:t>
      </w:r>
    </w:p>
    <w:p>
      <w:pPr>
        <w:pStyle w:val="Normal"/>
        <w:jc w:val="both"/>
        <w:rPr/>
      </w:pPr>
      <w:r>
        <w:rPr/>
        <w:t>In performing the Work hereunder, Contractor shall at all times be an independent contractor and shall have sole responsibility for and control over the details and means and methods of performing the Work, subject to the other provisions of this Contract.  With respect to the Scope of Work under this Contract, Construction Agent</w:t>
      </w:r>
      <w:r>
        <w:rPr>
          <w:color w:val="000000"/>
          <w:szCs w:val="24"/>
        </w:rPr>
        <w:t xml:space="preserve"> shall not direct or manage the Subcontractors or communicate with Subcontractors except through Contractor.</w:t>
      </w:r>
    </w:p>
    <w:p>
      <w:pPr>
        <w:pStyle w:val="Heading2"/>
        <w:ind w:hanging="0" w:start="0"/>
        <w:rPr/>
      </w:pPr>
      <w:bookmarkStart w:id="8" w:name="__RefHeading___Toc496435110"/>
      <w:bookmarkEnd w:id="8"/>
      <w:r>
        <w:rPr/>
        <w:t>Section 2.2</w:t>
        <w:tab/>
        <w:t>Subcontractors.</w:t>
      </w:r>
    </w:p>
    <w:p>
      <w:pPr>
        <w:pStyle w:val="Normal"/>
        <w:jc w:val="both"/>
        <w:rPr/>
      </w:pPr>
      <w:r>
        <w:rPr/>
        <w:t xml:space="preserve">Construction Agent acknowledges that Contractor may have portions of the Work accomplished by Subcontractors.  Contractor shall cause all Subcontractors to perform their work in conformity with all relevant provisions of this Contract.  No contractual relationship shall exist between Construction Agent or Owner and any Subcontractor with respect to the Work to be performed pursuant to this Contract, and no Subcontractor is intended to be or shall be deemed a third-party beneficiary of this Contract.  No Subcontractor, agent, or employee of Contractor shall be deemed to be the agent, subcontractor, representative or employee of Construction Agent or Owner.  Contractor agrees that it shall be as fully responsible to Construction Agent for the acts and omissions of Subcontractors and of parties directly or indirectly employed by them, with respect to the Work, as Contractor is for its own and its employees' acts or omissions under this Contract.  Unless </w:t>
      </w:r>
      <w:r>
        <w:rPr>
          <w:color w:val="000000"/>
          <w:szCs w:val="24"/>
        </w:rPr>
        <w:t>Construction Agent</w:t>
      </w:r>
      <w:r>
        <w:rPr/>
        <w:t xml:space="preserve"> or Owner expressly agrees in writing, </w:t>
      </w:r>
      <w:r>
        <w:rPr>
          <w:color w:val="000000"/>
          <w:szCs w:val="24"/>
        </w:rPr>
        <w:t>Construction Agent</w:t>
      </w:r>
      <w:r>
        <w:rPr/>
        <w:t xml:space="preserve"> or Owner shall not be obligated to pay or see to the payment of any Subcontractor.  Entry into any Subcontract shall not relieve Contractor of any of its obligations to perform the Work in accordance with this Contract.  Contractor shall ensure that </w:t>
      </w:r>
      <w:r>
        <w:rPr>
          <w:color w:val="000000"/>
          <w:szCs w:val="24"/>
        </w:rPr>
        <w:t>Construction Agent or Owner is provide reasonable access to the offices, shops and any onsite work areas of any Subcontractor for quality assurance inspections.</w:t>
      </w:r>
    </w:p>
    <w:p>
      <w:pPr>
        <w:pStyle w:val="Heading2"/>
        <w:ind w:hanging="0" w:start="0"/>
        <w:rPr/>
      </w:pPr>
      <w:bookmarkStart w:id="9" w:name="__RefHeading___Toc496435111"/>
      <w:bookmarkEnd w:id="9"/>
      <w:r>
        <w:rPr/>
        <w:t>Section 2.3</w:t>
        <w:tab/>
        <w:t>Subcontract Provisions.</w:t>
      </w:r>
    </w:p>
    <w:p>
      <w:pPr>
        <w:pStyle w:val="Normal"/>
        <w:jc w:val="both"/>
        <w:rPr/>
      </w:pPr>
      <w:r>
        <w:rPr/>
        <w:t xml:space="preserve">Contractor shall ensure that all Subcontracts between Contractor and any Subcontractor are in writing.  Each Major Subcontract shall provide that all Contractor’s rights, including all warranties, and obligations of Subcontractor under such Subcontract, are assignable to </w:t>
      </w:r>
      <w:r>
        <w:rPr>
          <w:color w:val="000000"/>
          <w:szCs w:val="24"/>
        </w:rPr>
        <w:t>Construction Agent</w:t>
      </w:r>
      <w:r>
        <w:rPr/>
        <w:t xml:space="preserve">, Owner or Lender, or their respective successors and assigns, upon the written request of </w:t>
      </w:r>
      <w:r>
        <w:rPr>
          <w:color w:val="000000"/>
          <w:szCs w:val="24"/>
        </w:rPr>
        <w:t>Construction Agent</w:t>
      </w:r>
      <w:r>
        <w:rPr/>
        <w:t xml:space="preserve">, without further consent of such Subcontractor (other than the assignee reasonably demonstrating its financial capability), upon any termination of this Contract, </w:t>
      </w:r>
      <w:r>
        <w:rPr>
          <w:u w:val="single"/>
        </w:rPr>
        <w:t>provided</w:t>
      </w:r>
      <w:r>
        <w:rPr/>
        <w:t xml:space="preserve">, </w:t>
      </w:r>
      <w:r>
        <w:rPr>
          <w:u w:val="single"/>
        </w:rPr>
        <w:t>however</w:t>
      </w:r>
      <w:r>
        <w:rPr/>
        <w:t xml:space="preserve"> that the assignee assumes all of Contractor’s obligations under such Major Subcontract.</w:t>
      </w:r>
    </w:p>
    <w:p>
      <w:pPr>
        <w:pStyle w:val="Heading2"/>
        <w:ind w:hanging="0" w:start="0"/>
        <w:rPr/>
      </w:pPr>
      <w:bookmarkStart w:id="10" w:name="__RefHeading___Toc496435112"/>
      <w:bookmarkEnd w:id="10"/>
      <w:r>
        <w:rPr/>
        <w:t>Section 2.4</w:t>
        <w:tab/>
        <w:t>Subcontracts and Major Subcontractors.</w:t>
      </w:r>
    </w:p>
    <w:p>
      <w:pPr>
        <w:pStyle w:val="Normal"/>
        <w:ind w:firstLine="720" w:end="0"/>
        <w:jc w:val="both"/>
        <w:rPr/>
      </w:pPr>
      <w:r>
        <w:rPr/>
        <w:t>2.4.1</w:t>
        <w:tab/>
      </w:r>
      <w:r>
        <w:rPr>
          <w:u w:val="single"/>
        </w:rPr>
        <w:t>Subcontracts</w:t>
      </w:r>
      <w:r>
        <w:rPr/>
        <w:t xml:space="preserve">.  Contractor shall, upon Construction Agent's request, provide Construction Agent with a copy of any Subcontract, including any schedules or scope of work relating thereto; </w:t>
      </w:r>
      <w:r>
        <w:rPr>
          <w:u w:val="single"/>
        </w:rPr>
        <w:t>provided,</w:t>
      </w:r>
      <w:r>
        <w:rPr/>
        <w:t xml:space="preserve"> </w:t>
      </w:r>
      <w:r>
        <w:rPr>
          <w:u w:val="single"/>
        </w:rPr>
        <w:t>however</w:t>
      </w:r>
      <w:r>
        <w:rPr/>
        <w:t xml:space="preserve"> that Contractor may redact pricing terms (but not technical or job-related terms) from any such Subcontract prior to providing same to Construction Agent.</w:t>
      </w:r>
    </w:p>
    <w:p>
      <w:pPr>
        <w:pStyle w:val="Normal"/>
        <w:ind w:firstLine="720" w:end="0"/>
        <w:rPr/>
      </w:pPr>
      <w:r>
        <w:rPr/>
      </w:r>
    </w:p>
    <w:p>
      <w:pPr>
        <w:pStyle w:val="Normal"/>
        <w:ind w:firstLine="720" w:end="0"/>
        <w:jc w:val="both"/>
        <w:rPr/>
      </w:pPr>
      <w:r>
        <w:rPr/>
        <w:t>2.4.2</w:t>
        <w:tab/>
      </w:r>
      <w:r>
        <w:rPr>
          <w:u w:val="single"/>
        </w:rPr>
        <w:t>Major Subcontractors</w:t>
      </w:r>
      <w:r>
        <w:rPr/>
        <w:t xml:space="preserve">.  </w:t>
      </w:r>
      <w:r>
        <w:rPr>
          <w:u w:val="single"/>
        </w:rPr>
        <w:t>Exhibit "K"</w:t>
      </w:r>
      <w:r>
        <w:rPr/>
        <w:t xml:space="preserve"> sets forth (a) a summary description of each portion of the Work to be performed under a Major Subcontract and (b) a list of potential Major Subcontractors that Contractor and Owner have agreed are approved for the Major Subcontracts.  If Contractor wishes to consider a Person not listed in </w:t>
      </w:r>
      <w:r>
        <w:rPr>
          <w:u w:val="single"/>
        </w:rPr>
        <w:t>Exhibit "K"</w:t>
      </w:r>
      <w:r>
        <w:rPr/>
        <w:t xml:space="preserve"> for a Major Subcontract (such Person, a "</w:t>
      </w:r>
      <w:r>
        <w:rPr>
          <w:u w:val="single"/>
        </w:rPr>
        <w:t>Proposed Major Subcontractor</w:t>
      </w:r>
      <w:r>
        <w:rPr/>
        <w:t>") then Contractor shall notify Construction Agent of the Proposed Major Subcontractor at the earliest practical point in the selection process and furnish to Construction Agent all information with respect to Contractor’s selection criteria that is reasonably requested by Construction Agent within 10 Business Days after Contractor’s initial request.  Construction Agent shall approve or deny Contractor’s request for its consent within 10 Business Days after receipt of the request and any information requested by Construction Agent in accordance with this Section 2.4.  If Construction Agent fails to timely approve or deny Contractor’s request within such 10 Business Day period, then Construction Agent shall be deemed to have approved such request and Contractor shall have the right to execute the Major Subcontract with the Proposed Major Subcontractor.  If Construction Agent has denied consent to the Proposed Major Subcontractor within such period, then Contractor shall not enter into any Subcontract with such Proposed Major Subcontractor.</w:t>
      </w:r>
    </w:p>
    <w:p>
      <w:pPr>
        <w:pStyle w:val="Normal"/>
        <w:rPr/>
      </w:pPr>
      <w:r>
        <w:rPr/>
      </w:r>
    </w:p>
    <w:p>
      <w:pPr>
        <w:pStyle w:val="Heading1"/>
        <w:ind w:hanging="0" w:start="0"/>
        <w:rPr>
          <w:rStyle w:val="Hidden"/>
        </w:rPr>
      </w:pPr>
      <w:bookmarkStart w:id="11" w:name="__RefHeading___Toc496435113"/>
      <w:bookmarkEnd w:id="11"/>
      <w:r>
        <w:rPr/>
        <w:t>ARTICLE III</w:t>
      </w:r>
    </w:p>
    <w:p>
      <w:pPr>
        <w:pStyle w:val="Heading1"/>
        <w:ind w:hanging="0" w:start="0"/>
        <w:rPr/>
      </w:pPr>
      <w:bookmarkStart w:id="12" w:name="__RefHeading___Toc496435114"/>
      <w:bookmarkEnd w:id="12"/>
      <w:r>
        <w:rPr/>
        <w:t>CONTRACTOR’S RESPONSIBILITIES</w:t>
      </w:r>
    </w:p>
    <w:p>
      <w:pPr>
        <w:pStyle w:val="Heading2"/>
        <w:ind w:hanging="0" w:start="0"/>
        <w:rPr/>
      </w:pPr>
      <w:bookmarkStart w:id="13" w:name="__RefHeading___Toc496435115"/>
      <w:bookmarkEnd w:id="13"/>
      <w:r>
        <w:rPr/>
        <w:t>Section 3.1</w:t>
        <w:tab/>
        <w:t>Scope of Work.</w:t>
      </w:r>
    </w:p>
    <w:p>
      <w:pPr>
        <w:pStyle w:val="Normal"/>
        <w:widowControl w:val="false"/>
        <w:ind w:firstLine="720" w:end="0"/>
        <w:jc w:val="both"/>
        <w:rPr/>
      </w:pPr>
      <w:r>
        <w:rPr/>
        <w:t>3.1.1</w:t>
        <w:tab/>
      </w:r>
      <w:r>
        <w:rPr>
          <w:u w:val="single"/>
        </w:rPr>
        <w:t>General Description of Work</w:t>
      </w:r>
      <w:r>
        <w:rPr/>
        <w:t>.  Contractor shall diligently and expeditiously design, engineer, procure and supply all Equipment (other than Free Issue Equipment) for, construct, start up, test and commission a complete Facility, and otherwise carry out and complete the Work, in accordance with the requirements set forth in this Contract, including the Specifications, the Fixed Scope of Work and the Reimbursable Scope of Work, applicable Law and Governmental Authorizations, any Change Order, GIP, and the requirements of Mechanical Completion, Substantial Completion and Final Completion.  Contractor shall at all times exercise the skill, care and diligence in the carrying out of the Work as should be exercised by a first class contractor, fully skilled and experienced in the carrying out of work similar to the Work, and at all times have the resources, experience, qualifications and capabilities as are required fully to perform its obligations under this Contract.  When this Contract describes the Scope of Work in general terms, but not in complete detail, it is understood and agreed that the Scope of Work contains any incidental work that is not in conflict with this Contract, the Scope of Work or the Specifications and that reasonably can be inferred as required and necessary to procure and supply the Equipment and complete the Facility in accordance with this Contract and GIP.</w:t>
      </w:r>
    </w:p>
    <w:p>
      <w:pPr>
        <w:pStyle w:val="Normal"/>
        <w:rPr/>
      </w:pPr>
      <w:r>
        <w:rPr/>
      </w:r>
    </w:p>
    <w:p>
      <w:pPr>
        <w:pStyle w:val="Normal"/>
        <w:ind w:firstLine="720" w:end="0"/>
        <w:jc w:val="both"/>
        <w:rPr/>
      </w:pPr>
      <w:r>
        <w:rPr/>
        <w:t>3.1.2.</w:t>
        <w:tab/>
      </w:r>
      <w:r>
        <w:rPr>
          <w:u w:val="single"/>
        </w:rPr>
        <w:t>Fixed Scope of Work</w:t>
      </w:r>
      <w:r>
        <w:rPr/>
        <w:t xml:space="preserve">.  Without duplicating or limiting the generality of Section 3.1.1 or any other provision of this Contract, and except as set forth in Article 4 and </w:t>
      </w:r>
      <w:r>
        <w:rPr>
          <w:u w:val="single"/>
        </w:rPr>
        <w:t>Exhibit "L"</w:t>
      </w:r>
      <w:r>
        <w:rPr/>
        <w:t>, Contractor shall, in accordance with the provisions of this Contract the Fixed Scope of Work, applicable Law and Governmental Authorizations, any Change Order issued pursuant to Article 6, and GIP</w:t>
      </w:r>
    </w:p>
    <w:p>
      <w:pPr>
        <w:pStyle w:val="Normal"/>
        <w:jc w:val="both"/>
        <w:rPr/>
      </w:pPr>
      <w:r>
        <w:rPr/>
      </w:r>
    </w:p>
    <w:p>
      <w:pPr>
        <w:pStyle w:val="Normal"/>
        <w:ind w:hanging="720" w:start="2160" w:end="0"/>
        <w:jc w:val="both"/>
        <w:rPr/>
      </w:pPr>
      <w:r>
        <w:rPr/>
        <w:t>(a)</w:t>
        <w:tab/>
        <w:t>provide all Project and construction management and supervision, including during design and engineering, Site preparation, marshalling of Equipment and Free Issue Equipment, scheduling, start-up, testing and commissioning, and operation of each Phase and the Facility from Mechanical Completion through Substantial Completion thereof;</w:t>
      </w:r>
    </w:p>
    <w:p>
      <w:pPr>
        <w:pStyle w:val="Normal"/>
        <w:ind w:hanging="720" w:start="2160" w:end="0"/>
        <w:rPr/>
      </w:pPr>
      <w:r>
        <w:rPr/>
      </w:r>
    </w:p>
    <w:p>
      <w:pPr>
        <w:pStyle w:val="Normal"/>
        <w:ind w:hanging="720" w:start="2160" w:end="0"/>
        <w:jc w:val="both"/>
        <w:rPr/>
      </w:pPr>
      <w:r>
        <w:rPr/>
        <w:t>(b)</w:t>
        <w:tab/>
        <w:t>design and engineer the Facility in accordance with the Specifications and the Scope of Work, and prepare and deliver in accordance with this Contract all necessary and customary documentation relating thereto;</w:t>
      </w:r>
    </w:p>
    <w:p>
      <w:pPr>
        <w:pStyle w:val="Normal"/>
        <w:ind w:hanging="720" w:start="2160" w:end="0"/>
        <w:rPr/>
      </w:pPr>
      <w:r>
        <w:rPr/>
      </w:r>
    </w:p>
    <w:p>
      <w:pPr>
        <w:pStyle w:val="Normal"/>
        <w:ind w:hanging="720" w:start="2160" w:end="0"/>
        <w:jc w:val="both"/>
        <w:rPr/>
      </w:pPr>
      <w:r>
        <w:rPr/>
        <w:t>(c)</w:t>
        <w:tab/>
        <w:t xml:space="preserve">provide all construction support activities, including offices, communications systems, Site security, and construction power and water and other consumables (including lubricants, chemicals, construction consumables and construction equipment fuel), and Contractor's Equipment which are necessary for the construction of the Facility in accordance with this Contract, except for those items required to be furnished by Construction Agent as set forth in Article 4 and </w:t>
      </w:r>
      <w:r>
        <w:rPr>
          <w:u w:val="single"/>
        </w:rPr>
        <w:t>Exhibit "L"</w:t>
      </w:r>
      <w:r>
        <w:rPr/>
        <w:t>;</w:t>
      </w:r>
    </w:p>
    <w:p>
      <w:pPr>
        <w:pStyle w:val="Normal"/>
        <w:ind w:hanging="720" w:start="2160" w:end="0"/>
        <w:rPr/>
      </w:pPr>
      <w:r>
        <w:rPr/>
      </w:r>
    </w:p>
    <w:p>
      <w:pPr>
        <w:pStyle w:val="Normal"/>
        <w:ind w:hanging="720" w:start="2160" w:end="0"/>
        <w:jc w:val="both"/>
        <w:rPr/>
      </w:pPr>
      <w:r>
        <w:rPr/>
        <w:t>(d)</w:t>
        <w:tab/>
        <w:t>start-up, test and commission each Phase and the Facility, and conduct on-Site training as required for all Equipment other than Free Issue Equipment; and</w:t>
      </w:r>
    </w:p>
    <w:p>
      <w:pPr>
        <w:pStyle w:val="Normal"/>
        <w:ind w:hanging="720" w:start="2160" w:end="0"/>
        <w:rPr/>
      </w:pPr>
      <w:r>
        <w:rPr/>
      </w:r>
    </w:p>
    <w:p>
      <w:pPr>
        <w:pStyle w:val="Normal"/>
        <w:ind w:hanging="720" w:start="2160" w:end="0"/>
        <w:jc w:val="both"/>
        <w:rPr/>
      </w:pPr>
      <w:r>
        <w:rPr/>
        <w:t>(e)</w:t>
        <w:tab/>
        <w:t xml:space="preserve">prepare and deliver operation and maintenance manuals for each Phase and the Facility. </w:t>
      </w:r>
    </w:p>
    <w:p>
      <w:pPr>
        <w:pStyle w:val="Normal"/>
        <w:jc w:val="both"/>
        <w:rPr/>
      </w:pPr>
      <w:r>
        <w:rPr/>
      </w:r>
    </w:p>
    <w:p>
      <w:pPr>
        <w:pStyle w:val="Normal"/>
        <w:ind w:firstLine="720" w:end="0"/>
        <w:jc w:val="both"/>
        <w:rPr/>
      </w:pPr>
      <w:r>
        <w:rPr/>
        <w:t>3.1.3</w:t>
        <w:tab/>
      </w:r>
      <w:r>
        <w:rPr>
          <w:u w:val="single"/>
        </w:rPr>
        <w:t>Reimbursable Scope of Work</w:t>
      </w:r>
      <w:r>
        <w:rPr/>
        <w:t xml:space="preserve">.  Without duplicating or limiting the generality of Section 3.1.1 or any other provision of this Contract, and except as set forth in Article 4 and </w:t>
      </w:r>
      <w:r>
        <w:rPr>
          <w:u w:val="single"/>
        </w:rPr>
        <w:t>Exhibit "L"</w:t>
      </w:r>
      <w:r>
        <w:rPr/>
        <w:t>, Contractor shall, in accordance with the provisions of this Contract, the Reimbursable Scope of Work, applicable Law and Governmental Authorizations, any Change Order issued pursuant to Article 6, and GIP:</w:t>
      </w:r>
    </w:p>
    <w:p>
      <w:pPr>
        <w:pStyle w:val="Normal"/>
        <w:rPr/>
      </w:pPr>
      <w:r>
        <w:rPr/>
      </w:r>
    </w:p>
    <w:p>
      <w:pPr>
        <w:pStyle w:val="Normal"/>
        <w:ind w:hanging="720" w:start="2160" w:end="0"/>
        <w:jc w:val="both"/>
        <w:rPr/>
      </w:pPr>
      <w:r>
        <w:rPr/>
        <w:t>(a)</w:t>
        <w:tab/>
        <w:t xml:space="preserve">subject to the provisions of Section 3.17, perform any required improvements to the Site necessary for the completion of the Facility in accordance with this Contract, and otherwise develop the Site and acquire those Governmental Authorizations listed in </w:t>
      </w:r>
      <w:r>
        <w:rPr>
          <w:u w:val="single"/>
        </w:rPr>
        <w:t>Exhibit "J"</w:t>
      </w:r>
      <w:r>
        <w:rPr/>
        <w:t xml:space="preserve">; </w:t>
      </w:r>
    </w:p>
    <w:p>
      <w:pPr>
        <w:pStyle w:val="Normal"/>
        <w:ind w:hanging="720" w:start="2160" w:end="0"/>
        <w:rPr/>
      </w:pPr>
      <w:r>
        <w:rPr/>
      </w:r>
    </w:p>
    <w:p>
      <w:pPr>
        <w:pStyle w:val="Normal"/>
        <w:ind w:hanging="720" w:start="2160" w:end="0"/>
        <w:jc w:val="both"/>
        <w:rPr/>
      </w:pPr>
      <w:r>
        <w:rPr/>
        <w:t>(b)</w:t>
        <w:tab/>
        <w:t>arrange and expedite all shipping and transportation of Equipment and Free Issue Equipment to the Site, including all handling, control and storage of Equipment and Free Issue Equipment and clearance of all Equipment and Free Issue Equipment through customs;</w:t>
      </w:r>
    </w:p>
    <w:p>
      <w:pPr>
        <w:pStyle w:val="Normal"/>
        <w:ind w:hanging="720" w:start="2160" w:end="0"/>
        <w:rPr/>
      </w:pPr>
      <w:r>
        <w:rPr/>
      </w:r>
    </w:p>
    <w:p>
      <w:pPr>
        <w:pStyle w:val="Normal"/>
        <w:ind w:hanging="720" w:start="2160" w:end="0"/>
        <w:jc w:val="both"/>
        <w:rPr/>
      </w:pPr>
      <w:r>
        <w:rPr/>
        <w:t>(c)</w:t>
        <w:tab/>
        <w:t xml:space="preserve">construct or manage the construction of all civil works, structural steel and platforms, water systems (including raw water, water treatment, cooling water, and waste water), gas fuel systems, fire fighting systems, compressed air systems, emissions monitoring systems, piping/heat trace/insulation, Facility control systems, buildings, lighting, grounding, lightning protection, internal distribution systems, electrical bulks, and substation/HV interconnects, and any other related construction requirements at the Site necessary for the completion of the Facility in accordance with this Contract; </w:t>
      </w:r>
    </w:p>
    <w:p>
      <w:pPr>
        <w:pStyle w:val="Normal"/>
        <w:ind w:hanging="720" w:start="2160" w:end="0"/>
        <w:rPr/>
      </w:pPr>
      <w:r>
        <w:rPr/>
      </w:r>
    </w:p>
    <w:p>
      <w:pPr>
        <w:pStyle w:val="Normal"/>
        <w:ind w:hanging="720" w:start="2160" w:end="0"/>
        <w:jc w:val="both"/>
        <w:rPr/>
      </w:pPr>
      <w:r>
        <w:rPr/>
        <w:t>(d)</w:t>
        <w:tab/>
        <w:t>provide spares and consumables for start-up, testing and commissioning of each Phase and the Facility; and</w:t>
      </w:r>
    </w:p>
    <w:p>
      <w:pPr>
        <w:pStyle w:val="Normal"/>
        <w:ind w:hanging="720" w:start="2160" w:end="0"/>
        <w:rPr/>
      </w:pPr>
      <w:r>
        <w:rPr/>
      </w:r>
    </w:p>
    <w:p>
      <w:pPr>
        <w:pStyle w:val="Normal"/>
        <w:ind w:hanging="720" w:start="2160" w:end="0"/>
        <w:jc w:val="both"/>
        <w:rPr/>
      </w:pPr>
      <w:r>
        <w:rPr/>
        <w:t>(e)</w:t>
        <w:tab/>
        <w:t>assist in certain training in connection with the GE Units and associated control equipment.</w:t>
      </w:r>
    </w:p>
    <w:p>
      <w:pPr>
        <w:pStyle w:val="Heading2"/>
        <w:ind w:hanging="0" w:start="0"/>
        <w:rPr>
          <w:bCs w:val="false"/>
          <w:iCs w:val="false"/>
        </w:rPr>
      </w:pPr>
      <w:bookmarkStart w:id="14" w:name="__RefHeading___Toc496435116"/>
      <w:bookmarkEnd w:id="14"/>
      <w:r>
        <w:rPr>
          <w:bCs w:val="false"/>
          <w:iCs w:val="false"/>
        </w:rPr>
        <w:t>Section 3.2</w:t>
        <w:tab/>
        <w:t>Spare Parts; Contractor Scope of Supply.</w:t>
      </w:r>
    </w:p>
    <w:p>
      <w:pPr>
        <w:pStyle w:val="Normal"/>
        <w:ind w:firstLine="720" w:end="0"/>
        <w:jc w:val="both"/>
        <w:rPr/>
      </w:pPr>
      <w:r>
        <w:rPr/>
        <w:t>3.2.1</w:t>
        <w:tab/>
      </w:r>
      <w:r>
        <w:rPr>
          <w:u w:val="single"/>
        </w:rPr>
        <w:t>Special Tools and Consumable Spare Parts</w:t>
      </w:r>
      <w:r>
        <w:rPr/>
        <w:t>.  Contractor shall provide, and the Contract Price includes, all spare parts and special tools necessary for the construction, start-up, commissioning and testing of the Facility prior to Substantial Completion, together with all special tools required for the normal checks, inspections, and operation and maintenance of the Equipment following Substantial Completion.  For the purposes hereof, "special tools" means tools that are designed and/or fabricated especially for the purposes of performing checks, inspections, operation and maintenance of Equipment and are not otherwise commonly and commercially available..</w:t>
      </w:r>
    </w:p>
    <w:p>
      <w:pPr>
        <w:pStyle w:val="Normal"/>
        <w:rPr/>
      </w:pPr>
      <w:r>
        <w:rPr/>
      </w:r>
    </w:p>
    <w:p>
      <w:pPr>
        <w:pStyle w:val="Normal"/>
        <w:ind w:firstLine="720" w:end="0"/>
        <w:jc w:val="both"/>
        <w:rPr/>
      </w:pPr>
      <w:r>
        <w:rPr/>
        <w:t>3.2.2</w:t>
        <w:tab/>
      </w:r>
      <w:r>
        <w:rPr>
          <w:u w:val="single"/>
        </w:rPr>
        <w:t>Operating Spare Parts</w:t>
      </w:r>
      <w:r>
        <w:rPr/>
        <w:t>.  Contractor shall prepare and deliver to Construction Agent on behalf of Owner a list (the "</w:t>
      </w:r>
      <w:r>
        <w:rPr>
          <w:u w:val="single"/>
        </w:rPr>
        <w:t>Owner Spare Parts List</w:t>
      </w:r>
      <w:r>
        <w:rPr/>
        <w:t>") of recommended spare parts ("</w:t>
      </w:r>
      <w:r>
        <w:rPr>
          <w:u w:val="single"/>
        </w:rPr>
        <w:t>Owner Spare Parts</w:t>
      </w:r>
      <w:r>
        <w:rPr/>
        <w:t xml:space="preserve">") required for the operation and maintenance of the Facility for at least two years following Substantial Completion, together with recommended vendors therefor.  </w:t>
      </w:r>
      <w:r>
        <w:rPr>
          <w:color w:val="000000"/>
        </w:rPr>
        <w:t xml:space="preserve">Contractor shall use reasonable efforts to obtain for the benefit of Owner discounts and favorable purchasing conditions for the procurement of Owner Spare Parts, similar to such discounts and favorable purchasing conditions available to Contractor.  Construction Agent shall, on behalf of Owner, not later than thirty (30) days following its receipt of any Owner Spare Parts List, deliver to Contractor Owner's order for Owner Spare Parts.  Contractor shall, at no additional cost to Owner, other than as provided in this Section 3.2.2, procure for Owner's account the Owner Spare Parts designated by Construction Agent.  At Construction Agent's request, Contractor shall use reasonable efforts to obtain any Owner Spare Parts on a delayed shipment basis according to Construction Agent's preferred delivery schedule for such Owner Spare Parts, and shall otherwise work with Construction Agent and any vendor or Subcontractor to facilitate the procurement of Owner Spare Parts in accordance with Construction Agent's spare parts procurement plan.  In connection with Construction Agent's right to request delayed delivery of Owner Spare Parts, Contractor shall give Construction Agent reasonable advance notice of the date each Phase is expected to achieve Mechanical Completion, and shall work with Construction Agent to ensure Owner Spare Parts required for such Phase are ordered in time to arrive at the Site approximately sixty (60) days prior to the achievement of Mechanical Completion for such Phase.  Contractor shall invoice Owner for, and Owner shall be responsible for the payment to Contractor of, the actual cost (including freight, insurance, customs duties and clearing costs, and taxes, if any) of any Owner Spare Parts obtained at Construction Agent's direction and for Owner's account.  Prior to Substantial Completion of a Phase, Contractor shall, at no additional cost to Construction Agent or Owner, bear the risk of loss of, and be responsible to Construction Agent and Owner for receiving, storing, inventorying, and handling in </w:t>
      </w:r>
      <w:r>
        <w:rPr/>
        <w:t>accordance with vendors' and manufacturers' requirements and specifications (including with respect to maintenance of any proper storage environment), all Owner Spare Parts relating to such Phase.  Nothing herein shall be construed as limiting Construction Agent's or Owner's rights to independently procure spare parts or special tools for use in connection with the Facility.  Except as provided in Section 3.2.1, no spare parts required for operation and maintenance of the Facility after Substantial Completion are included in the Contract Price.</w:t>
      </w:r>
    </w:p>
    <w:p>
      <w:pPr>
        <w:pStyle w:val="Normal"/>
        <w:ind w:firstLine="720" w:end="0"/>
        <w:rPr>
          <w:u w:val="single"/>
        </w:rPr>
      </w:pPr>
      <w:r>
        <w:rPr>
          <w:u w:val="single"/>
        </w:rPr>
      </w:r>
    </w:p>
    <w:p>
      <w:pPr>
        <w:pStyle w:val="Normal"/>
        <w:ind w:firstLine="720" w:end="0"/>
        <w:jc w:val="both"/>
        <w:rPr/>
      </w:pPr>
      <w:r>
        <w:rPr/>
        <w:t>3.2.3</w:t>
        <w:tab/>
      </w:r>
      <w:r>
        <w:rPr>
          <w:u w:val="single"/>
        </w:rPr>
        <w:t>Equipment Failure before Substantial Completion</w:t>
      </w:r>
      <w:r>
        <w:rPr/>
        <w:t xml:space="preserve">.  Should any Equipment fail prior to Substantial Completion of any Phase, then upon the mutual agreement of the time period within which Contractor will replace such spare parts, Contractor may withdraw any necessary spare parts from Owner’s stock of operations and maintenance stores so that the Equipment that failed may be returned to operating condition. Contractor, at its sole expense, shall, within the time agreed for replacement, and in any event no later than Substantial Completion of the Phase to which any such spare part relates, replace all such withdrawn spare parts with new spare parts of the same type made by the same manufacturer.  In the event that any withdrawn spare parts have not been replaced by Substantial Completion such withdrawn spare parts shall be Punchlist Items, </w:t>
      </w:r>
      <w:r>
        <w:rPr>
          <w:u w:val="single"/>
        </w:rPr>
        <w:t>provided</w:t>
      </w:r>
      <w:r>
        <w:rPr/>
        <w:t xml:space="preserve"> that Contractor has placed orders for such replacements with the vendors therefore and has taken or is diligently taking action to provide for the replacement thereof.  In the event that Construction Agent or Owner requires a spare part which has been placed on the Punchlist in order to restore or maintain the safe, normal and continuous operation of the Facility or any Phase prior to the receipt thereof, Contractor shall, at its sole expense, use its best efforts to obtain for Construction Agent or Owner suich spare part at the earliest practicable time.  Contractor shall use reasonable efforts to ensure spare parts are imported in a manner to comply with any customs duty and tax rulings and as necessary to minimize import duties and taxes.  </w:t>
      </w:r>
    </w:p>
    <w:p>
      <w:pPr>
        <w:pStyle w:val="Normal"/>
        <w:ind w:firstLine="720" w:end="0"/>
        <w:rPr>
          <w:u w:val="single"/>
        </w:rPr>
      </w:pPr>
      <w:r>
        <w:rPr>
          <w:u w:val="single"/>
        </w:rPr>
      </w:r>
    </w:p>
    <w:p>
      <w:pPr>
        <w:pStyle w:val="Normal"/>
        <w:ind w:firstLine="720" w:end="0"/>
        <w:jc w:val="both"/>
        <w:rPr/>
      </w:pPr>
      <w:r>
        <w:rPr/>
        <w:t>3.2.4</w:t>
        <w:tab/>
      </w:r>
      <w:r>
        <w:rPr>
          <w:u w:val="single"/>
        </w:rPr>
        <w:t>Contractor Scope of Supply</w:t>
      </w:r>
      <w:r>
        <w:rPr/>
        <w:t>.  In accordance with the provisions of Exhibit "L", Contractor shall timely provide or cause to be provided, at its sole expense, the services and products described in Exhibit "L" as the responsibility of Contractor, including adequate stocks of chemicals and lubricants to replenish any consumed during start-up, testing and commissioning of the Facitlity or any Phase.  .</w:t>
      </w:r>
    </w:p>
    <w:p>
      <w:pPr>
        <w:pStyle w:val="Heading2"/>
        <w:ind w:hanging="0" w:start="0"/>
        <w:rPr/>
      </w:pPr>
      <w:bookmarkStart w:id="15" w:name="__RefHeading___Toc496435117"/>
      <w:bookmarkEnd w:id="15"/>
      <w:r>
        <w:rPr/>
        <w:t>Section 3.3</w:t>
        <w:tab/>
        <w:t>Compliance with Drawings and Review of Drawings and Documents.</w:t>
      </w:r>
    </w:p>
    <w:p>
      <w:pPr>
        <w:pStyle w:val="Normal"/>
        <w:widowControl w:val="false"/>
        <w:ind w:firstLine="720" w:end="0"/>
        <w:jc w:val="both"/>
        <w:rPr/>
      </w:pPr>
      <w:r>
        <w:rPr/>
        <w:t>3.3.1</w:t>
        <w:tab/>
      </w:r>
      <w:r>
        <w:rPr>
          <w:u w:val="single"/>
        </w:rPr>
        <w:t>Submission by Contractor</w:t>
      </w:r>
      <w:r>
        <w:rPr/>
        <w:t xml:space="preserve">.  Contractor shall submit to Construction Agent, throughout the duration of this Contract, current complete copies of the Facility drawing and document lists for those documents listed in </w:t>
      </w:r>
      <w:r>
        <w:rPr>
          <w:u w:val="single"/>
        </w:rPr>
        <w:t>Exhibit "O"</w:t>
      </w:r>
      <w:r>
        <w:rPr/>
        <w:t xml:space="preserve">, and Contractor shall provide or cause to be provided to Construction Agent, within 30 days following the NTP Effective Date, a submittal schedule setting out the anticipated dates of issue of all such drawings.  Contractor shall transmit to Construction Agent in a timely fashion for its review the drawings and documents listed in </w:t>
      </w:r>
      <w:r>
        <w:rPr>
          <w:u w:val="single"/>
        </w:rPr>
        <w:t>Exhibit "O"</w:t>
      </w:r>
      <w:r>
        <w:rPr/>
        <w:t xml:space="preserve"> pursuant to such schedule for submission.</w:t>
      </w:r>
    </w:p>
    <w:p>
      <w:pPr>
        <w:pStyle w:val="Normal"/>
        <w:ind w:firstLine="720" w:end="0"/>
        <w:rPr>
          <w:u w:val="single"/>
        </w:rPr>
      </w:pPr>
      <w:r>
        <w:rPr>
          <w:u w:val="single"/>
        </w:rPr>
      </w:r>
    </w:p>
    <w:p>
      <w:pPr>
        <w:pStyle w:val="Normal"/>
        <w:ind w:firstLine="720" w:end="0"/>
        <w:jc w:val="both"/>
        <w:rPr/>
      </w:pPr>
      <w:r>
        <w:rPr/>
        <w:t>3.3.2</w:t>
        <w:tab/>
      </w:r>
      <w:r>
        <w:rPr>
          <w:u w:val="single"/>
        </w:rPr>
        <w:t>Review by Construction Agent</w:t>
      </w:r>
      <w:r>
        <w:rPr/>
        <w:t xml:space="preserve">.  Construction Agent shall notify Contractor of any comments or queries regarding any drawing or document listed in </w:t>
      </w:r>
      <w:r>
        <w:rPr>
          <w:u w:val="single"/>
        </w:rPr>
        <w:t>Exhibit "O"</w:t>
      </w:r>
      <w:r>
        <w:rPr/>
        <w:t>, as soon as practicable and in any event within fifteen (15) days of receipt thereof.  If Construction Agent fails to respond within the fifteen (15) day period, then such drawing or document shall be deemed to have been reviewed by Construction Agent.  Contractor shall, within ten (10) days following receipt of any comments or queries regarding any drawing or document, amend such drawing or document or otherwise take into account or respond to Construction Agent’s comments or queries and shall resubmit such drawing or document for Construction Agent review.  Construction Agent shall notify Contractor of any comments it may have with respect to any such resubmitted drawing or document within seven (7) days after the receipt thereof.  Contractor shall reasonably endeavor</w:t>
      </w:r>
      <w:r>
        <w:rPr>
          <w:b/>
        </w:rPr>
        <w:t xml:space="preserve"> </w:t>
      </w:r>
      <w:r>
        <w:rPr/>
        <w:t xml:space="preserve">to implement and accommodate within any such drawing or document submitted for review and within the method, manner or sequence of carrying out the Work, Construction Agent’s comments relating to such drawing or document (including comments on matters of safety and ease of operation and maintenance of the Facility) unless such comments are inconsistent with the requirements of this Contract.  Construction Agent shall not review or comment on any drawing or document not listed in </w:t>
      </w:r>
      <w:r>
        <w:rPr>
          <w:u w:val="single"/>
        </w:rPr>
        <w:t>Exhibit "O"</w:t>
      </w:r>
      <w:r>
        <w:rPr/>
        <w:t xml:space="preserve"> but which is submitted to Construction Agent for informational purposes only unless and to the extent that any such drawing or document fails to comply with the requirements of this Contract; </w:t>
      </w:r>
      <w:r>
        <w:rPr>
          <w:u w:val="single"/>
        </w:rPr>
        <w:t>provided</w:t>
      </w:r>
      <w:r>
        <w:rPr/>
        <w:t xml:space="preserve">, </w:t>
      </w:r>
      <w:r>
        <w:rPr>
          <w:u w:val="single"/>
        </w:rPr>
        <w:t>however</w:t>
      </w:r>
      <w:r>
        <w:rPr/>
        <w:t xml:space="preserve">, that Construction Agent shall always be entitled to comment on or require a change to any such drawing or document in accordance with the provisions of Article 6.  </w:t>
      </w:r>
      <w:r>
        <w:rPr>
          <w:szCs w:val="24"/>
          <w:lang w:val="en-CA"/>
        </w:rPr>
      </w:r>
      <w:r>
        <w:rPr>
          <w:color w:val="000000"/>
          <w:szCs w:val="24"/>
        </w:rPr>
        <w:t>Contractor shall schedule the Work in such a manner as to allow sufficient time for the review and approval process set forth in this Section 3.3.2 to be completed for the issuance and revision pursuant to Construction Agent's comments, if any, of each drawing or document.  Contractor shall not be entitled to assert Construction Agent Delay as a result of such review by Construction Agent in compliance with the provisions, including time frames, set forth in this Section 3.2, or otherwise compromise Construction Agent's right to review and comment on drawings and documents in compliance with the provisions, including time frames, set forth in this Section 3.2.  Contractor shall be fully responsible for the preparation of drawings and documents that reflect fully the requirements of this Contract, including the Specifications and Scope of Work, regardless of Construction Agent's review and approval or lack of review of any drawing or document pursuant to the terms of this Section 3.3.2.</w:t>
      </w:r>
    </w:p>
    <w:p>
      <w:pPr>
        <w:pStyle w:val="Normal"/>
        <w:ind w:firstLine="720" w:end="0"/>
        <w:rPr>
          <w:color w:val="000000"/>
          <w:szCs w:val="24"/>
          <w:u w:val="single"/>
        </w:rPr>
      </w:pPr>
      <w:r>
        <w:rPr>
          <w:color w:val="000000"/>
          <w:szCs w:val="24"/>
          <w:u w:val="single"/>
        </w:rPr>
      </w:r>
    </w:p>
    <w:p>
      <w:pPr>
        <w:pStyle w:val="Normal"/>
        <w:ind w:firstLine="720" w:end="0"/>
        <w:jc w:val="both"/>
        <w:rPr/>
      </w:pPr>
      <w:r>
        <w:rPr/>
        <w:t>3.3.3</w:t>
        <w:tab/>
      </w:r>
      <w:r>
        <w:rPr>
          <w:u w:val="single"/>
        </w:rPr>
        <w:t>Construction Agent's Right to Examine</w:t>
      </w:r>
      <w:r>
        <w:rPr/>
        <w:t>.  Construction Agent and its authorized representatives shall have the right, at any time on reasonable notice, at the premises of Contractor or any Subcontractor, to examine drawings or documents that have been or are being prepared by Contractor or any such Subcontractor for the purposes of this Contract.</w:t>
      </w:r>
    </w:p>
    <w:p>
      <w:pPr>
        <w:pStyle w:val="Normal"/>
        <w:ind w:firstLine="720" w:end="0"/>
        <w:rPr>
          <w:u w:val="single"/>
        </w:rPr>
      </w:pPr>
      <w:r>
        <w:rPr>
          <w:u w:val="single"/>
        </w:rPr>
      </w:r>
    </w:p>
    <w:p>
      <w:pPr>
        <w:pStyle w:val="Normal"/>
        <w:ind w:firstLine="720" w:end="0"/>
        <w:jc w:val="both"/>
        <w:rPr/>
      </w:pPr>
      <w:r>
        <w:rPr/>
        <w:t>3.3.4</w:t>
        <w:tab/>
      </w:r>
      <w:r>
        <w:rPr>
          <w:u w:val="single"/>
        </w:rPr>
        <w:t>Compliance With Drawings</w:t>
      </w:r>
      <w:r>
        <w:rPr/>
        <w:t xml:space="preserve">.  Contractor shall perform the Work and ensure that all Equipment is procured and supplied substantially in accordance with the drawings and documents listed in </w:t>
      </w:r>
      <w:r>
        <w:rPr>
          <w:u w:val="single"/>
        </w:rPr>
        <w:t>Exhibit "O"</w:t>
      </w:r>
      <w:r>
        <w:rPr/>
        <w:t xml:space="preserve"> submitted for review and comment to Construction Agent.</w:t>
      </w:r>
    </w:p>
    <w:p>
      <w:pPr>
        <w:pStyle w:val="Normal"/>
        <w:ind w:firstLine="720" w:end="0"/>
        <w:rPr>
          <w:u w:val="single"/>
        </w:rPr>
      </w:pPr>
      <w:r>
        <w:rPr>
          <w:u w:val="single"/>
        </w:rPr>
      </w:r>
    </w:p>
    <w:p>
      <w:pPr>
        <w:pStyle w:val="Normal"/>
        <w:ind w:firstLine="720" w:end="0"/>
        <w:jc w:val="both"/>
        <w:rPr/>
      </w:pPr>
      <w:r>
        <w:rPr/>
        <w:t>3.3.5</w:t>
        <w:tab/>
      </w:r>
      <w:r>
        <w:rPr>
          <w:u w:val="single"/>
        </w:rPr>
        <w:t>Corrections</w:t>
      </w:r>
      <w:r>
        <w:rPr/>
        <w:t xml:space="preserve">.  With respect to any drawing or document not listed in </w:t>
      </w:r>
      <w:r>
        <w:rPr>
          <w:u w:val="single"/>
        </w:rPr>
        <w:t>Exhibit "O"</w:t>
      </w:r>
      <w:r>
        <w:rPr/>
        <w:t xml:space="preserve">, upon receipt of notice from </w:t>
      </w:r>
      <w:r>
        <w:rPr>
          <w:color w:val="000000"/>
          <w:szCs w:val="24"/>
        </w:rPr>
        <w:t>Construction Agent</w:t>
      </w:r>
      <w:r>
        <w:rPr/>
        <w:t xml:space="preserve"> or otherwise upon becoming aware of the need therefore, Contractor shall, at its own expense, make corrections to the drawings, documents and Specifications to the extent necessary for the Work to be in substantial compliance with the requirements of this Contract. </w:t>
      </w:r>
    </w:p>
    <w:p>
      <w:pPr>
        <w:pStyle w:val="Normal"/>
        <w:ind w:firstLine="720" w:end="0"/>
        <w:rPr>
          <w:u w:val="single"/>
        </w:rPr>
      </w:pPr>
      <w:r>
        <w:rPr>
          <w:u w:val="single"/>
        </w:rPr>
      </w:r>
    </w:p>
    <w:p>
      <w:pPr>
        <w:pStyle w:val="Normal"/>
        <w:ind w:firstLine="720" w:end="0"/>
        <w:jc w:val="both"/>
        <w:rPr/>
      </w:pPr>
      <w:r>
        <w:rPr/>
        <w:t>3.3.6</w:t>
        <w:tab/>
      </w:r>
      <w:r>
        <w:rPr>
          <w:u w:val="single"/>
        </w:rPr>
        <w:t>Construction Agent's Review Not Approval</w:t>
      </w:r>
      <w:r>
        <w:rPr/>
        <w:t>.  No review of, or concurrence with, any drawing or document by Construction Agent shall be construed as constituting Construction Agent's approval of the Work performed by Contractor or any Subcontractor, nor shall Construction Agent's failure to review or comment upon any drawing or document be construed as approval or disapproval thereof.  Contractor at all times shall be fully responsible for completing the Work in accordance with the requirements of this Contract, including the requirements of the Specifications and Scope of Work, regardless of whether or not Construction Agent has reviewed any drawings or documents prepared by Contractor or any Subcontractor.</w:t>
      </w:r>
    </w:p>
    <w:p>
      <w:pPr>
        <w:pStyle w:val="Heading2"/>
        <w:ind w:hanging="0" w:start="0"/>
        <w:rPr/>
      </w:pPr>
      <w:bookmarkStart w:id="16" w:name="__RefHeading___Toc496435118"/>
      <w:bookmarkEnd w:id="16"/>
      <w:r>
        <w:rPr/>
        <w:t>Section 3.4</w:t>
        <w:tab/>
        <w:t>Contractor’s Personnel and Labor Relations.</w:t>
      </w:r>
    </w:p>
    <w:p>
      <w:pPr>
        <w:pStyle w:val="Normal"/>
        <w:ind w:firstLine="720" w:end="0"/>
        <w:jc w:val="both"/>
        <w:rPr/>
      </w:pPr>
      <w:r>
        <w:rPr/>
        <w:t>3.4.1</w:t>
        <w:tab/>
      </w:r>
      <w:r>
        <w:rPr>
          <w:u w:val="single"/>
        </w:rPr>
        <w:t>Site Staff</w:t>
      </w:r>
      <w:r>
        <w:rPr/>
        <w:t>.  Contractor shall ensure that sufficient suitably qualified and experienced personnel are at all times present at the Site and elsewhere as required to supervise and perform the Work and to direct the operating and maintenance personnel in the start-up, commissioning and testing of the Facility.</w:t>
      </w:r>
    </w:p>
    <w:p>
      <w:pPr>
        <w:pStyle w:val="Normal"/>
        <w:ind w:firstLine="720" w:end="0"/>
        <w:rPr/>
      </w:pPr>
      <w:r>
        <w:rPr/>
      </w:r>
    </w:p>
    <w:p>
      <w:pPr>
        <w:pStyle w:val="Normal"/>
        <w:ind w:firstLine="720" w:end="0"/>
        <w:jc w:val="both"/>
        <w:rPr/>
      </w:pPr>
      <w:r>
        <w:rPr/>
        <w:t>3.4.2</w:t>
        <w:tab/>
      </w:r>
      <w:r>
        <w:rPr>
          <w:u w:val="single"/>
        </w:rPr>
        <w:t>Key Personnel</w:t>
      </w:r>
      <w:r>
        <w:rPr/>
        <w:t xml:space="preserve">.  Contractor shall appoint suitably qualified and experienced personnel acceptable to Construction Agent to fill the posts listed in </w:t>
      </w:r>
      <w:r>
        <w:rPr>
          <w:u w:val="single"/>
        </w:rPr>
        <w:t>Exhibit "P"</w:t>
      </w:r>
      <w:r>
        <w:rPr/>
        <w:t xml:space="preserve"> (the "</w:t>
      </w:r>
      <w:r>
        <w:rPr>
          <w:u w:val="single"/>
        </w:rPr>
        <w:t>Key Personnel</w:t>
      </w:r>
      <w:r>
        <w:rPr/>
        <w:t xml:space="preserve">").  Contractor shall maintain such posts in connection with the Work as long as is reasonably necessary to fulfill Contractor’s obligations under this Contract and shall not remove or replace, or assign to other projects or obligations, such key personnel before Substantial Completion of the Facility without the prior written approval of Construction Agent, which approval shall not be unreasonably withheld or delayed.  Contractor shall submit the resumes of the persons nominated to fill the positions listed in </w:t>
      </w:r>
      <w:r>
        <w:rPr>
          <w:u w:val="single"/>
        </w:rPr>
        <w:t>Exhibit "P"</w:t>
      </w:r>
      <w:r>
        <w:rPr/>
        <w:t xml:space="preserve"> to Owner for review, comment or rejection before their appointment.  If Construction Agent fails to comment on or reject any such person within 15 days after the submission of such person’s resume, Owner shall be deemed to have approved of such person.  The person holding the post designated in </w:t>
      </w:r>
      <w:r>
        <w:rPr>
          <w:u w:val="single"/>
        </w:rPr>
        <w:t>Exhibit "P"</w:t>
      </w:r>
      <w:r>
        <w:rPr/>
        <w:t xml:space="preserve"> as "Project Manager" shall have full authority to act on behalf of Contractor for all purposes in connection with the performance and administration of this Contract, and such person shall have authority to agree to a Change Order, but shall not have authority to otherwise amend this Contract unless Contractor has given written notice to Construction Agent of such express authority.  Contractor shall notify Construction Agent of the normal workplace(s) of the person who holds the post designated as Project Manager, and such person shall receive all instructions related to Site activities given by or on behalf of Construction Agent.  Whenever the Project Manager is absent from the Site, Contractor shall nominate a suitable person to act as his or her deputy.</w:t>
      </w:r>
    </w:p>
    <w:p>
      <w:pPr>
        <w:pStyle w:val="Normal"/>
        <w:rPr/>
      </w:pPr>
      <w:r>
        <w:rPr/>
      </w:r>
    </w:p>
    <w:p>
      <w:pPr>
        <w:pStyle w:val="Normal"/>
        <w:ind w:firstLine="720" w:end="0"/>
        <w:jc w:val="both"/>
        <w:rPr/>
      </w:pPr>
      <w:r>
        <w:rPr/>
        <w:t>3.4.3</w:t>
        <w:tab/>
      </w:r>
      <w:r>
        <w:rPr>
          <w:u w:val="single"/>
        </w:rPr>
        <w:t>Objection to Personnel</w:t>
      </w:r>
      <w:r>
        <w:rPr/>
        <w:t>.  Construction Agent shall be entitled by notice to Contractor to object to any representative or person employed by Contractor or any Subcontractor in the execution of the Work who, in the reasonable opinion of Construction Agent, is incompetent, or negligent or has engaged in misconduct, including by (i) engaging in activities which jeopardize the health and safety of any person at the Site, (ii) breaching any term of this Contract, or (iii) otherwise acting in violation of Law while at the Site.  If the behavior of such person is not corrected to Construction Agent's reasonable satisfaction within 10 days of such notice, then upon second notice from Construction Agent, Contractor shall promptly remove or ensure the removal of such person from the Work and appoint a suitable replacement.</w:t>
      </w:r>
    </w:p>
    <w:p>
      <w:pPr>
        <w:pStyle w:val="Normal"/>
        <w:jc w:val="both"/>
        <w:rPr/>
      </w:pPr>
      <w:r>
        <w:rPr/>
      </w:r>
    </w:p>
    <w:p>
      <w:pPr>
        <w:pStyle w:val="Normal"/>
        <w:ind w:firstLine="720" w:end="0"/>
        <w:jc w:val="both"/>
        <w:rPr/>
      </w:pPr>
      <w:r>
        <w:rPr/>
        <w:t>3.4.4</w:t>
        <w:tab/>
      </w:r>
      <w:r>
        <w:rPr>
          <w:u w:val="single"/>
        </w:rPr>
        <w:t>Labor Relations</w:t>
      </w:r>
      <w:r>
        <w:rPr/>
        <w:t xml:space="preserve">.  Contractor shall be responsible for all labor relations matters of its employees and those of its Subcontractors relating to the Work and shall at all times use and cause its Subcontractors to use reasonable efforts to maintain harmony among their workforces.  </w:t>
      </w:r>
    </w:p>
    <w:p>
      <w:pPr>
        <w:pStyle w:val="Normal"/>
        <w:ind w:firstLine="720" w:end="0"/>
        <w:jc w:val="both"/>
        <w:rPr/>
      </w:pPr>
      <w:r>
        <w:rPr/>
      </w:r>
    </w:p>
    <w:p>
      <w:pPr>
        <w:pStyle w:val="Normal"/>
        <w:ind w:firstLine="720" w:end="0"/>
        <w:jc w:val="both"/>
        <w:rPr/>
      </w:pPr>
      <w:r>
        <w:rPr/>
        <w:t>3</w:t>
      </w:r>
      <w:r>
        <w:rPr>
          <w:color w:val="000000"/>
        </w:rPr>
        <w:t>.4.5</w:t>
        <w:tab/>
      </w:r>
      <w:r>
        <w:rPr>
          <w:color w:val="000000"/>
          <w:u w:val="single"/>
        </w:rPr>
        <w:t>Employment of Qualified Personnel</w:t>
      </w:r>
      <w:r>
        <w:rPr>
          <w:color w:val="000000"/>
        </w:rPr>
        <w:t xml:space="preserve">.  Whenever required by Law or in accordance </w:t>
      </w:r>
      <w:r>
        <w:rPr/>
        <w:t>with GIP, Contractor shall employ licensed personnel to perform professional services in t</w:t>
      </w:r>
      <w:r>
        <w:rPr>
          <w:color w:val="000000"/>
        </w:rPr>
        <w:t>he performance of the Work.</w:t>
      </w:r>
    </w:p>
    <w:p>
      <w:pPr>
        <w:pStyle w:val="Heading2"/>
        <w:ind w:hanging="0" w:start="0"/>
        <w:rPr/>
      </w:pPr>
      <w:bookmarkStart w:id="17" w:name="__RefHeading___Toc496435119"/>
      <w:bookmarkEnd w:id="17"/>
      <w:r>
        <w:rPr/>
        <w:t>Section 3.5</w:t>
        <w:tab/>
        <w:t>Governmental Authorization and Contractor Assistance.</w:t>
      </w:r>
    </w:p>
    <w:p>
      <w:pPr>
        <w:pStyle w:val="Normal"/>
        <w:ind w:firstLine="720" w:end="0"/>
        <w:jc w:val="both"/>
        <w:rPr/>
      </w:pPr>
      <w:r>
        <w:rPr/>
        <w:t>3.5.1</w:t>
        <w:tab/>
        <w:t xml:space="preserve">Contractor shall timely obtain the Governmental Authorizations listed in </w:t>
      </w:r>
      <w:r>
        <w:rPr>
          <w:u w:val="single"/>
        </w:rPr>
        <w:t>Exhibit "J"</w:t>
      </w:r>
      <w:r>
        <w:rPr/>
        <w:t xml:space="preserve"> for which Contractor is designated as responsible for submission and acquisition, any other local construction Governmental Authorizations relating to construction work on the Site for which contractors typically are responsible and any completion certificates required by applicable Laws certifying that the Facility has been built in accordance with all such Governmental Authorizations and the as-built drawings.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Construction Agent) to assist Construction Agent in its efforts to obtain the Governmental Authorizations that Construction Agent is required to obtain under Section 4.6.  Contractor shall use reasonable efforts (including the provision of documents and information requested by Construction Agent) to support Construction Agent in Construction Agent’s coordination and communications with ECE and any Grid access authorities in accordance with Section 4.8.</w:t>
      </w:r>
    </w:p>
    <w:p>
      <w:pPr>
        <w:pStyle w:val="Normal"/>
        <w:jc w:val="both"/>
        <w:rPr/>
      </w:pPr>
      <w:r>
        <w:rPr/>
      </w:r>
    </w:p>
    <w:p>
      <w:pPr>
        <w:pStyle w:val="Header"/>
        <w:tabs>
          <w:tab w:val="clear" w:pos="4320"/>
          <w:tab w:val="clear" w:pos="8640"/>
        </w:tabs>
        <w:ind w:firstLine="720" w:end="0"/>
        <w:rPr/>
      </w:pPr>
      <w:r>
        <w:rPr/>
        <w:t>3.5.2</w:t>
        <w:tab/>
        <w:t>Contractor shall be responsible for importing of all imported materials, including obtaining any necessary permits or licenses (in Owner's name) and paying all costs and expenses in connection therewith, and effecting timely delivery of such materials to the site while maintaining care and custody (to the extent not exercised by customs authorities) thereof</w:t>
      </w:r>
      <w:r>
        <w:rPr>
          <w:color w:val="000000"/>
        </w:rPr>
        <w:t>.</w:t>
      </w:r>
    </w:p>
    <w:p>
      <w:pPr>
        <w:pStyle w:val="Heading2"/>
        <w:ind w:hanging="0" w:start="0"/>
        <w:rPr/>
      </w:pPr>
      <w:bookmarkStart w:id="18" w:name="__RefHeading___Toc496435120"/>
      <w:bookmarkEnd w:id="18"/>
      <w:r>
        <w:rPr/>
        <w:t>Section 3.6</w:t>
        <w:tab/>
        <w:t>Control of the Work.</w:t>
      </w:r>
    </w:p>
    <w:p>
      <w:pPr>
        <w:pStyle w:val="Normal"/>
        <w:widowControl w:val="false"/>
        <w:jc w:val="both"/>
        <w:rPr/>
      </w:pPr>
      <w:r>
        <w:rPr/>
        <w:t>Except as otherwise provided with respect to Construction Agent’s actions under Sections 3.8.3 (Construction Agent Actions) and 3.17 (Site Conditions), Contractor shall be solely responsible for all construction means, methods, techniques, sequences, and procedures in connection with the performance of the Work.</w:t>
      </w:r>
    </w:p>
    <w:p>
      <w:pPr>
        <w:pStyle w:val="Heading2"/>
        <w:ind w:hanging="0" w:start="0"/>
        <w:rPr/>
      </w:pPr>
      <w:bookmarkStart w:id="19" w:name="__RefHeading___Toc496435121"/>
      <w:bookmarkEnd w:id="19"/>
      <w:r>
        <w:rPr/>
        <w:t>Section 3.7</w:t>
        <w:tab/>
        <w:t>Cleanup.</w:t>
      </w:r>
    </w:p>
    <w:p>
      <w:pPr>
        <w:pStyle w:val="Normal"/>
        <w:widowControl w:val="false"/>
        <w:jc w:val="both"/>
        <w:rPr/>
      </w:pPr>
      <w:r>
        <w:rPr/>
        <w:t>Contractor at all times shall keep the Site reasonably free from waste materials or rubbish caused by its activities. As soon as practicable after Substantial Completion, Contractor shall remove Contractor’s Equipment and all of its waste material and rubbish from the Site.  During the period between Substantial Completion and Final Completion, Contractor shall ensure that such waste removal activities, as well as performance of any remaining Work, do not unreasonably interfere with the commercial operation of the Facility.</w:t>
      </w:r>
    </w:p>
    <w:p>
      <w:pPr>
        <w:pStyle w:val="Heading2"/>
        <w:ind w:hanging="0" w:start="0"/>
        <w:rPr/>
      </w:pPr>
      <w:bookmarkStart w:id="20" w:name="__RefHeading___Toc496435122"/>
      <w:bookmarkEnd w:id="20"/>
      <w:r>
        <w:rPr/>
        <w:t>Section 3.8</w:t>
        <w:tab/>
        <w:t>Safety and Emergencies.</w:t>
      </w:r>
    </w:p>
    <w:p>
      <w:pPr>
        <w:pStyle w:val="Normal"/>
        <w:ind w:firstLine="720" w:end="0"/>
        <w:jc w:val="both"/>
        <w:rPr/>
      </w:pPr>
      <w:r>
        <w:rPr/>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Normal"/>
        <w:rPr/>
      </w:pPr>
      <w:r>
        <w:rPr/>
      </w:r>
    </w:p>
    <w:p>
      <w:pPr>
        <w:pStyle w:val="Normal"/>
        <w:ind w:firstLine="720" w:end="0"/>
        <w:jc w:val="both"/>
        <w:rPr/>
      </w:pPr>
      <w:r>
        <w:rPr/>
        <w:t>3.8.2</w:t>
        <w:tab/>
      </w:r>
      <w:r>
        <w:rPr>
          <w:u w:val="single"/>
        </w:rPr>
        <w:t>Emergencies</w:t>
      </w:r>
      <w:r>
        <w:rPr/>
        <w:t>.  In the event of any emergency endangering life or property, Contractor shall take such action as may be necessary to deal with such emergency in accordance with GIP to prevent, avoid or mitigate injury, damage or loss and promptly shall notify Construction Agent of any such emergency and the actions taken by Contractor.</w:t>
      </w:r>
    </w:p>
    <w:p>
      <w:pPr>
        <w:pStyle w:val="Normal"/>
        <w:rPr/>
      </w:pPr>
      <w:r>
        <w:rPr/>
      </w:r>
    </w:p>
    <w:p>
      <w:pPr>
        <w:pStyle w:val="Normal"/>
        <w:ind w:firstLine="720" w:end="0"/>
        <w:jc w:val="both"/>
        <w:rPr/>
      </w:pPr>
      <w:r>
        <w:rPr/>
        <w:t>3.8.3</w:t>
        <w:tab/>
      </w:r>
      <w:r>
        <w:rPr>
          <w:u w:val="single"/>
        </w:rPr>
        <w:t>Construction Agent Actions</w:t>
      </w:r>
      <w:r>
        <w:rPr/>
        <w:t>.  Whenever Contractor has not complied with its obligations set forth in Section 3.8.1 or 3.8.2, thereby creating an emergency requiring immediate action, then Construction Agent may take reasonable precautions in accordance with GIP to deal with such emergency, but the taking of such action by Construction Agent, or Construction Agent’s failure to do so, shall not limit Contractor’s liability or its obligations under this Contract.  Contractor shall reimburse Construction Agent for the reasonable costs incurred by Construction Agent in taking any such precautions.</w:t>
      </w:r>
    </w:p>
    <w:p>
      <w:pPr>
        <w:pStyle w:val="Heading2"/>
        <w:ind w:hanging="0" w:start="0"/>
        <w:rPr/>
      </w:pPr>
      <w:bookmarkStart w:id="21" w:name="__RefHeading___Toc496435123"/>
      <w:bookmarkEnd w:id="21"/>
      <w:r>
        <w:rPr/>
        <w:t>Section 3.9</w:t>
        <w:tab/>
        <w:t>Financing Assistance.</w:t>
      </w:r>
    </w:p>
    <w:p>
      <w:pPr>
        <w:pStyle w:val="Normal"/>
        <w:jc w:val="both"/>
        <w:rPr/>
      </w:pPr>
      <w:r>
        <w:rPr/>
        <w:t>Contractor shall make available to Construction Agent, Owner and Lender (and any independent engineer or other consultants retained by Lender) non</w:t>
        <w:noBreakHyphen/>
        <w:t>proprietary, non-privileged information relating to the status of the Work, including information relating to the design, procurement, engineering, construction, start-up, commissioning and testing of the Facility, and such other matters as Construction Agent or Owner may reasonably request.  In connection with Financial Close, Contractor shall execute and deliver such usual and customary financial closing documentation including consents to assignment, certifications and representations and opinions of counsel, addressed to Construction Agent, Owner and Lender, as may be reasonably requested by Construction Agent, Owner or Lender.</w:t>
      </w:r>
    </w:p>
    <w:p>
      <w:pPr>
        <w:pStyle w:val="Heading2"/>
        <w:ind w:hanging="0" w:start="0"/>
        <w:rPr/>
      </w:pPr>
      <w:bookmarkStart w:id="22" w:name="__RefHeading___Toc496435124"/>
      <w:bookmarkEnd w:id="22"/>
      <w:r>
        <w:rPr/>
        <w:t>Section 3.10</w:t>
        <w:tab/>
        <w:t>Compliance with Applicable Laws.</w:t>
      </w:r>
    </w:p>
    <w:p>
      <w:pPr>
        <w:pStyle w:val="Normal"/>
        <w:ind w:firstLine="720" w:end="0"/>
        <w:jc w:val="both"/>
        <w:rPr/>
      </w:pPr>
      <w:r>
        <w:rPr/>
        <w:t>3.10.1</w:t>
        <w:tab/>
      </w:r>
      <w:r>
        <w:rPr>
          <w:u w:val="single"/>
        </w:rPr>
        <w:t>Compliance and Indemnity</w:t>
      </w:r>
      <w:r>
        <w:rPr/>
        <w:t>.  Subject to the other provisions of this Section 3.10.1, (i) in the performance of this Contract and all Work hereunder, Contractor shall comply with all Laws and Governmental Authorizations applicable to the Work, and (ii) indemnify, defend and hold harmless Owner Indemnitees from and against any and all fines, penalties, related costs and expenses, including reasonable legal expenses and costs, attributable to any failure of Contractor or any Subcontractor to comply with such applicable Laws and Governmental Authorization in connection with the performance of the Work.</w:t>
      </w:r>
    </w:p>
    <w:p>
      <w:pPr>
        <w:pStyle w:val="Normal"/>
        <w:rPr/>
      </w:pPr>
      <w:r>
        <w:rPr/>
      </w:r>
    </w:p>
    <w:p>
      <w:pPr>
        <w:pStyle w:val="Normal"/>
        <w:ind w:firstLine="720" w:end="0"/>
        <w:jc w:val="both"/>
        <w:rPr/>
      </w:pPr>
      <w:r>
        <w:rPr/>
        <w:t>3.10.2</w:t>
        <w:tab/>
      </w:r>
      <w:r>
        <w:rPr>
          <w:u w:val="single"/>
        </w:rPr>
        <w:t>Changes in Law; Changes in Tax</w:t>
      </w:r>
      <w:r>
        <w:rPr/>
        <w:t>.  If and to the extent that any Change in Law or Change in Tax gives rise to a</w:t>
      </w:r>
      <w:r>
        <w:rPr>
          <w:b/>
        </w:rPr>
        <w:t xml:space="preserve"> </w:t>
      </w:r>
      <w:r>
        <w:rPr/>
        <w:t xml:space="preserve">requirement for a Change or if Contractor otherwise incurs any increased cost due to Change in Law or Change in Tax, Contractor shall be entitled, in accordance with Article 6, to a Change Order to recover any direct costs reasonably incurred in mitigation or as a consequence of any such Change in Law or Change in Tax and to evidence other appropriate Changes in respect of any such Change in Law or Change in Tax; </w:t>
      </w:r>
      <w:r>
        <w:rPr>
          <w:u w:val="single"/>
        </w:rPr>
        <w:t>provided</w:t>
      </w:r>
      <w:r>
        <w:rPr/>
        <w:t xml:space="preserve">, </w:t>
      </w:r>
      <w:r>
        <w:rPr>
          <w:u w:val="single"/>
        </w:rPr>
        <w:t>however</w:t>
      </w:r>
      <w:r>
        <w:rPr/>
        <w:t>, that no such Change Order shall be in duplication of any Change afforded Contractor for a Change in Law pursuant to Section 17.4 (Force Majeure).  Each Party shall notify the other as soon as it becomes aware of any Change in Law or Change in Tax, and shall provide such other party with such further information with respect thereto as such other party may reasonably request.</w:t>
      </w:r>
    </w:p>
    <w:p>
      <w:pPr>
        <w:pStyle w:val="Heading2"/>
        <w:ind w:hanging="0" w:start="0"/>
        <w:rPr/>
      </w:pPr>
      <w:bookmarkStart w:id="23" w:name="__RefHeading___Toc496435125"/>
      <w:bookmarkEnd w:id="23"/>
      <w:r>
        <w:rPr/>
        <w:t>Section 3.11</w:t>
        <w:tab/>
        <w:t>Books and Records.</w:t>
      </w:r>
    </w:p>
    <w:p>
      <w:pPr>
        <w:pStyle w:val="Normal"/>
        <w:jc w:val="both"/>
        <w:rPr/>
      </w:pPr>
      <w:r>
        <w:rPr/>
        <w:t>Contractor shall keep and shall cause its Subcontractors to keep such books, records and accounts as may be necessary for compliance with Contractor’s obligations under this Contract until the expiration of all obligations pursuant to Section 22.5.13.  Construction Agent shall have the right, using an internationally recognized accounting firm, to audit Contractor's and Subcontractors' records (a) with respect to the Reimbursable Costs and Reimbursable Scope of Work, and any adjustment to the Fixed Costs in accordance with Section 7.1.1(b) hereof, (b) in the event of termination or cancellation under Article 16, or (c) to verify costs in connection with a Change Order priced on a cost plus basis.  Construction Agent shall have no right to audit Contractor's cost of performing the Fixed Scope of Work, except as provided in this Section 3.11.</w:t>
      </w:r>
    </w:p>
    <w:p>
      <w:pPr>
        <w:pStyle w:val="Heading2"/>
        <w:ind w:hanging="0" w:start="0"/>
        <w:rPr/>
      </w:pPr>
      <w:bookmarkStart w:id="24" w:name="__RefHeading___Toc496435126"/>
      <w:bookmarkEnd w:id="24"/>
      <w:r>
        <w:rPr/>
        <w:t>Section 3.12</w:t>
        <w:tab/>
        <w:t>Taxes and Fees.</w:t>
      </w:r>
    </w:p>
    <w:p>
      <w:pPr>
        <w:pStyle w:val="Normal"/>
        <w:widowControl w:val="false"/>
        <w:ind w:firstLine="720" w:end="0"/>
        <w:jc w:val="both"/>
        <w:rPr/>
      </w:pPr>
      <w:r>
        <w:rPr/>
        <w:t>3.12.1</w:t>
        <w:tab/>
        <w:t>Contractor shall be responsible for, and the Contract Price includes, the following Taxes ("</w:t>
      </w:r>
      <w:r>
        <w:rPr>
          <w:u w:val="single"/>
        </w:rPr>
        <w:t>Contractor Applicable Taxes</w:t>
      </w:r>
      <w:r>
        <w:rPr/>
        <w:t>"): (a) corporate income taxes imposed on Contractor, (b) Taxes on Contractor’s employees and personnel, (c) non-Brazilian Taxes arising out of the performance of the Work and (d) Taxes on Contractor’s Equipment.</w:t>
      </w:r>
    </w:p>
    <w:p>
      <w:pPr>
        <w:pStyle w:val="Normal"/>
        <w:rPr/>
      </w:pPr>
      <w:r>
        <w:rPr/>
      </w:r>
    </w:p>
    <w:p>
      <w:pPr>
        <w:pStyle w:val="Normal"/>
        <w:ind w:firstLine="720" w:end="0"/>
        <w:jc w:val="both"/>
        <w:rPr/>
      </w:pPr>
      <w:r>
        <w:rPr/>
        <w:t>3.12.2</w:t>
        <w:tab/>
        <w:t>If Contractor fails to pay when due any Contractor Applicable Taxes and Contractor’s failure to pay such Taxes may reasonably be expected to result in an economic loss for Construction Agent  or Owner, then, unless Contractor has filed a written protest regarding the application of such Taxes with the relevant Governmental Authority, Construction Agent or Owner, upon 10 days’ notice from Construction Agent or Owner to Contractor (or such shorter period as is necessary to preclude any action by any Governmental Authority which may result in economic loss for Construction Agent or Owner), may pay such Taxes and shall be immediately entitled to recover from Contractor the amount paid together with all expenses incurred in connection therewith or to set off all such amounts against any amount owed by Owner to Contractor.</w:t>
      </w:r>
    </w:p>
    <w:p>
      <w:pPr>
        <w:pStyle w:val="Normal"/>
        <w:rPr>
          <w:iCs/>
        </w:rPr>
      </w:pPr>
      <w:r>
        <w:rPr>
          <w:iCs/>
        </w:rPr>
      </w:r>
    </w:p>
    <w:p>
      <w:pPr>
        <w:pStyle w:val="Normal"/>
        <w:ind w:firstLine="720" w:end="0"/>
        <w:jc w:val="both"/>
        <w:rPr>
          <w:iCs/>
        </w:rPr>
      </w:pPr>
      <w:r>
        <w:rPr>
          <w:iCs/>
        </w:rPr>
        <w:t>3.12.3</w:t>
        <w:tab/>
        <w:t>Within a reasonable period of time after a request therefore, Contractor shall, subject to the provisions of Article 20, provide Construction Agent or Owner with any information and/or documentation regarding quantities, descriptions and costs of Equipment imported for and/or installed at the Facility that any Governmental Authority may require in connection with Taxes for which Construction Agent or Owner is responsible under this Contract in sufficient detail and in such a format as Construction Agent or Owner may reasonably request.  Contractor shall provide engineering assistance to Construction Agent or Owner in connection with the timely filing of the Grupo Eletrogenio Consultant Procedure.</w:t>
      </w:r>
    </w:p>
    <w:p>
      <w:pPr>
        <w:pStyle w:val="Heading2"/>
        <w:ind w:hanging="0" w:start="0"/>
        <w:rPr/>
      </w:pPr>
      <w:bookmarkStart w:id="25" w:name="__RefHeading___Toc496435127"/>
      <w:bookmarkEnd w:id="25"/>
      <w:r>
        <w:rPr/>
        <w:t>Section 3.13</w:t>
        <w:tab/>
        <w:t>Access and Inspections; Correction of Defects.</w:t>
      </w:r>
    </w:p>
    <w:p>
      <w:pPr>
        <w:pStyle w:val="Normal"/>
        <w:ind w:firstLine="720" w:end="0"/>
        <w:jc w:val="both"/>
        <w:rPr/>
      </w:pPr>
      <w:r>
        <w:rPr/>
        <w:t>3.13.1</w:t>
        <w:tab/>
      </w:r>
      <w:r>
        <w:rPr>
          <w:u w:val="single"/>
        </w:rPr>
        <w:t>Right to Inspect</w:t>
      </w:r>
      <w:r>
        <w:rPr/>
        <w:t>.   Construction Agent and its authorized representatives, including any Lender or a representative of any Lender, shall at all times have the unrestricted right to (a) maintain a presence at the Site and (b)  have unrestricted access at all reasonable times to any place where Work is being performed by Contractor or any Subcontractor to observe the Work, and Contractor shall make arrangements and provide for such access.  All such Persons shall have the right to be present during any aspect of the designing, engineering, procuring, construction, start-up, commissioning and testing of the Facility or any part thereof, and shall, by way of example and not limitation, have access to all test procedures, quality control reports and test reports and data, including all adjustment, installation and alignment data for the Equipment.  In order to allow Construction Agent and its authorized representatives to be present at the checkout and testing of any Holdpoint equipment or system, Contractor shall give Construction Agent not less than 24 hours advance notice of each Holdpoint system or equipment check-out or testing on Site and not less than five days advance notice of each Holdpoint system or equipment check-out or testing off Site.  Following the expiration of such notice period, Contractor may proceed with such Holdpoint check-out or testing whether or not Owner and its authorized representatives are present therefore.</w:t>
      </w:r>
    </w:p>
    <w:p>
      <w:pPr>
        <w:pStyle w:val="Normal"/>
        <w:rPr/>
      </w:pPr>
      <w:r>
        <w:rPr/>
      </w:r>
    </w:p>
    <w:p>
      <w:pPr>
        <w:pStyle w:val="Normal"/>
        <w:ind w:firstLine="720" w:end="0"/>
        <w:jc w:val="both"/>
        <w:rPr/>
      </w:pPr>
      <w:r>
        <w:rPr/>
        <w:t>3.13.2</w:t>
        <w:tab/>
      </w:r>
      <w:r>
        <w:rPr>
          <w:u w:val="single"/>
        </w:rPr>
        <w:t>Correction of Defects</w:t>
      </w:r>
      <w:r>
        <w:rPr/>
        <w:t>.  Before Substantial Completion, Contractor shall, at its sole cost and expense, promptly correct any part of the Work that is defective or is otherwise not in accordance with this Contract, regardless of the stage of its completion or the time or place of discovery of such errors and regardless of whether Construction Agent has previously reviewed or inspected or otherwise accepted such part of the Work in any way.  In the event that any part of the Work is discovered to be in a defective condition or not conforming to this Contract after Substantial Completion, correction of such defective condition shall be governed by Article 12 (Warranty).</w:t>
      </w:r>
    </w:p>
    <w:p>
      <w:pPr>
        <w:pStyle w:val="Normal"/>
        <w:rPr/>
      </w:pPr>
      <w:r>
        <w:rPr/>
      </w:r>
    </w:p>
    <w:p>
      <w:pPr>
        <w:pStyle w:val="Normal"/>
        <w:ind w:firstLine="720" w:end="0"/>
        <w:jc w:val="both"/>
        <w:rPr/>
      </w:pPr>
      <w:r>
        <w:rPr/>
        <w:t>3.13.3</w:t>
        <w:tab/>
      </w:r>
      <w:r>
        <w:rPr>
          <w:u w:val="single"/>
        </w:rPr>
        <w:t>Tear-Out</w:t>
      </w:r>
      <w:r>
        <w:rPr/>
        <w:t>.  Before Substantial Completion, Construction Agent may request Contractor to tear out Work to expose previously covered Work.  In the event Owner requests Contractor to tear out Work to permit Construction Agent to inspect previously covered Work identified as a Holdpoint and (a) such Work has been identified as a Holdpoint and such tear-out is required as a result of Contractor’s failure to notify Construction Agent as required by Section 3.13.1 that the Work to be torn out was ready for Construction Agent inspection or (b) such Work inspected is defective, then Contractor shall bear the cost of such tear-out, repair and replacement.  Except in the case of (a) and (b) in the immediately preceding sentence, Contractor shall be entitled to a Change Order in accordance with Article 6 for any delay or cost resulting from Contractor's compliance with the requirements of this Section 3.13.3.</w:t>
      </w:r>
    </w:p>
    <w:p>
      <w:pPr>
        <w:pStyle w:val="Normal"/>
        <w:rPr/>
      </w:pPr>
      <w:r>
        <w:rPr/>
      </w:r>
    </w:p>
    <w:p>
      <w:pPr>
        <w:pStyle w:val="Normal"/>
        <w:ind w:firstLine="720" w:end="0"/>
        <w:jc w:val="both"/>
        <w:rPr/>
      </w:pPr>
      <w:r>
        <w:rPr>
          <w:iCs/>
        </w:rPr>
        <w:t>3.13.4</w:t>
        <w:tab/>
      </w:r>
      <w:r>
        <w:rPr>
          <w:iCs/>
          <w:u w:val="single"/>
        </w:rPr>
        <w:t>Disclaimer</w:t>
      </w:r>
      <w:r>
        <w:rPr>
          <w:iCs/>
        </w:rPr>
        <w:t xml:space="preserve">.  No inspection or review by </w:t>
      </w:r>
      <w:r>
        <w:rPr/>
        <w:t>Construction Agent</w:t>
      </w:r>
      <w:r>
        <w:rPr>
          <w:iCs/>
        </w:rPr>
        <w:t xml:space="preserve"> or its representatives shall constitute an approval, endorsement or confirmation of any drawing, plan, specification, proposed Subcontractor or Work or an acknowledgment by </w:t>
      </w:r>
      <w:r>
        <w:rPr/>
        <w:t>Construction Agent</w:t>
      </w:r>
      <w:r>
        <w:rPr>
          <w:iCs/>
        </w:rPr>
        <w:t xml:space="preserve"> or such other Person that such drawing, plan, specification, proposed Subcontractor or Work satisfies the requirements of this Contract, nor shall any such inspection or review relieve Contractor of any of its obligations to perform the Work and furnish the Equipment so that the Facility, when complete, satisfies all the requirements of this Contract.</w:t>
      </w:r>
    </w:p>
    <w:p>
      <w:pPr>
        <w:pStyle w:val="Heading2"/>
        <w:ind w:hanging="0" w:start="0"/>
        <w:rPr/>
      </w:pPr>
      <w:bookmarkStart w:id="26" w:name="__RefHeading___Toc496435128"/>
      <w:bookmarkEnd w:id="26"/>
      <w:r>
        <w:rPr/>
        <w:t>Section 3.14</w:t>
        <w:tab/>
        <w:t>Security of the Site; Storage and Related Matters.</w:t>
      </w:r>
    </w:p>
    <w:p>
      <w:pPr>
        <w:pStyle w:val="Normal"/>
        <w:jc w:val="both"/>
        <w:rPr/>
      </w:pPr>
      <w:r>
        <w:rPr/>
        <w:t>Until Substantial Completion of the Facility,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hanging="0" w:start="0"/>
        <w:rPr/>
      </w:pPr>
      <w:bookmarkStart w:id="27" w:name="__RefHeading___Toc496435129"/>
      <w:bookmarkEnd w:id="27"/>
      <w:r>
        <w:rPr/>
        <w:t>Section 3.15</w:t>
        <w:tab/>
        <w:t>Out of Scope Construction; Cooperation.</w:t>
      </w:r>
    </w:p>
    <w:p>
      <w:pPr>
        <w:pStyle w:val="Normal"/>
        <w:jc w:val="both"/>
        <w:rPr/>
      </w:pPr>
      <w:r>
        <w:rPr/>
        <w:t>Contractor acknowledges and accepts that Construction Agent may engage other Persons to perform work or provide services in connection with the Facility that are not part of the Work but may be performed in whole or in part at or adjacent to the Site (the "</w:t>
      </w:r>
      <w:r>
        <w:rPr>
          <w:u w:val="single"/>
        </w:rPr>
        <w:t>Out of Scope Construction</w:t>
      </w:r>
      <w:r>
        <w:rPr/>
        <w:t xml:space="preserve">"). Contractor shall cooperate in good faith and use its reasonable efforts to coordinate performance of the Work with any Person performing Out of Scope Construction </w:t>
      </w:r>
      <w:r>
        <w:rPr>
          <w:u w:val="single"/>
        </w:rPr>
        <w:t>provided</w:t>
      </w:r>
      <w:r>
        <w:rPr/>
        <w:t xml:space="preserve">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Contract.</w:t>
      </w:r>
    </w:p>
    <w:p>
      <w:pPr>
        <w:pStyle w:val="Heading2"/>
        <w:ind w:hanging="0" w:start="0"/>
        <w:rPr/>
      </w:pPr>
      <w:bookmarkStart w:id="28" w:name="__RefHeading___Toc496435130"/>
      <w:bookmarkEnd w:id="28"/>
      <w:r>
        <w:rPr/>
        <w:t>Section 3.16</w:t>
        <w:tab/>
        <w:t>Contractor Liens; Subcontractor Liens.</w:t>
      </w:r>
    </w:p>
    <w:p>
      <w:pPr>
        <w:pStyle w:val="Normal"/>
        <w:jc w:val="both"/>
        <w:rPr/>
      </w:pPr>
      <w:r>
        <w:rPr/>
        <w:tab/>
        <w:t>3.16.1</w:t>
        <w:tab/>
      </w:r>
      <w:r>
        <w:rPr>
          <w:u w:val="single"/>
        </w:rPr>
        <w:t>Creation of Liens.</w:t>
      </w:r>
      <w:r>
        <w:rPr/>
        <w:t xml:space="preserve">  Contractor shall not directly or indirectly create, incur, assume or suffer to be created by it or any Subcontractor, employee, laborer, material man or other supplier of goods or services any right of retention, claim, lien, charge or encumbrance on the Site, the Facility or any part thereof or interest therein (each, a "Contractor Lien") and Contractor shall promptly pay or discharge, and discharge of record, any such Contractor Lien or other charge which, if unpaid, might be or become a Contractor Lien.  Contractor shall immediately notify Construction Agent of the assertion of any Contractor Lien.</w:t>
      </w:r>
    </w:p>
    <w:p>
      <w:pPr>
        <w:pStyle w:val="Normal"/>
        <w:widowControl w:val="false"/>
        <w:rPr/>
      </w:pPr>
      <w:r>
        <w:rPr/>
      </w:r>
    </w:p>
    <w:p>
      <w:pPr>
        <w:pStyle w:val="Normal"/>
        <w:widowControl w:val="false"/>
        <w:ind w:firstLine="720" w:end="0"/>
        <w:jc w:val="both"/>
        <w:rPr/>
      </w:pPr>
      <w:r>
        <w:rPr/>
        <w:t>3.16.2</w:t>
        <w:tab/>
      </w:r>
      <w:r>
        <w:rPr>
          <w:u w:val="single"/>
        </w:rPr>
        <w:t>Indemnity from Liens</w:t>
      </w:r>
      <w:r>
        <w:rPr/>
        <w:t>.  Contractor shall indemnify, defend and protect Owner Indemnitees from and against (a) all Contractor Liens, which indemnity shall survive the termination of this Contract.</w:t>
      </w:r>
    </w:p>
    <w:p>
      <w:pPr>
        <w:pStyle w:val="Normal"/>
        <w:rPr/>
      </w:pPr>
      <w:r>
        <w:rPr/>
      </w:r>
    </w:p>
    <w:p>
      <w:pPr>
        <w:pStyle w:val="Normal"/>
        <w:jc w:val="both"/>
        <w:rPr/>
      </w:pPr>
      <w:r>
        <w:rPr/>
        <w:tab/>
        <w:t>3.16.3</w:t>
        <w:tab/>
      </w:r>
      <w:r>
        <w:rPr>
          <w:u w:val="single"/>
        </w:rPr>
        <w:t>Discharge of Liens</w:t>
      </w:r>
      <w:r>
        <w:rPr/>
        <w:t>.</w:t>
        <w:tab/>
        <w:t>Upon the failure of Contractor to promptly pay, discharge or provide security reasonably acceptable to Construction Agent or Owner for any Contractor Lien within thirty (30) days of notice of the existence thereof from any source, Construction Agent or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Construction Agent or Owner to Contractor.</w:t>
      </w:r>
    </w:p>
    <w:p>
      <w:pPr>
        <w:pStyle w:val="Normal"/>
        <w:rPr/>
      </w:pPr>
      <w:r>
        <w:rPr/>
      </w:r>
    </w:p>
    <w:p>
      <w:pPr>
        <w:pStyle w:val="Normal"/>
        <w:jc w:val="both"/>
        <w:rPr/>
      </w:pPr>
      <w:r>
        <w:rPr/>
        <w:tab/>
        <w:t>3.16.4</w:t>
        <w:tab/>
      </w:r>
      <w:r>
        <w:rPr>
          <w:u w:val="single"/>
        </w:rPr>
        <w:t>No Waiver of Contractor Rights</w:t>
      </w:r>
      <w:r>
        <w:rPr/>
        <w:t xml:space="preserve">.   Nothing in this Section 3.16 shall be construed as a limitation on or waiver by Contractor of any right to encumber the Facility or the Site as security for any undisputed past due payments owed to it by Construction Agent hereunder; </w:t>
      </w:r>
      <w:r>
        <w:rPr>
          <w:u w:val="single"/>
        </w:rPr>
        <w:t>provided,</w:t>
      </w:r>
      <w:r>
        <w:rPr/>
        <w:t xml:space="preserve"> that Contractor may only exercise such right after providing Construction Agent with 30 days’ prior written notice of its intent to encumber the Facility or the Site and </w:t>
      </w:r>
      <w:r>
        <w:rPr>
          <w:u w:val="single"/>
        </w:rPr>
        <w:t>provided</w:t>
      </w:r>
      <w:r>
        <w:rPr/>
        <w:t xml:space="preserve"> </w:t>
      </w:r>
      <w:r>
        <w:rPr>
          <w:u w:val="single"/>
        </w:rPr>
        <w:t>further</w:t>
      </w:r>
      <w:r>
        <w:rPr/>
        <w:t>, that Construction Agent (or Owner or Lender on behalf of Construction Agent) shall not have made such payment or provided a letter of credit or other undertaking reasonably acceptable to Contractor to secure such payment within such 30 day period.</w:t>
      </w:r>
    </w:p>
    <w:p>
      <w:pPr>
        <w:pStyle w:val="Heading2"/>
        <w:ind w:hanging="0" w:start="0"/>
        <w:rPr/>
      </w:pPr>
      <w:bookmarkStart w:id="29" w:name="__RefHeading___Toc496435131"/>
      <w:bookmarkEnd w:id="29"/>
      <w:r>
        <w:rPr/>
        <w:t>Section 3.17</w:t>
        <w:tab/>
        <w:t>Hazardous Substances, Archaeological Discoveries and Ground Risk.</w:t>
      </w:r>
    </w:p>
    <w:p>
      <w:pPr>
        <w:pStyle w:val="Normal"/>
        <w:ind w:firstLine="720" w:end="0"/>
        <w:jc w:val="both"/>
        <w:rPr/>
      </w:pPr>
      <w:r>
        <w:rPr/>
        <w:t>3.17.1</w:t>
        <w:tab/>
      </w:r>
      <w:r>
        <w:rPr>
          <w:u w:val="single"/>
        </w:rPr>
        <w:t>Hazardous Substances of Construction Agent or Owner, Archaeological Finds</w:t>
      </w:r>
      <w:r>
        <w:rPr/>
        <w:t xml:space="preserve">.  Upon the discovery of any Hazardous Substances on the Site that were not brought onto the Site by a Contractor Indemnitee during construction activities, including any Hazardous Substances that were existing on the Site at or before the NTP Effective Date, or upon the discovery of any article of value or antiquity or of archaeological or geotechnical interest, or any endangered animal or plant species, Contractor shall (a) promptly cease work in the affected area and direct its workers and Subcontractors not to remove or further disturb any such substances, articles or species, (b) promptly notify Construction Agent of such discovery, (c) use all reasonable efforts to mitigate the effects of any such discovery upon other areas of the Site, any Person and the performance of the remainder of the Work or species, and (d) follow any and all directions of Construction Agent or its representatives with respect to such discoveries; </w:t>
      </w:r>
      <w:r>
        <w:rPr>
          <w:u w:val="single"/>
        </w:rPr>
        <w:t>provided</w:t>
      </w:r>
      <w:r>
        <w:rPr/>
        <w:t xml:space="preserve">, </w:t>
      </w:r>
      <w:r>
        <w:rPr>
          <w:u w:val="single"/>
        </w:rPr>
        <w:t>however</w:t>
      </w:r>
      <w:r>
        <w:rPr/>
        <w:t>, that Contractor shall not under any circumstances be instructed or required to remediate any such existing Hazardous Substances and the provisions of Section 6.2.4(d) and Section 6.2.5 shall not apply with respect thereto.  Construction Agent or Owner shall be responsible for the removal from the Site, or for otherwise making the Site safe in accordance with Brazilian Laws applicable thereto, with respect to any such Hazardous Substances.  Contractor shall be entitled, in accordance with Article 6, to a Change Order to recover additional costs reasonably incurred, schedule delays resulting from, and to other appropriate Changes in respect of any the effects of any such substances, articles or species and Contractor’s compliance with its obligations under this Section 3.17.1 and/or Construction Agent’s directions with</w:t>
      </w:r>
      <w:r>
        <w:rPr>
          <w:b/>
        </w:rPr>
        <w:t xml:space="preserve"> </w:t>
      </w:r>
      <w:r>
        <w:rPr/>
        <w:t>respect to such discovery, in each case other than as a result of Contractor’s breach of its obligations under this Section 3.17.1.  Any such article of value or archaeological or geotechnical interest shall, as between Owner and Contractor, be deemed the property of Owner.</w:t>
      </w:r>
    </w:p>
    <w:p>
      <w:pPr>
        <w:pStyle w:val="Normal"/>
        <w:rPr/>
      </w:pPr>
      <w:r>
        <w:rPr/>
      </w:r>
    </w:p>
    <w:p>
      <w:pPr>
        <w:pStyle w:val="Normal"/>
        <w:ind w:firstLine="720" w:end="0"/>
        <w:jc w:val="both"/>
        <w:rPr/>
      </w:pPr>
      <w:r>
        <w:rPr/>
        <w:t>3.17.2</w:t>
        <w:tab/>
      </w:r>
      <w:r>
        <w:rPr>
          <w:u w:val="single"/>
        </w:rPr>
        <w:t>Hazardous Substances of Contractor</w:t>
      </w:r>
      <w:r>
        <w:rPr/>
        <w:t>.  Contractor shall be responsible for the removal from the Site, or for otherwise making the Site safe in accordance with applicable Laws with respect to, any Hazardous Substances brought onto the Site by any Contractor Indemnitee during construction activities at the Site.  Construction Agent shall notify the Contractor immediately upon the discovery of any such materials and shall provide such assistance as may be reasonably requested by the Contractor to facilitate the measures to be implemented by the Contractor pursuant to this Section 3.17.2.  Prior to any introduction to the Site of any Hazardous Materials by any Contractor Indemnitee, Contractor shall notify Construction Agent, and shall at all times follow proper procedures with respect to the introduction, use and disposal of such Hazardous Materials at the Site.  Contractor shall at all times be liable for the proper introduction, use and disposal of any Hazardous Materials introduced to the Site by any Contractor Indemnitee.</w:t>
      </w:r>
    </w:p>
    <w:p>
      <w:pPr>
        <w:pStyle w:val="Normal"/>
        <w:ind w:firstLine="720" w:end="0"/>
        <w:jc w:val="both"/>
        <w:rPr/>
      </w:pPr>
      <w:r>
        <w:rPr/>
      </w:r>
    </w:p>
    <w:p>
      <w:pPr>
        <w:pStyle w:val="Normal"/>
        <w:ind w:firstLine="720" w:end="0"/>
        <w:jc w:val="both"/>
        <w:rPr/>
      </w:pPr>
      <w:r>
        <w:rPr/>
        <w:t>3.17.3</w:t>
        <w:tab/>
      </w:r>
      <w:r>
        <w:rPr>
          <w:u w:val="single"/>
        </w:rPr>
        <w:t>Manmade Obstructions</w:t>
      </w:r>
      <w:r>
        <w:rPr/>
        <w:t>.  Upon the discovery at the Site of manmade underground obstructions (other than the two concrete cisterns identified to and known by Contractor prior to the NTP Effective Date) which result in increased cost or time for completion of the Facility, Contractor shall be entitled to a Change Order, pursuant to and in accordance with Article 6, to the extent such manmade underground obstructions result in increased cost or time for completion of the Facility.</w:t>
      </w:r>
    </w:p>
    <w:p>
      <w:pPr>
        <w:pStyle w:val="Normal"/>
        <w:ind w:firstLine="720" w:end="0"/>
        <w:jc w:val="both"/>
        <w:rPr/>
      </w:pPr>
      <w:r>
        <w:rPr/>
      </w:r>
    </w:p>
    <w:p>
      <w:pPr>
        <w:pStyle w:val="Normal"/>
        <w:ind w:firstLine="720" w:end="0"/>
        <w:jc w:val="both"/>
        <w:rPr/>
      </w:pPr>
      <w:r>
        <w:rPr/>
        <w:t>3.17.4</w:t>
        <w:tab/>
      </w:r>
      <w:r>
        <w:rPr>
          <w:u w:val="single"/>
        </w:rPr>
        <w:t>Other Site Conditions</w:t>
      </w:r>
      <w:r>
        <w:rPr/>
        <w:t xml:space="preserve">.  Except as specifically provided in Sections 3.17.1, 3.17.2  and 3.17.3, Contractor shall bear the risk that any Site conditions, including geological or geotechnical conditions, require any modification to the Specifications, the Scope of Work, the Facility, or the Project Schedule, or increase Contractor's cost of performance of the Work; </w:t>
      </w:r>
      <w:r>
        <w:rPr>
          <w:u w:val="single"/>
        </w:rPr>
        <w:t>provided</w:t>
      </w:r>
      <w:r>
        <w:rPr/>
        <w:t xml:space="preserve">, </w:t>
      </w:r>
      <w:r>
        <w:rPr>
          <w:u w:val="single"/>
        </w:rPr>
        <w:t>however</w:t>
      </w:r>
      <w:r>
        <w:rPr/>
        <w:t>, that in the event the results of the Hydrology Study require any flood protection measures other than normal and customary site storm water runoff grading, Contractor shall be entitled to a Change Order in accordance with Article 6 to the extent such measures result in increased cost or time to complete the Facility.</w:t>
      </w:r>
    </w:p>
    <w:p>
      <w:pPr>
        <w:pStyle w:val="Heading2"/>
        <w:ind w:hanging="0" w:start="0"/>
        <w:rPr/>
      </w:pPr>
      <w:bookmarkStart w:id="30" w:name="__RefHeading___Toc496435132"/>
      <w:bookmarkEnd w:id="30"/>
      <w:r>
        <w:rPr/>
        <w:t>Section 3.18</w:t>
        <w:tab/>
        <w:t>PPA Requirements.</w:t>
      </w:r>
    </w:p>
    <w:p>
      <w:pPr>
        <w:pStyle w:val="Normal"/>
        <w:widowControl w:val="false"/>
        <w:jc w:val="both"/>
        <w:rPr/>
      </w:pPr>
      <w:r>
        <w:rPr/>
        <w:t xml:space="preserve">Except as specifically provided in </w:t>
      </w:r>
      <w:r>
        <w:rPr>
          <w:u w:val="single"/>
        </w:rPr>
        <w:t>Exhibit "B-2"</w:t>
      </w:r>
      <w:r>
        <w:rPr/>
        <w:t xml:space="preserve">, Contractor shall perform its obligations hereunder so as to ensure that the Facility is constructed in a manner that complies with the technical specifications of the PPA that are set forth in </w:t>
      </w:r>
      <w:r>
        <w:rPr>
          <w:u w:val="single"/>
        </w:rPr>
        <w:t>Exhibit "Q"</w:t>
      </w:r>
      <w:r>
        <w:rPr/>
        <w:t>.</w:t>
      </w:r>
    </w:p>
    <w:p>
      <w:pPr>
        <w:pStyle w:val="Heading2"/>
        <w:ind w:hanging="0" w:start="0"/>
        <w:rPr/>
      </w:pPr>
      <w:bookmarkStart w:id="31" w:name="__RefHeading___Toc496435133"/>
      <w:bookmarkEnd w:id="31"/>
      <w:r>
        <w:rPr/>
        <w:t>Section 3.19</w:t>
        <w:tab/>
        <w:t>Notice Obligation.</w:t>
      </w:r>
    </w:p>
    <w:p>
      <w:pPr>
        <w:pStyle w:val="Normal"/>
        <w:widowControl w:val="false"/>
        <w:jc w:val="both"/>
        <w:rPr/>
      </w:pPr>
      <w:r>
        <w:rPr/>
        <w:t>Contractor shall give timely notice to Construction Agent of any event or circumstance of which Contractor has knowledge that constitutes Construction Agent Delay, Change in Law, or Force Majeure affecting Contractor’s ability to perform its obligations under this Contract.</w:t>
      </w:r>
    </w:p>
    <w:p>
      <w:pPr>
        <w:pStyle w:val="Heading2"/>
        <w:ind w:hanging="0" w:start="0"/>
        <w:rPr/>
      </w:pPr>
      <w:bookmarkStart w:id="32" w:name="__RefHeading___Toc496435134"/>
      <w:bookmarkEnd w:id="32"/>
      <w:r>
        <w:rPr/>
        <w:t>Section 3.20</w:t>
        <w:tab/>
        <w:t>Traffic and Special Loads.</w:t>
      </w:r>
    </w:p>
    <w:p>
      <w:pPr>
        <w:pStyle w:val="Normal"/>
        <w:jc w:val="both"/>
        <w:rPr/>
      </w:pPr>
      <w:r>
        <w:rPr/>
        <w:t>Contractor shall carry out the Work so as not to interfere unnecessarily or improperly with access to and use of public roads.  Contractor shall liaise with, and ascertain the requirements of, all Governmental Authorities in relation to vehicular access to the Site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Construction Agent and Owner for any loss suffered by Construction Agent or Owner by reason of any damage to any public highway or bridge to the extent that such damage was caused by any traffic of Contractor or any Subcontractor during performance of the obligations of Contractor under this Contract.</w:t>
      </w:r>
    </w:p>
    <w:p>
      <w:pPr>
        <w:pStyle w:val="Heading2"/>
        <w:ind w:hanging="0" w:start="0"/>
        <w:rPr/>
      </w:pPr>
      <w:bookmarkStart w:id="33" w:name="__RefHeading___Toc496435135"/>
      <w:bookmarkEnd w:id="33"/>
      <w:r>
        <w:rPr/>
        <w:t>Section 3.21</w:t>
        <w:tab/>
        <w:t>Waterborne Traffic.</w:t>
      </w:r>
    </w:p>
    <w:p>
      <w:pPr>
        <w:pStyle w:val="Normal"/>
        <w:jc w:val="both"/>
        <w:rPr/>
      </w:pPr>
      <w:r>
        <w:rPr/>
        <w:t xml:space="preserve">Where the nature of the Work is such as to require the use by Contractor of waterborne transport, the provisions of Section 3.20 shall apply </w:t>
      </w:r>
      <w:r>
        <w:rPr>
          <w:i/>
        </w:rPr>
        <w:t>mutatis mutandis</w:t>
      </w:r>
      <w:r>
        <w:rPr/>
        <w:t xml:space="preserve"> and be construed as though the terms "road", "bridge" and "highway" include each lock, dock, terminal, sea wall or other structure related to a waterway and the term "vehicle" includes watercraft and shall have effect accordingly.</w:t>
      </w:r>
    </w:p>
    <w:p>
      <w:pPr>
        <w:pStyle w:val="Heading2"/>
        <w:ind w:hanging="0" w:start="0"/>
        <w:rPr/>
      </w:pPr>
      <w:bookmarkStart w:id="34" w:name="__RefHeading___Toc496435136"/>
      <w:r>
        <w:rPr/>
        <w:t>Section 3.22</w:t>
        <w:tab/>
      </w:r>
      <w:r>
        <w:rPr>
          <w:lang w:val="en-CA"/>
        </w:rPr>
      </w:r>
      <w:r>
        <w:rPr>
          <w:color w:val="000000"/>
        </w:rPr>
        <w:t>Cooperation.</w:t>
      </w:r>
      <w:bookmarkEnd w:id="34"/>
      <w:r>
        <w:rPr>
          <w:color w:val="000000"/>
        </w:rPr>
        <w:tab/>
      </w:r>
    </w:p>
    <w:p>
      <w:pPr>
        <w:pStyle w:val="Normaltext"/>
        <w:jc w:val="both"/>
        <w:rPr/>
      </w:pPr>
      <w:r>
        <w:rPr/>
        <w:t xml:space="preserve">Contractor shall cooperate with Construction Agent, Owner, Construction Agent 's Representative, and Lenders, and any authorized representative thereof, including but not limited to any independent engineer, in all matters affecting the performance of the Work and any obligation under this Contract by any party hereto, including in connection with the financing, engineering, procurement and importation of Equipment, and construction, inspection, start-up, commissioning and testing of the Facility.  To the extent Owner is required to deliver notices, reports or information to any Governmental Authority in connection with the development, construction or operation of the Facility, Contractor shall provide such information to Owner in form and substance responsive to and suitable for delivery to such Governmental Authority; </w:t>
      </w:r>
      <w:r>
        <w:rPr>
          <w:u w:val="single"/>
        </w:rPr>
        <w:t>provided</w:t>
      </w:r>
      <w:r>
        <w:rPr/>
        <w:t xml:space="preserve">, </w:t>
      </w:r>
      <w:r>
        <w:rPr>
          <w:u w:val="single"/>
        </w:rPr>
        <w:t>however</w:t>
      </w:r>
      <w:r>
        <w:rPr/>
        <w:t>, that Contractor shall be entitled to compensation in accordance with Article 6 for any extraordinary cooperation efforts and the provision of any information materially outside its normal course of construction.</w:t>
      </w:r>
    </w:p>
    <w:p>
      <w:pPr>
        <w:pStyle w:val="Heading2"/>
        <w:ind w:hanging="0" w:start="0"/>
        <w:rPr/>
      </w:pPr>
      <w:bookmarkStart w:id="35" w:name="__RefHeading___Toc496435137"/>
      <w:bookmarkEnd w:id="35"/>
      <w:r>
        <w:rPr/>
        <w:t>Section 3.23</w:t>
        <w:tab/>
        <w:t>Procurement of Equipment; Local Content.</w:t>
      </w:r>
    </w:p>
    <w:p>
      <w:pPr>
        <w:pStyle w:val="Normal"/>
        <w:jc w:val="both"/>
        <w:rPr/>
      </w:pPr>
      <w:r>
        <w:rPr>
          <w:color w:val="000000"/>
          <w:szCs w:val="24"/>
        </w:rPr>
        <w:t xml:space="preserve">Contractor shall make reasonable efforts to coordinate procurement of Equipment within the constraints of Construction Agent's or Owner's financing plan, </w:t>
      </w:r>
      <w:r>
        <w:rPr>
          <w:color w:val="000000"/>
          <w:szCs w:val="24"/>
          <w:u w:val="single"/>
        </w:rPr>
        <w:t>provided</w:t>
      </w:r>
      <w:r>
        <w:rPr>
          <w:color w:val="000000"/>
          <w:szCs w:val="24"/>
        </w:rPr>
        <w:t xml:space="preserve"> that in the event such compliance causes an increase in the cost of or time required to complete the Facility, Contractor shall be entitled to a Change Order in accordance with Article 6.  Subject to availability and competitiveness of price, quality and timing of delivery or performance, Contractor shall use its best reasonable efforts to use services provided by Brazilian providers, principally from the state of Rio de Janeiro, to incorporate Brazilian materials and capital goods into the Facility (in strict accordance with the Specifications and Scope of Work) and, to the extent prudently practical in accordance with GIP, to utilize Brazilian labor forces to perform the Work.  </w:t>
      </w:r>
    </w:p>
    <w:p>
      <w:pPr>
        <w:pStyle w:val="Heading2"/>
        <w:ind w:hanging="0" w:start="0"/>
        <w:rPr/>
      </w:pPr>
      <w:bookmarkStart w:id="36" w:name="__RefHeading___Toc496435138"/>
      <w:bookmarkEnd w:id="36"/>
      <w:r>
        <w:rPr/>
        <w:t>Section 3.24</w:t>
        <w:tab/>
        <w:t>Grid Access.</w:t>
      </w:r>
    </w:p>
    <w:p>
      <w:pPr>
        <w:pStyle w:val="Normal"/>
        <w:ind w:firstLine="720" w:end="0"/>
        <w:jc w:val="both"/>
        <w:rPr/>
      </w:pPr>
      <w:r>
        <w:rPr/>
        <w:t>Construction Agent and Contractor shall use reasonable efforts to coordinate Grid access requirements during start up, commissioning and testing of the Facility or any Phase thereof.  Contractor shall provide Construction Agent with sixty (60) days prior written notice of the first date on which Contractor expects to require access to the Grid for start-up, testing and commissioning of each Phase, and thereafter shall provide Construction Agent, in writing, with Contractor's desired schedule for Grid access during start up, testing and commissioning of each Phase.  Contractor shall update such Grid access schedule not less than weekly during start-up, testing and commissioning of any Phase, and shall provide Construction Agent with not less than 48 hours prior written notice of its specific Grid access requirements for any day during start-up, testing and commissioning of any Phase.  Construction Agent shall coordinate Contractor’s requests with Grid dispatch authorities, and shall inform Contractor when Contractor may have access to the Grid in connection with the performance of such activities.  Contractor shall use its reasonable efforts to perform start up, testing and commissioning activities which require Grid access in accordance with available Grid access as communicated by Construction Agent.</w:t>
      </w:r>
    </w:p>
    <w:p>
      <w:pPr>
        <w:pStyle w:val="Normal"/>
        <w:jc w:val="both"/>
        <w:rPr/>
      </w:pPr>
      <w:r>
        <w:rPr/>
      </w:r>
    </w:p>
    <w:p>
      <w:pPr>
        <w:pStyle w:val="Heading1"/>
        <w:ind w:hanging="0" w:start="0"/>
        <w:rPr>
          <w:rStyle w:val="Hidden"/>
        </w:rPr>
      </w:pPr>
      <w:bookmarkStart w:id="37" w:name="__RefHeading___Toc496435139"/>
      <w:bookmarkEnd w:id="37"/>
      <w:r>
        <w:rPr/>
        <w:t>ARTICLE IV</w:t>
      </w:r>
    </w:p>
    <w:p>
      <w:pPr>
        <w:pStyle w:val="Heading1"/>
        <w:ind w:hanging="0" w:start="0"/>
        <w:rPr/>
      </w:pPr>
      <w:bookmarkStart w:id="38" w:name="__RefHeading___Toc496435140"/>
      <w:bookmarkEnd w:id="38"/>
      <w:r>
        <w:rPr/>
        <w:t>CONSTRUCTION AGENT'S AND OWNER’S RESPONSIBILITIES</w:t>
      </w:r>
    </w:p>
    <w:p>
      <w:pPr>
        <w:pStyle w:val="Heading2"/>
        <w:ind w:hanging="0" w:start="0"/>
        <w:rPr/>
      </w:pPr>
      <w:bookmarkStart w:id="39" w:name="__RefHeading___Toc496435141"/>
      <w:bookmarkEnd w:id="39"/>
      <w:r>
        <w:rPr/>
        <w:t>Section 4.1</w:t>
        <w:tab/>
        <w:t>Construction Agent Assistance to Contractor.</w:t>
      </w:r>
    </w:p>
    <w:p>
      <w:pPr>
        <w:pStyle w:val="Normal"/>
        <w:widowControl w:val="false"/>
        <w:jc w:val="both"/>
        <w:rPr/>
      </w:pPr>
      <w:r>
        <w:rPr/>
        <w:t>Construction Agent shall perform its covenants under this Contract, including the specific Construction Agent responsibilities set forth in this Article 4, in a timely manner and so as to cooperate with and assist Contractor in the performance of the Work, including keeping Contractor informed of the status of the development of the Project and the anticipated dates for issuance of the Vendor Engineering Release, the Site Preparation Release and the Notice to Proceed.</w:t>
      </w:r>
    </w:p>
    <w:p>
      <w:pPr>
        <w:pStyle w:val="Heading2"/>
        <w:ind w:hanging="0" w:start="0"/>
        <w:rPr/>
      </w:pPr>
      <w:bookmarkStart w:id="40" w:name="__RefHeading___Toc496435142"/>
      <w:bookmarkEnd w:id="40"/>
      <w:r>
        <w:rPr/>
        <w:t>Section 4.2</w:t>
        <w:tab/>
        <w:t>Construction Agent’s Services.</w:t>
      </w:r>
    </w:p>
    <w:p>
      <w:pPr>
        <w:pStyle w:val="Normal"/>
        <w:widowControl w:val="false"/>
        <w:ind w:firstLine="720" w:end="0"/>
        <w:jc w:val="both"/>
        <w:rPr/>
      </w:pPr>
      <w:r>
        <w:rPr/>
        <w:t>4.2.1</w:t>
        <w:tab/>
        <w:t xml:space="preserve">In addition to its other obligations under this Contract, Construction Agent shall, within the time schedule and to the extent set forth in </w:t>
      </w:r>
      <w:r>
        <w:rPr>
          <w:u w:val="single"/>
        </w:rPr>
        <w:t>Exhibit "L"</w:t>
      </w:r>
      <w:r>
        <w:rPr/>
        <w:t xml:space="preserve">, perform the obligations and provide the facilities, services, consumables and utilities set forth in </w:t>
      </w:r>
      <w:r>
        <w:rPr>
          <w:u w:val="single"/>
        </w:rPr>
        <w:t>Exhibit "L"</w:t>
      </w:r>
      <w:r>
        <w:rPr/>
        <w:t>.</w:t>
      </w:r>
    </w:p>
    <w:p>
      <w:pPr>
        <w:pStyle w:val="Normal"/>
        <w:widowControl w:val="false"/>
        <w:jc w:val="both"/>
        <w:rPr/>
      </w:pPr>
      <w:r>
        <w:rPr/>
      </w:r>
    </w:p>
    <w:p>
      <w:pPr>
        <w:pStyle w:val="Normal"/>
        <w:ind w:firstLine="720" w:end="0"/>
        <w:jc w:val="both"/>
        <w:rPr/>
      </w:pPr>
      <w:r>
        <w:rPr/>
        <w:t>4.2.2</w:t>
        <w:tab/>
        <w:t xml:space="preserve">Construction Agent shall provide, or cause to be provided, to Contractor, on or before each relevant date set forth therefore in the time schedule in </w:t>
      </w:r>
      <w:r>
        <w:rPr>
          <w:u w:val="single"/>
        </w:rPr>
        <w:t>Exhibit "L"</w:t>
      </w:r>
      <w:r>
        <w:rPr/>
        <w:t>, each of the following facilities, services, consumables and utilities for purposes of start-up, commissioning and testing:</w:t>
      </w:r>
    </w:p>
    <w:p>
      <w:pPr>
        <w:pStyle w:val="Normal"/>
        <w:rPr/>
      </w:pPr>
      <w:r>
        <w:rPr/>
      </w:r>
    </w:p>
    <w:p>
      <w:pPr>
        <w:pStyle w:val="Normal"/>
        <w:tabs>
          <w:tab w:val="clear" w:pos="720"/>
          <w:tab w:val="left" w:pos="2160" w:leader="none"/>
        </w:tabs>
        <w:ind w:hanging="720" w:start="2160" w:end="0"/>
        <w:jc w:val="both"/>
        <w:rPr/>
      </w:pPr>
      <w:r>
        <w:rPr/>
        <w:t>(a)</w:t>
        <w:tab/>
        <w:t>a transmission line connection to the Grid, together with off take arrangements for power generated by the Facility during start-up and commissioning activities;</w:t>
      </w:r>
    </w:p>
    <w:p>
      <w:pPr>
        <w:pStyle w:val="Normal"/>
        <w:ind w:hanging="720" w:start="2160" w:end="0"/>
        <w:jc w:val="both"/>
        <w:rPr/>
      </w:pPr>
      <w:r>
        <w:rPr/>
      </w:r>
    </w:p>
    <w:p>
      <w:pPr>
        <w:pStyle w:val="Normal"/>
        <w:tabs>
          <w:tab w:val="clear" w:pos="720"/>
          <w:tab w:val="left" w:pos="2160" w:leader="none"/>
        </w:tabs>
        <w:ind w:hanging="720" w:start="2160" w:end="0"/>
        <w:jc w:val="both"/>
        <w:rPr/>
      </w:pPr>
      <w:r>
        <w:rPr/>
        <w:t>(b)</w:t>
        <w:tab/>
        <w:t>adequate and continuous start-up and commissioning power from the Grid by delivery of the same, or causing the same to be delivered, to the portion of the interconnection facility to be provided by Contractor as part of the Work; and</w:t>
      </w:r>
    </w:p>
    <w:p>
      <w:pPr>
        <w:pStyle w:val="Normal"/>
        <w:ind w:hanging="720" w:start="2160" w:end="0"/>
        <w:jc w:val="both"/>
        <w:rPr/>
      </w:pPr>
      <w:r>
        <w:rPr/>
      </w:r>
    </w:p>
    <w:p>
      <w:pPr>
        <w:pStyle w:val="Normal"/>
        <w:ind w:hanging="720" w:start="2160" w:end="0"/>
        <w:jc w:val="both"/>
        <w:rPr/>
      </w:pPr>
      <w:r>
        <w:rPr/>
      </w:r>
    </w:p>
    <w:p>
      <w:pPr>
        <w:pStyle w:val="Normal"/>
        <w:tabs>
          <w:tab w:val="clear" w:pos="720"/>
          <w:tab w:val="left" w:pos="2160" w:leader="none"/>
        </w:tabs>
        <w:ind w:hanging="720" w:start="2160" w:end="0"/>
        <w:jc w:val="both"/>
        <w:rPr/>
      </w:pPr>
      <w:r>
        <w:rPr/>
        <w:t>(c)</w:t>
        <w:tab/>
        <w:t>all Fuel required by Contractor for start-up, commissioning and testing activities.</w:t>
      </w:r>
    </w:p>
    <w:p>
      <w:pPr>
        <w:pStyle w:val="Normal"/>
        <w:tabs>
          <w:tab w:val="clear" w:pos="720"/>
          <w:tab w:val="left" w:pos="2160" w:leader="none"/>
        </w:tabs>
        <w:ind w:hanging="720" w:start="2160" w:end="0"/>
        <w:jc w:val="both"/>
        <w:rPr/>
      </w:pPr>
      <w:r>
        <w:rPr/>
      </w:r>
    </w:p>
    <w:p>
      <w:pPr>
        <w:pStyle w:val="Normal"/>
        <w:rPr/>
      </w:pPr>
      <w:r>
        <w:rPr/>
      </w:r>
    </w:p>
    <w:p>
      <w:pPr>
        <w:pStyle w:val="Heading2"/>
        <w:ind w:hanging="0" w:start="0"/>
        <w:rPr/>
      </w:pPr>
      <w:bookmarkStart w:id="41" w:name="__RefHeading___Toc496435143"/>
      <w:bookmarkEnd w:id="41"/>
      <w:r>
        <w:rPr/>
        <w:t>Section 4.3</w:t>
        <w:tab/>
        <w:t>Payment.</w:t>
      </w:r>
    </w:p>
    <w:p>
      <w:pPr>
        <w:pStyle w:val="Normal"/>
        <w:rPr/>
      </w:pPr>
      <w:r>
        <w:rPr/>
        <w:t>Construction Agent shall timely pay or cause to be paid the Contract Price and all other sums, if any, required to be paid by it to Contractor pursuant to the terms of this Contract, in each case in accordance with the provisions of Article 7.</w:t>
      </w:r>
    </w:p>
    <w:p>
      <w:pPr>
        <w:pStyle w:val="Heading2"/>
        <w:ind w:hanging="0" w:start="0"/>
        <w:rPr/>
      </w:pPr>
      <w:bookmarkStart w:id="42" w:name="__RefHeading___Toc496435144"/>
      <w:bookmarkEnd w:id="42"/>
      <w:r>
        <w:rPr/>
        <w:t>Section 4.4</w:t>
        <w:tab/>
        <w:t>Access to Site; Rights of Way.</w:t>
      </w:r>
    </w:p>
    <w:p>
      <w:pPr>
        <w:pStyle w:val="Normal"/>
        <w:widowControl w:val="false"/>
        <w:jc w:val="both"/>
        <w:rPr/>
      </w:pPr>
      <w:r>
        <w:rPr/>
        <w:t xml:space="preserve">Construction Agent shall provide, commencing not later than the date required pursuant to Article 5, thorough Substantial Completion of the Facility, continuous, uninterrupted and unrestricted access to and use of the Site.  </w:t>
      </w:r>
      <w:r>
        <w:rPr>
          <w:szCs w:val="24"/>
          <w:lang w:val="en-CA"/>
        </w:rPr>
      </w:r>
      <w:r>
        <w:rPr>
          <w:color w:val="000000"/>
          <w:szCs w:val="24"/>
        </w:rPr>
        <w:t xml:space="preserve">Following Substantial Completion of any Phase or the Facility Construction Agent shall provide Contractor reasonable access to the Site to perform Punchlist Items, warranty repairs, and clean-up and other similar activities pursuant to this Contract, and to exercise Contractor's rights to improve the performance of such Phase in accordance with Section 13.3, such access to be at all times subject to and in accordance with Construction Agent's safety and security requirements.  Contractor shall ensure that its activities do not interfere with commercial operations of any Phase other than as provided elsewhere in this Contract.  </w:t>
      </w:r>
      <w:r>
        <w:rPr/>
        <w:t>In addition, Owner shall provide at Owner’s expense all easements or other rights of way required for such access to the Site and for performance of the Work.</w:t>
      </w:r>
    </w:p>
    <w:p>
      <w:pPr>
        <w:pStyle w:val="Heading2"/>
        <w:ind w:hanging="0" w:start="0"/>
        <w:rPr/>
      </w:pPr>
      <w:bookmarkStart w:id="43" w:name="__RefHeading___Toc496435145"/>
      <w:bookmarkEnd w:id="43"/>
      <w:r>
        <w:rPr/>
        <w:t>Section 4.5</w:t>
        <w:tab/>
        <w:t>Importation of Equipment.</w:t>
      </w:r>
    </w:p>
    <w:p>
      <w:pPr>
        <w:pStyle w:val="Normal"/>
        <w:jc w:val="both"/>
        <w:rPr/>
      </w:pPr>
      <w:r>
        <w:rPr/>
        <w:t>Owner shall be importer of record for all Equipment acquired outside Brazil and shall be responsible for taking the actions set forth in this Section 4.5 with respect to the importation of such Equipment.  Contractor shall cooperate with and assist Construction Agent in connection with Construction Agent’s compliance with the obligations imposed pursuant to this Section 4.5.  Construction Agent shall expeditiously prepare for execution by Owner any papers that cannot be prepared or executed by Contractor and are necessary to import any such Equipment.  Owner or its authorized agent shall be available for the fulfillment of reasonable signature requirements at the Port of Import for the Equipment in accordance with Brazil’s customs clearance procedures.  Contractor shall notify Construction Agent of such procedural requirements no later than 15 days prior to the scheduled arrival of the first shipment of Equipment and shall give reasonable advance notification of Contractor’s requirement for Construction Agent’s assistance for each shipment thereafter.</w:t>
      </w:r>
    </w:p>
    <w:p>
      <w:pPr>
        <w:pStyle w:val="Heading2"/>
        <w:ind w:hanging="0" w:start="0"/>
        <w:rPr/>
      </w:pPr>
      <w:bookmarkStart w:id="44" w:name="__RefHeading___Toc496435146"/>
      <w:bookmarkEnd w:id="44"/>
      <w:r>
        <w:rPr/>
        <w:t>Section 4.6</w:t>
        <w:tab/>
        <w:t>Governmental Authorizations.</w:t>
      </w:r>
    </w:p>
    <w:p>
      <w:pPr>
        <w:pStyle w:val="Normal"/>
        <w:jc w:val="both"/>
        <w:rPr/>
      </w:pPr>
      <w:r>
        <w:rPr/>
        <w:t xml:space="preserve">Construction Agent shall be responsible for obtaining or causing to be obtained (a) the Governmental Authorizations listed in </w:t>
      </w:r>
      <w:r>
        <w:rPr>
          <w:u w:val="single"/>
        </w:rPr>
        <w:t>Exhibit "J"</w:t>
      </w:r>
      <w:r>
        <w:rPr/>
        <w:t xml:space="preserve"> for which Construction Agent is designated as responsible for submission and acquisition, (b) all Brazilian environmental permits and authorizations, other than those required to be obtained by Contractor pursuant to this Contract, and (c) all other Governmental Authorizations that are required in order for the Facility to be located, constructed and operated at the Site or that applicable Laws require to be issued in Owner’s name other than those required to be obtained by Contractor pursuant to this Contract, Construction Agent promptly shall deliver to Contractor copies of all such Governmental Authorizations.  Construction Agent shall use reasonable efforts (including the provision of documents and information requested by Contractor) to assist Contractor in its efforts to obtain the Governmental Authorizations that it is required to obtain under Section 3.5.</w:t>
      </w:r>
    </w:p>
    <w:p>
      <w:pPr>
        <w:pStyle w:val="Heading2"/>
        <w:ind w:hanging="0" w:start="0"/>
        <w:rPr/>
      </w:pPr>
      <w:bookmarkStart w:id="45" w:name="__RefHeading___Toc496435147"/>
      <w:bookmarkEnd w:id="45"/>
      <w:r>
        <w:rPr/>
        <w:t>Section 4.7</w:t>
        <w:tab/>
        <w:t>Operating Personnel.</w:t>
      </w:r>
    </w:p>
    <w:p>
      <w:pPr>
        <w:pStyle w:val="Normal"/>
        <w:widowControl w:val="false"/>
        <w:ind w:firstLine="720" w:end="0"/>
        <w:jc w:val="both"/>
        <w:rPr/>
      </w:pPr>
      <w:r>
        <w:rPr/>
        <w:t>4.7.1</w:t>
        <w:tab/>
      </w:r>
      <w:r>
        <w:rPr>
          <w:u w:val="single"/>
        </w:rPr>
        <w:t>Qualified Personnel for Training</w:t>
      </w:r>
      <w:r>
        <w:rPr/>
        <w:t xml:space="preserve">.  Construction Agent shall supply, or cause to be supplied, an adequate number of suitably qualified and, where necessary, licensed operators for training by Contractor as set forth in </w:t>
      </w:r>
      <w:r>
        <w:rPr>
          <w:u w:val="single"/>
        </w:rPr>
        <w:t>Exhibit "M"</w:t>
      </w:r>
      <w:r>
        <w:rPr/>
        <w:t xml:space="preserve"> by no later than the date set forth in </w:t>
      </w:r>
      <w:r>
        <w:rPr>
          <w:u w:val="single"/>
        </w:rPr>
        <w:t>Exhibit "L"</w:t>
      </w:r>
      <w:r>
        <w:rPr/>
        <w:t xml:space="preserve">.  In addition, Construction Agent shall supply, or cause to be supplied, at the same time, such small tools, classrooms, and audio-visual equipment (other than those items specified in </w:t>
      </w:r>
      <w:r>
        <w:rPr>
          <w:u w:val="single"/>
        </w:rPr>
        <w:t>Exhibit "M"</w:t>
      </w:r>
      <w:r>
        <w:rPr/>
        <w:t xml:space="preserve"> as required to be provided by Contractor) to permit the timely on</w:t>
        <w:noBreakHyphen/>
        <w:t>the</w:t>
        <w:noBreakHyphen/>
        <w:t>job training of the operations personnel.</w:t>
      </w:r>
    </w:p>
    <w:p>
      <w:pPr>
        <w:pStyle w:val="Normal"/>
        <w:widowControl w:val="false"/>
        <w:rPr/>
      </w:pPr>
      <w:r>
        <w:rPr/>
      </w:r>
    </w:p>
    <w:p>
      <w:pPr>
        <w:pStyle w:val="Normal"/>
        <w:widowControl w:val="false"/>
        <w:ind w:firstLine="720" w:end="0"/>
        <w:jc w:val="both"/>
        <w:rPr/>
      </w:pPr>
      <w:r>
        <w:rPr/>
        <w:t>4.7.2</w:t>
        <w:tab/>
      </w:r>
      <w:r>
        <w:rPr>
          <w:u w:val="single"/>
        </w:rPr>
        <w:t>Operators</w:t>
      </w:r>
      <w:r>
        <w:rPr/>
        <w:t>.  Subsequent to such training, Construction Agent shall provide such operators to Contractor for the purpose of start-up, commissioning and performance testing of each Phase working under the Contractor’s direction until Substantial Completion of such Phase and for re</w:t>
        <w:noBreakHyphen/>
        <w:t>testing of the Facility as scheduled by the Contractor following Substantial Completion of such Phase in accordance with Section 13.3.  Contractor shall be responsible for the acts and omissions of the operators while working at such Phase under Contractor’s direction.</w:t>
      </w:r>
    </w:p>
    <w:p>
      <w:pPr>
        <w:pStyle w:val="Heading2"/>
        <w:ind w:hanging="0" w:start="0"/>
        <w:rPr/>
      </w:pPr>
      <w:bookmarkStart w:id="46" w:name="__RefHeading___Toc496435148"/>
      <w:bookmarkEnd w:id="46"/>
      <w:r>
        <w:rPr/>
        <w:t>Section 4.8</w:t>
        <w:tab/>
        <w:t>Coordination with ECE.</w:t>
      </w:r>
    </w:p>
    <w:p>
      <w:pPr>
        <w:pStyle w:val="Normal"/>
        <w:rPr/>
      </w:pPr>
      <w:r>
        <w:rPr/>
        <w:t xml:space="preserve">Subject to and consistent with the provisions of Section 3.24, Construction Agent shall be responsible at all times for coordinating and communicating, or causing the coordination and communication, with ECE with and any Grid access authorities with respect to all matters relating to the PPA or any Grid access requirements.  Construction Agent shall arrange for Grid access for, dispatch and export of electrical energy from the Facility starting not later than the date set forth in </w:t>
      </w:r>
      <w:r>
        <w:rPr>
          <w:u w:val="single"/>
        </w:rPr>
        <w:t>Exhibit "L"</w:t>
      </w:r>
      <w:r>
        <w:rPr/>
        <w:t xml:space="preserve"> in accordance with the Grid access procedures set forth in Section 3.24, </w:t>
      </w:r>
      <w:r>
        <w:rPr>
          <w:u w:val="single"/>
        </w:rPr>
        <w:t>provided</w:t>
      </w:r>
      <w:r>
        <w:rPr/>
        <w:t xml:space="preserve"> that Contractor has provided Owner with at least sixty (60) days’ prior written notice of the date on which it requires such access, dispatch and export of electrical energy.</w:t>
      </w:r>
    </w:p>
    <w:p>
      <w:pPr>
        <w:pStyle w:val="Heading2"/>
        <w:ind w:hanging="0" w:start="0"/>
        <w:rPr/>
      </w:pPr>
      <w:bookmarkStart w:id="47" w:name="__RefHeading___Toc496435149"/>
      <w:bookmarkEnd w:id="47"/>
      <w:r>
        <w:rPr/>
        <w:t>Section 4.9</w:t>
        <w:tab/>
        <w:t>Construction Agent’s Representative.</w:t>
      </w:r>
    </w:p>
    <w:p>
      <w:pPr>
        <w:pStyle w:val="Normal"/>
        <w:jc w:val="both"/>
        <w:rPr/>
      </w:pPr>
      <w:r>
        <w:rPr/>
        <w:t>On or before the NTP, Construction Agent shall designate a representative (the "</w:t>
      </w:r>
      <w:r>
        <w:rPr>
          <w:u w:val="single"/>
        </w:rPr>
        <w:t>Construction Agent’s Representative</w:t>
      </w:r>
      <w:r>
        <w:rPr/>
        <w:t>"), who shall be authorized to act on behalf of Construction Agent, with whom Contractor may consult at all reasonable times and whose instructions, approvals, requests and decisions shall be binding upon Construction Agent as to all matters pertaining to this Contract.  Construction Agent’s Representative shall have authority to agree to any Change Order, but shall not have authority to otherwise amend this Contract unless Construction Agent has given written notice to Contractor of such express authority.  Construction Agent may change Construction Agent’s Representative at any time by written notice to Contractor.</w:t>
      </w:r>
    </w:p>
    <w:p>
      <w:pPr>
        <w:pStyle w:val="Heading2"/>
        <w:ind w:hanging="0" w:start="0"/>
        <w:rPr/>
      </w:pPr>
      <w:bookmarkStart w:id="48" w:name="__RefHeading___Toc496435150"/>
      <w:bookmarkEnd w:id="48"/>
      <w:r>
        <w:rPr/>
        <w:t>Section 4.10</w:t>
        <w:tab/>
        <w:t>Construction Agent Delay.</w:t>
      </w:r>
    </w:p>
    <w:p>
      <w:pPr>
        <w:pStyle w:val="Normal"/>
        <w:widowControl w:val="false"/>
        <w:jc w:val="both"/>
        <w:rPr/>
      </w:pPr>
      <w:r>
        <w:rPr/>
        <w:t>In the event of any Construction Agent Delay, Contractor shall be entitled to a Change Order pursuant to Article 6 under which Contractor shall be paid by Construction Agent, on a monthly basis, in accordance with the invoicing and payment provisions set forth in Section 7.2, for any additional costs reasonably incurred on account of such Construction Agent Delay.  In addition to reimbursement of additional costs incurred, Contractor shall be entitled to a Change Order pursuant to Article 6 that provides for appropriate adjustments to the Project Schedule in respect of such Construction Agent Delay.  Nothing in this Section 4.11 shall be deemed to limit the provisions of Section 16.2.2 with respect to the Construction Agent’s failure to observe or perform any of its material covenants or agreements contained in this Contract.</w:t>
      </w:r>
    </w:p>
    <w:p>
      <w:pPr>
        <w:pStyle w:val="Heading2"/>
        <w:ind w:hanging="0" w:start="0"/>
        <w:rPr/>
      </w:pPr>
      <w:bookmarkStart w:id="49" w:name="__RefHeading___Toc496435151"/>
      <w:bookmarkEnd w:id="49"/>
      <w:r>
        <w:rPr/>
        <w:t>Section 4.11</w:t>
        <w:tab/>
        <w:t>Compliance with Laws.</w:t>
      </w:r>
    </w:p>
    <w:p>
      <w:pPr>
        <w:pStyle w:val="Normal"/>
        <w:jc w:val="both"/>
        <w:rPr/>
      </w:pPr>
      <w:r>
        <w:rPr/>
        <w:t>In the performance of its obligations under this Contract, Construction Agent shall ascertain and comply with all Laws and Government Authorizations that relate to the Construction Agent and the performance of its obligations hereunder.  Construction Agent shall indemnify, defend and hold harmless Contractor Indemnitees from and against any and all fines, penalties, related costs and expenses, including reasonable legal expenses and costs, attributable to any failure of Construction Agent to comply with such Laws and Governmental Authorizations in connection with the performance of its obligations under this Contract.</w:t>
      </w:r>
    </w:p>
    <w:p>
      <w:pPr>
        <w:pStyle w:val="Heading2"/>
        <w:ind w:hanging="0" w:start="0"/>
        <w:rPr/>
      </w:pPr>
      <w:bookmarkStart w:id="50" w:name="__RefHeading___Toc496435152"/>
      <w:bookmarkEnd w:id="50"/>
      <w:r>
        <w:rPr/>
        <w:t>Section 4.12</w:t>
        <w:tab/>
        <w:t>Taxes and Duties.</w:t>
      </w:r>
    </w:p>
    <w:p>
      <w:pPr>
        <w:pStyle w:val="Normal"/>
        <w:jc w:val="both"/>
        <w:rPr/>
      </w:pPr>
      <w:r>
        <w:rPr/>
        <w:t xml:space="preserve">Construction Agent shall be responsible for causing payment of (and such are not included in the Contract Price) all Brazilian Taxes, including those set forth in </w:t>
      </w:r>
      <w:r>
        <w:rPr>
          <w:u w:val="single"/>
        </w:rPr>
        <w:t>Exhibit "C-3"</w:t>
      </w:r>
      <w:r>
        <w:rPr/>
        <w:t>, other than those Contractor Applicable Taxes for which Contractor is responsible under Section 3.12.</w:t>
      </w:r>
    </w:p>
    <w:p>
      <w:pPr>
        <w:pStyle w:val="Heading2"/>
        <w:ind w:hanging="0" w:start="0"/>
        <w:rPr/>
      </w:pPr>
      <w:bookmarkStart w:id="51" w:name="__RefHeading___Toc496435153"/>
      <w:bookmarkEnd w:id="51"/>
      <w:r>
        <w:rPr/>
        <w:t>Section 4.14</w:t>
        <w:tab/>
        <w:t>Notice Obligation.</w:t>
      </w:r>
    </w:p>
    <w:p>
      <w:pPr>
        <w:pStyle w:val="Normal"/>
        <w:jc w:val="both"/>
        <w:rPr/>
      </w:pPr>
      <w:r>
        <w:rPr/>
        <w:t>Construction Agent shall give timely notice to Contractor of any event or circumstance that constitutes, or Construction Agent reasonably believes will constitute, Construction Agent Delay, Change in Law or Force Majeure affecting Construction Agent 's ability to perform its obligations under this Contract.</w:t>
      </w:r>
    </w:p>
    <w:p>
      <w:pPr>
        <w:pStyle w:val="Heading2"/>
        <w:ind w:hanging="0" w:start="0"/>
        <w:rPr/>
      </w:pPr>
      <w:bookmarkStart w:id="52" w:name="__RefHeading___Toc496435154"/>
      <w:bookmarkEnd w:id="52"/>
      <w:r>
        <w:rPr/>
        <w:t>Section 4.15</w:t>
        <w:tab/>
        <w:t>Books and Records.</w:t>
      </w:r>
    </w:p>
    <w:p>
      <w:pPr>
        <w:pStyle w:val="Normal"/>
        <w:jc w:val="both"/>
        <w:rPr/>
      </w:pPr>
      <w:r>
        <w:rPr/>
        <w:t>Construction Agent shall keep and shall cause Owner to keep such books, records and accounts in respect of all revenues, including expenses and taxes, prior to the Target Completion Date, if any, as may be necessary for Contractor to confirm the same in connection with the calculation of the Incentive Bonus in accordance with Section 7.1.4, and Contractor shall have the right, using an internationally recognized accounting firm, to audit Construction Agent's or Owner's records solely for the purpose of confirming the amount of any such Incentive Bonus or for determining whether any such Incentive Bonus should have been paid.</w:t>
      </w:r>
    </w:p>
    <w:p>
      <w:pPr>
        <w:pStyle w:val="Normal"/>
        <w:jc w:val="both"/>
        <w:rPr/>
      </w:pPr>
      <w:r>
        <w:rPr/>
      </w:r>
    </w:p>
    <w:p>
      <w:pPr>
        <w:pStyle w:val="Heading1"/>
        <w:ind w:hanging="0" w:start="0"/>
        <w:rPr>
          <w:rStyle w:val="Hidden"/>
        </w:rPr>
      </w:pPr>
      <w:bookmarkStart w:id="53" w:name="__RefHeading___Toc496435155"/>
      <w:bookmarkEnd w:id="53"/>
      <w:r>
        <w:rPr/>
        <w:t>ARTICLE V</w:t>
      </w:r>
    </w:p>
    <w:p>
      <w:pPr>
        <w:pStyle w:val="Heading1"/>
        <w:ind w:hanging="0" w:start="0"/>
        <w:rPr/>
      </w:pPr>
      <w:bookmarkStart w:id="54" w:name="__RefHeading___Toc496435156"/>
      <w:bookmarkEnd w:id="54"/>
      <w:r>
        <w:rPr/>
        <w:t>COMMENCEMENT OF WORK</w:t>
      </w:r>
    </w:p>
    <w:p>
      <w:pPr>
        <w:pStyle w:val="Heading2"/>
        <w:ind w:hanging="0" w:start="0"/>
        <w:rPr/>
      </w:pPr>
      <w:bookmarkStart w:id="55" w:name="__RefHeading___Toc496435157"/>
      <w:bookmarkEnd w:id="55"/>
      <w:r>
        <w:rPr/>
        <w:t>Section 5.1</w:t>
        <w:tab/>
        <w:t>Preliminary Work.</w:t>
      </w:r>
    </w:p>
    <w:p>
      <w:pPr>
        <w:pStyle w:val="Normal"/>
        <w:keepNext w:val="true"/>
        <w:keepLines/>
        <w:widowControl w:val="false"/>
        <w:ind w:firstLine="720" w:end="0"/>
        <w:jc w:val="both"/>
        <w:rPr/>
      </w:pPr>
      <w:r>
        <w:rPr/>
        <w:t>5.1.1</w:t>
        <w:tab/>
      </w:r>
      <w:r>
        <w:rPr>
          <w:u w:val="single"/>
        </w:rPr>
        <w:t>Preliminary Work</w:t>
      </w:r>
      <w:r>
        <w:rPr/>
        <w:t>.  Any and all Preliminary Work performed pursuant to the terms of any Early Works Agreement(s) prior to the Effective Date shall be, and hereby is, consolidated (without duplication) with the Work under this Contract and is subject to all of the terms and conditions of this Contract applicable to the Work, including the provisions of Section 5.2 (Project Schedule), Article 7 (Contract Price; Payments to Contractor), and Article 12 (Warranty).</w:t>
      </w:r>
    </w:p>
    <w:p>
      <w:pPr>
        <w:pStyle w:val="Normal"/>
        <w:jc w:val="both"/>
        <w:rPr/>
      </w:pPr>
      <w:r>
        <w:rPr/>
      </w:r>
    </w:p>
    <w:p>
      <w:pPr>
        <w:pStyle w:val="Normal"/>
        <w:ind w:firstLine="720" w:end="0"/>
        <w:jc w:val="both"/>
        <w:rPr/>
      </w:pPr>
      <w:r>
        <w:rPr/>
        <w:t>5.1.2</w:t>
        <w:tab/>
      </w:r>
      <w:r>
        <w:rPr>
          <w:u w:val="single"/>
        </w:rPr>
        <w:t>Payment for Preliminary Work</w:t>
      </w:r>
      <w:r>
        <w:rPr/>
        <w:t>.  To the extent any portion of the Scope of Work is performed by Contractor or any Affiliate thereof prior to the execution of this Contract pursuant to tasking letters, AFE's or any other separate agreement (collectively, the "</w:t>
      </w:r>
      <w:r>
        <w:rPr>
          <w:u w:val="single"/>
        </w:rPr>
        <w:t>Early Works Agreements</w:t>
      </w:r>
      <w:r>
        <w:rPr/>
        <w:t xml:space="preserve">") which provide for separate payment by Owner, Construction Agent or any Affiliate thereof, any such amounts so paid to Contractor or any Affiliate thereof shall be deemed to be advance payments of a portion of, and credited against, the Contract Price, or shall be refunded to the payor thereof upon the payment by Construction Agent of the portion of the Contract Price attributable to such Work under this Contract.  </w:t>
      </w:r>
    </w:p>
    <w:p>
      <w:pPr>
        <w:pStyle w:val="BodyTextIndent"/>
        <w:tabs>
          <w:tab w:val="clear" w:pos="720"/>
          <w:tab w:val="left" w:pos="522" w:leader="none"/>
          <w:tab w:val="left" w:pos="1062" w:leader="none"/>
        </w:tabs>
        <w:ind w:hanging="0" w:start="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t>5.1.3</w:t>
        <w:tab/>
      </w:r>
      <w:r>
        <w:rPr>
          <w:u w:val="single"/>
        </w:rPr>
        <w:t>Hydrology Study;  Noise Study</w:t>
      </w:r>
      <w:r>
        <w:rPr/>
        <w:t>.</w:t>
      </w:r>
    </w:p>
    <w:p>
      <w:pPr>
        <w:pStyle w:val="Normal"/>
        <w:jc w:val="both"/>
        <w:rPr/>
      </w:pPr>
      <w:r>
        <w:rPr/>
      </w:r>
    </w:p>
    <w:p>
      <w:pPr>
        <w:pStyle w:val="Normal"/>
        <w:ind w:hanging="720" w:start="2160" w:end="0"/>
        <w:jc w:val="both"/>
        <w:rPr/>
      </w:pPr>
      <w:r>
        <w:rPr/>
        <w:t>(a)</w:t>
        <w:tab/>
        <w:t xml:space="preserve">Construction Agent shall cause the Hydrology Study to be conducted and, at least 30 days prior to the date on which NTP is expected to become effective, cause the Hydrology Report to be delivered to Contractor; </w:t>
      </w:r>
      <w:r>
        <w:rPr>
          <w:u w:val="single"/>
        </w:rPr>
        <w:t>provided</w:t>
      </w:r>
      <w:r>
        <w:rPr/>
        <w:t xml:space="preserve">, </w:t>
      </w:r>
      <w:r>
        <w:rPr>
          <w:u w:val="single"/>
        </w:rPr>
        <w:t>however</w:t>
      </w:r>
      <w:r>
        <w:rPr/>
        <w:t>, that Contractor shall have 15 days following the receipt thereof to review the Hydrology Report and return comments thereto to Construction Agent, following which, in the event Contractor determines as a result of such Hydrology Study that flood control measures which exceed normal Site grading are required, Contractor and Construction Agent shall agree on the additional work to be performed in connection therewith and the cost and time therefore, and following such agreement, Contractor shall be deemed to have accepted all hydrological Site risk.</w:t>
      </w:r>
    </w:p>
    <w:p>
      <w:pPr>
        <w:pStyle w:val="Normal"/>
        <w:ind w:hanging="720" w:start="2160" w:end="0"/>
        <w:jc w:val="both"/>
        <w:rPr/>
      </w:pPr>
      <w:r>
        <w:rPr/>
      </w:r>
    </w:p>
    <w:p>
      <w:pPr>
        <w:pStyle w:val="Normal"/>
        <w:ind w:hanging="720" w:start="2160" w:end="0"/>
        <w:jc w:val="both"/>
        <w:rPr/>
      </w:pPr>
      <w:r>
        <w:rPr/>
        <w:t>(b)</w:t>
        <w:tab/>
        <w:t>At least 60 days prior to the date on which NTP is expected to become effective, Construction Agent shall cause the Noise Study to be conducted and the Noise Study Report to be delivered to Contractor, subject to the timely receipt by Owner or Construction Agent from Contractor of the  technical specifications for the conduct of such Noise Study.</w:t>
      </w:r>
    </w:p>
    <w:p>
      <w:pPr>
        <w:pStyle w:val="Heading2"/>
        <w:ind w:hanging="0" w:start="0"/>
        <w:rPr/>
      </w:pPr>
      <w:bookmarkStart w:id="56" w:name="__RefHeading___Toc496435158"/>
      <w:bookmarkEnd w:id="56"/>
      <w:r>
        <w:rPr/>
        <w:t>Section 5.2</w:t>
        <w:tab/>
        <w:t>Notice to Proceed.</w:t>
      </w:r>
    </w:p>
    <w:p>
      <w:pPr>
        <w:pStyle w:val="Normal"/>
        <w:jc w:val="both"/>
        <w:rPr/>
      </w:pPr>
      <w:r>
        <w:rPr/>
        <w:tab/>
        <w:t>5.2.1</w:t>
        <w:tab/>
      </w:r>
      <w:r>
        <w:rPr>
          <w:u w:val="single"/>
        </w:rPr>
        <w:t>Issuance of Notice to Proceed</w:t>
      </w:r>
      <w:r>
        <w:rPr/>
        <w:t>.  Construction Agent may deliver a written notice to proceed (the "</w:t>
      </w:r>
      <w:r>
        <w:rPr>
          <w:u w:val="single"/>
        </w:rPr>
        <w:t>NTP</w:t>
      </w:r>
      <w:r>
        <w:rPr/>
        <w:t>") that authorizes Contractor to commence performance of the Scope of Work, which shall be effective upon the issuance thereof and the satisfaction or waiver in writing by Contractor of each of the following conditions (the date the NTP is effective, the "</w:t>
      </w:r>
      <w:r>
        <w:rPr>
          <w:u w:val="single"/>
        </w:rPr>
        <w:t>NTP Effective Date</w:t>
      </w:r>
      <w:r>
        <w:rPr/>
        <w:t>").</w:t>
      </w:r>
    </w:p>
    <w:p>
      <w:pPr>
        <w:pStyle w:val="Normal"/>
        <w:jc w:val="both"/>
        <w:rPr/>
      </w:pPr>
      <w:r>
        <w:rPr/>
      </w:r>
    </w:p>
    <w:p>
      <w:pPr>
        <w:pStyle w:val="Normal"/>
        <w:ind w:hanging="720" w:start="2160" w:end="0"/>
        <w:jc w:val="both"/>
        <w:rPr/>
      </w:pPr>
      <w:r>
        <w:rPr/>
        <w:t>(a)</w:t>
        <w:tab/>
        <w:t xml:space="preserve">Financial Close has occurred and Construction Agent has provided Contractor written notice thereof executed by Lender or its agent or other evidence thereof reasonably satisfactory to Contractor, or Construction Agent has provided Contractor with a guaranty of its obligations under this Contract in form and substance reasonably satisfactory to Contractor and from a guarantor having a Standard &amp; Poor's rating of BBB(-) or better, or Construction Agent has otherwise demonstrated to Contractor's reasonable satisfaction its ability to pay the Contract Price; </w:t>
      </w:r>
      <w:r>
        <w:rPr>
          <w:u w:val="single"/>
        </w:rPr>
        <w:t>provided</w:t>
      </w:r>
      <w:r>
        <w:rPr/>
        <w:t>, however, that in the event Financial Close has not occurred and Construction Agent elects to provide either the guaranty or demonstration of financial capability described above, such financial assurance shall remain valid until the occurrence of Financial Close;</w:t>
      </w:r>
    </w:p>
    <w:p>
      <w:pPr>
        <w:pStyle w:val="Normal"/>
        <w:ind w:hanging="720" w:start="2160" w:end="0"/>
        <w:jc w:val="both"/>
        <w:rPr/>
      </w:pPr>
      <w:r>
        <w:rPr/>
      </w:r>
    </w:p>
    <w:p>
      <w:pPr>
        <w:pStyle w:val="Normal"/>
        <w:numPr>
          <w:ilvl w:val="0"/>
          <w:numId w:val="2"/>
        </w:numPr>
        <w:tabs>
          <w:tab w:val="clear" w:pos="720"/>
        </w:tabs>
        <w:ind w:hanging="720" w:start="2160" w:end="0"/>
        <w:jc w:val="both"/>
        <w:rPr/>
      </w:pPr>
      <w:r>
        <w:rPr/>
        <w:t xml:space="preserve">All Government Authorizations required to be obtained by Construction Agent or Owner prior to NTP, as set forth in </w:t>
      </w:r>
      <w:r>
        <w:rPr>
          <w:u w:val="single"/>
        </w:rPr>
        <w:t>Exhibit "J"</w:t>
      </w:r>
      <w:r>
        <w:rPr/>
        <w:t>, have been obtained;</w:t>
      </w:r>
    </w:p>
    <w:p>
      <w:pPr>
        <w:pStyle w:val="Normal"/>
        <w:ind w:hanging="720" w:start="2160" w:end="0"/>
        <w:jc w:val="both"/>
        <w:rPr/>
      </w:pPr>
      <w:r>
        <w:rPr/>
      </w:r>
    </w:p>
    <w:p>
      <w:pPr>
        <w:pStyle w:val="Normal"/>
        <w:numPr>
          <w:ilvl w:val="0"/>
          <w:numId w:val="2"/>
        </w:numPr>
        <w:tabs>
          <w:tab w:val="clear" w:pos="720"/>
          <w:tab w:val="left" w:pos="1440" w:leader="none"/>
          <w:tab w:val="left" w:pos="2160" w:leader="none"/>
        </w:tabs>
        <w:ind w:hanging="720" w:start="2160" w:end="0"/>
        <w:jc w:val="both"/>
        <w:rPr/>
      </w:pPr>
      <w:r>
        <w:rPr/>
        <w:t xml:space="preserve">The Hydrology Report has been provided to Contractor not later than 30 days prior to NTP, and Contractor has reviewed and accepted the Hydrology Report and accepted all Site hydrological risk; </w:t>
      </w:r>
    </w:p>
    <w:p>
      <w:pPr>
        <w:pStyle w:val="Normal"/>
        <w:ind w:hanging="720" w:start="2160" w:end="0"/>
        <w:jc w:val="both"/>
        <w:rPr/>
      </w:pPr>
      <w:r>
        <w:rPr/>
      </w:r>
    </w:p>
    <w:p>
      <w:pPr>
        <w:pStyle w:val="Normal"/>
        <w:numPr>
          <w:ilvl w:val="0"/>
          <w:numId w:val="2"/>
        </w:numPr>
        <w:tabs>
          <w:tab w:val="clear" w:pos="720"/>
        </w:tabs>
        <w:ind w:hanging="720" w:start="2160" w:end="0"/>
        <w:jc w:val="both"/>
        <w:rPr/>
      </w:pPr>
      <w:r>
        <w:rPr/>
        <w:t>Load flow/stability studies and Grid analysis have been completed and provided to Contractor;</w:t>
      </w:r>
    </w:p>
    <w:p>
      <w:pPr>
        <w:pStyle w:val="BodyTextIndent"/>
        <w:tabs>
          <w:tab w:val="clear" w:pos="720"/>
          <w:tab w:val="left" w:pos="2143" w:leader="none"/>
        </w:tabs>
        <w:ind w:hanging="720" w:start="2160" w:end="0"/>
        <w:jc w:val="both"/>
        <w:rPr>
          <w:rFonts w:ascii="Times New Roman" w:hAnsi="Times New Roman" w:cs="Times New Roman"/>
          <w:sz w:val="24"/>
        </w:rPr>
      </w:pPr>
      <w:r>
        <w:rPr>
          <w:rFonts w:cs="Times New Roman" w:ascii="Times New Roman" w:hAnsi="Times New Roman"/>
          <w:sz w:val="24"/>
        </w:rPr>
      </w:r>
    </w:p>
    <w:p>
      <w:pPr>
        <w:pStyle w:val="BodyTextIndent"/>
        <w:numPr>
          <w:ilvl w:val="0"/>
          <w:numId w:val="2"/>
        </w:numPr>
        <w:tabs>
          <w:tab w:val="clear" w:pos="720"/>
          <w:tab w:val="left" w:pos="1440" w:leader="none"/>
          <w:tab w:val="left" w:pos="2160" w:leader="none"/>
        </w:tabs>
        <w:ind w:hanging="720" w:start="2160" w:end="0"/>
        <w:jc w:val="both"/>
        <w:rPr>
          <w:rFonts w:ascii="Times New Roman" w:hAnsi="Times New Roman" w:cs="Times New Roman"/>
          <w:sz w:val="24"/>
        </w:rPr>
      </w:pPr>
      <w:r>
        <w:rPr>
          <w:rFonts w:cs="Times New Roman" w:ascii="Times New Roman" w:hAnsi="Times New Roman"/>
          <w:sz w:val="24"/>
        </w:rPr>
        <w:t>Contractor has been provided full and unrestricted access to the Site not later than 15 days prior to the NTP Effective Date;</w:t>
      </w:r>
    </w:p>
    <w:p>
      <w:pPr>
        <w:pStyle w:val="BodyTextIndent"/>
        <w:ind w:hanging="720" w:start="2160" w:end="0"/>
        <w:jc w:val="both"/>
        <w:rPr>
          <w:rFonts w:ascii="Times New Roman" w:hAnsi="Times New Roman" w:cs="Times New Roman"/>
          <w:sz w:val="24"/>
        </w:rPr>
      </w:pPr>
      <w:r>
        <w:rPr>
          <w:rFonts w:cs="Times New Roman" w:ascii="Times New Roman" w:hAnsi="Times New Roman"/>
          <w:sz w:val="24"/>
        </w:rPr>
      </w:r>
    </w:p>
    <w:p>
      <w:pPr>
        <w:pStyle w:val="BodyTextIndent"/>
        <w:ind w:hanging="720" w:start="2160" w:end="0"/>
        <w:jc w:val="both"/>
        <w:rPr>
          <w:rFonts w:ascii="Times New Roman" w:hAnsi="Times New Roman" w:cs="Times New Roman"/>
          <w:sz w:val="24"/>
        </w:rPr>
      </w:pPr>
      <w:r>
        <w:rPr>
          <w:rFonts w:cs="Times New Roman" w:ascii="Times New Roman" w:hAnsi="Times New Roman"/>
          <w:sz w:val="24"/>
        </w:rPr>
        <w:t>(f)</w:t>
        <w:tab/>
        <w:t>Contractor has been provided full and unrestricted access to the Site not later than 15 days prior to the NTP Effective Date;</w:t>
      </w:r>
    </w:p>
    <w:p>
      <w:pPr>
        <w:pStyle w:val="BodyTextIndent"/>
        <w:ind w:hanging="720" w:start="2160" w:end="0"/>
        <w:jc w:val="both"/>
        <w:rPr>
          <w:rFonts w:ascii="Times New Roman" w:hAnsi="Times New Roman" w:cs="Times New Roman"/>
          <w:sz w:val="24"/>
        </w:rPr>
      </w:pPr>
      <w:r>
        <w:rPr>
          <w:rFonts w:cs="Times New Roman" w:ascii="Times New Roman" w:hAnsi="Times New Roman"/>
          <w:sz w:val="24"/>
        </w:rPr>
      </w:r>
    </w:p>
    <w:p>
      <w:pPr>
        <w:pStyle w:val="BodyTextIndent"/>
        <w:tabs>
          <w:tab w:val="clear" w:pos="720"/>
          <w:tab w:val="left" w:pos="2143" w:leader="none"/>
        </w:tabs>
        <w:ind w:hanging="720" w:start="2160" w:end="0"/>
        <w:jc w:val="both"/>
        <w:rPr>
          <w:rFonts w:ascii="Times New Roman" w:hAnsi="Times New Roman" w:cs="Times New Roman"/>
          <w:sz w:val="24"/>
        </w:rPr>
      </w:pPr>
      <w:r>
        <w:rPr>
          <w:rFonts w:cs="Times New Roman" w:ascii="Times New Roman" w:hAnsi="Times New Roman"/>
          <w:sz w:val="24"/>
        </w:rPr>
        <w:t>(g)</w:t>
        <w:tab/>
        <w:t>The Site Survey has been completed and provided to Contractor; and</w:t>
      </w:r>
    </w:p>
    <w:p>
      <w:pPr>
        <w:pStyle w:val="BodyTextIndent"/>
        <w:ind w:hanging="720" w:start="2160" w:end="0"/>
        <w:jc w:val="both"/>
        <w:rPr>
          <w:rFonts w:ascii="Times New Roman" w:hAnsi="Times New Roman" w:cs="Times New Roman"/>
          <w:sz w:val="24"/>
        </w:rPr>
      </w:pPr>
      <w:r>
        <w:rPr>
          <w:rFonts w:cs="Times New Roman" w:ascii="Times New Roman" w:hAnsi="Times New Roman"/>
          <w:sz w:val="24"/>
        </w:rPr>
      </w:r>
    </w:p>
    <w:p>
      <w:pPr>
        <w:pStyle w:val="Normal"/>
        <w:ind w:hanging="720" w:start="2160" w:end="0"/>
        <w:jc w:val="both"/>
        <w:rPr/>
      </w:pPr>
      <w:r>
        <w:rPr/>
        <w:t>(h)</w:t>
        <w:tab/>
        <w:t xml:space="preserve">Dutra turn-off lane has been constructed; </w:t>
      </w:r>
      <w:r>
        <w:rPr>
          <w:u w:val="single"/>
        </w:rPr>
        <w:t>provided</w:t>
      </w:r>
      <w:r>
        <w:rPr/>
        <w:t xml:space="preserve">, </w:t>
      </w:r>
      <w:r>
        <w:rPr>
          <w:u w:val="single"/>
        </w:rPr>
        <w:t>however</w:t>
      </w:r>
      <w:r>
        <w:rPr/>
        <w:t>, that this condition shall be waived by the Parties to the fullest extent permitted by applicable Law and any relevant Government Authority.</w:t>
      </w:r>
    </w:p>
    <w:p>
      <w:pPr>
        <w:pStyle w:val="Normal"/>
        <w:rPr/>
      </w:pPr>
      <w:r>
        <w:rPr/>
      </w:r>
    </w:p>
    <w:p>
      <w:pPr>
        <w:pStyle w:val="Normal"/>
        <w:ind w:firstLine="720" w:end="0"/>
        <w:jc w:val="both"/>
        <w:rPr/>
      </w:pPr>
      <w:r>
        <w:rPr/>
        <w:t>5.2.2</w:t>
        <w:tab/>
        <w:t>Upon the occurrence of the NTP Effective Date Contractor shall commence performance of the full Scope of Work (in addition to any Preliminary Work for which performance has already commenced) and thereafter shall proceed diligently and expeditiously to perform such Work.</w:t>
      </w:r>
    </w:p>
    <w:p>
      <w:pPr>
        <w:pStyle w:val="Heading2"/>
        <w:ind w:hanging="0" w:start="0"/>
        <w:rPr/>
      </w:pPr>
      <w:bookmarkStart w:id="57" w:name="__RefHeading___Toc496435159"/>
      <w:bookmarkEnd w:id="57"/>
      <w:r>
        <w:rPr/>
        <w:t>Section 5.3</w:t>
        <w:tab/>
        <w:t>Project Schedule.</w:t>
      </w:r>
    </w:p>
    <w:p>
      <w:pPr>
        <w:pStyle w:val="Normal"/>
        <w:ind w:firstLine="720" w:end="0"/>
        <w:jc w:val="both"/>
        <w:rPr/>
      </w:pPr>
      <w:r>
        <w:rPr/>
        <w:t>Section 5.3.1</w:t>
        <w:tab/>
      </w:r>
      <w:r>
        <w:rPr>
          <w:u w:val="single"/>
        </w:rPr>
        <w:t>Schedule Preparation</w:t>
      </w:r>
      <w:r>
        <w:rPr/>
        <w:t>.  Within 30 days after the NTP Effective Date, Contractor shall prepare and submit to Construction Agent a detailed construction schedule (the "</w:t>
      </w:r>
      <w:r>
        <w:rPr>
          <w:u w:val="single"/>
        </w:rPr>
        <w:t>Project Schedule</w:t>
      </w:r>
      <w:r>
        <w:rPr/>
        <w:t xml:space="preserve">"), consistent with the Project Schedule Summary set forth in </w:t>
      </w:r>
      <w:r>
        <w:rPr>
          <w:u w:val="single"/>
        </w:rPr>
        <w:t>Exhibit "A"</w:t>
      </w:r>
      <w:r>
        <w:rPr/>
        <w:t xml:space="preserve"> and the Milestone Payment Schedule set forth in </w:t>
      </w:r>
      <w:r>
        <w:rPr>
          <w:u w:val="single"/>
        </w:rPr>
        <w:t>Exhibit "C-1"</w:t>
      </w:r>
      <w:r>
        <w:rPr/>
        <w:t xml:space="preserve"> which shall be designed to have the</w:t>
      </w:r>
      <w:r>
        <w:rPr>
          <w:b/>
        </w:rPr>
        <w:t xml:space="preserve"> </w:t>
      </w:r>
      <w:r>
        <w:rPr/>
        <w:t>Work completed on a timely basis by the Target Completion Date.  Contractor shall provide the Project Schedule to Construction Agent in a Level 2 standard of detail, and shall give Construction Agent access to the Project Schedule in a Level 3 standard of detail, with all critical path items clearly set forth in each level.  The Project Schedule shall cover the engineering, procurement and delivery of Equipment, all activities at the Site, including all activities relating to the design, engineering, procurement, construction, start-up, commissioning and testing of the Equipment and the Facility, and required dates for all items to be furnished by Construction Agent and Owner, and shall include all Project Schedule Milestones and Payment Milestones.  In addition, Contractor shall submit a narrative description of its management plan (the "</w:t>
      </w:r>
      <w:r>
        <w:rPr>
          <w:u w:val="single"/>
        </w:rPr>
        <w:t>Project Execution Plan</w:t>
      </w:r>
      <w:r>
        <w:rPr/>
        <w:t>") for performing the Work to meet the Project Schedule.</w:t>
      </w:r>
    </w:p>
    <w:p>
      <w:pPr>
        <w:pStyle w:val="Normal"/>
        <w:rPr>
          <w:u w:val="single"/>
        </w:rPr>
      </w:pPr>
      <w:r>
        <w:rPr>
          <w:u w:val="single"/>
        </w:rPr>
      </w:r>
    </w:p>
    <w:p>
      <w:pPr>
        <w:pStyle w:val="Normal"/>
        <w:ind w:firstLine="720" w:end="0"/>
        <w:jc w:val="both"/>
        <w:rPr/>
      </w:pPr>
      <w:r>
        <w:rPr/>
        <w:t>5.3.2</w:t>
        <w:tab/>
      </w:r>
      <w:r>
        <w:rPr>
          <w:u w:val="single"/>
        </w:rPr>
        <w:t>Revision and Updating</w:t>
      </w:r>
      <w:r>
        <w:rPr/>
        <w:t>.  Contractor shall promptly inform Construction Agent of any proposed material change in the Project Schedule and shall furnish Construction Agent with a revised schedule and narrative.  The Project Schedule and narrative shall be kept up to date, taking into account the actual progress of the Work, and shall be revised monthly to reflect such progress and included with the progress report required by Section 5.3.</w:t>
      </w:r>
    </w:p>
    <w:p>
      <w:pPr>
        <w:pStyle w:val="Heading2"/>
        <w:ind w:hanging="0" w:start="0"/>
        <w:rPr/>
      </w:pPr>
      <w:bookmarkStart w:id="58" w:name="__RefHeading___Toc496435160"/>
      <w:bookmarkEnd w:id="58"/>
      <w:r>
        <w:rPr/>
        <w:t>Section 5.4</w:t>
        <w:tab/>
        <w:t>Progress Reports and Consultation.</w:t>
      </w:r>
    </w:p>
    <w:p>
      <w:pPr>
        <w:pStyle w:val="Normal"/>
        <w:ind w:firstLine="720" w:end="0"/>
        <w:jc w:val="both"/>
        <w:rPr/>
      </w:pPr>
      <w:r>
        <w:rPr/>
        <w:t>5.4.1</w:t>
        <w:tab/>
      </w:r>
      <w:r>
        <w:rPr>
          <w:u w:val="single"/>
        </w:rPr>
        <w:t>Progress Reports</w:t>
      </w:r>
      <w:r>
        <w:rPr/>
        <w:t>.  Commencing with the month immediately following the month in which the NTP Effective Date occurs, Contractor shall submit to Construction Agent’s Representative, by the 16th day of each month, a written report (a "</w:t>
      </w:r>
      <w:r>
        <w:rPr>
          <w:u w:val="single"/>
        </w:rPr>
        <w:t>Progress Report</w:t>
      </w:r>
      <w:r>
        <w:rPr/>
        <w:t>") on the progress of the Work through the end of the preceding month (in form reasonably satisfactory to Construction Agent) that shall include, at a minimum, a description of the progress of the Work, details regarding the completion of any Milestones, the status of the supply of goods, materials and Equipment necessary for the completion of the Work, a comparison of the actual progress of the Work with the Project Schedule, and an evaluation of problems and deficiencies and a description of any planned corrective action with respect thereto.  Each Monthly Progress Report shall be delivered to Construction Agent's representative in both print and electronic format suitable for distribution by electronic mail.  If Construction Agent so directs, Contractor also shall at reasonable intervals, but not less than monthly, conduct appropriate review meetings at mutually agreeable locations with representatives of Construction Agent to review the status of the Work.  Contractor shall promptly notify Construction Agent in writing if at any time Contractor has reason to believe that a material deviation in the Project Schedule will occur or has occurred that may result in Contractor failing to meet the Target Completion Date, and Contractor shall specify in such notice or within a reasonable time thereafter any corrective action planned to be taken by Contractor.</w:t>
      </w:r>
    </w:p>
    <w:p>
      <w:pPr>
        <w:pStyle w:val="Normal"/>
        <w:rPr/>
      </w:pPr>
      <w:r>
        <w:rPr/>
      </w:r>
    </w:p>
    <w:p>
      <w:pPr>
        <w:pStyle w:val="Normal"/>
        <w:ind w:firstLine="720" w:end="0"/>
        <w:jc w:val="both"/>
        <w:rPr/>
      </w:pPr>
      <w:r>
        <w:rPr/>
        <w:t>5.4.2</w:t>
        <w:tab/>
      </w:r>
      <w:r>
        <w:rPr>
          <w:u w:val="single"/>
        </w:rPr>
        <w:t>Additional Reports</w:t>
      </w:r>
      <w:r>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Construction Agent as soon as reasonably practicable.  Construction Agent may at any time request a significant event report with respect to any event that Construction Agent reasonably regards as significant.</w:t>
      </w:r>
    </w:p>
    <w:p>
      <w:pPr>
        <w:pStyle w:val="Normal"/>
        <w:jc w:val="both"/>
        <w:rPr/>
      </w:pPr>
      <w:r>
        <w:rPr/>
      </w:r>
    </w:p>
    <w:p>
      <w:pPr>
        <w:pStyle w:val="Heading1"/>
        <w:ind w:hanging="0" w:start="0"/>
        <w:rPr/>
      </w:pPr>
      <w:bookmarkStart w:id="59" w:name="__RefHeading___Toc496435161"/>
      <w:bookmarkEnd w:id="59"/>
      <w:r>
        <w:rPr/>
        <w:t>ARTICLE VI</w:t>
      </w:r>
    </w:p>
    <w:p>
      <w:pPr>
        <w:pStyle w:val="Heading1"/>
        <w:ind w:hanging="0" w:start="0"/>
        <w:rPr/>
      </w:pPr>
      <w:bookmarkStart w:id="60" w:name="__RefHeading___Toc496435162"/>
      <w:bookmarkEnd w:id="60"/>
      <w:r>
        <w:rPr/>
        <w:t>CHANGES AND CHANGE ORDERS</w:t>
      </w:r>
    </w:p>
    <w:p>
      <w:pPr>
        <w:pStyle w:val="Heading2"/>
        <w:ind w:hanging="0" w:start="0"/>
        <w:rPr/>
      </w:pPr>
      <w:bookmarkStart w:id="61" w:name="__RefHeading___Toc496435163"/>
      <w:bookmarkEnd w:id="61"/>
      <w:r>
        <w:rPr/>
        <w:t>Section 6.1</w:t>
        <w:tab/>
        <w:t>Changes.</w:t>
      </w:r>
    </w:p>
    <w:p>
      <w:pPr>
        <w:pStyle w:val="Normal"/>
        <w:ind w:firstLine="720" w:end="0"/>
        <w:rPr/>
      </w:pPr>
      <w:r>
        <w:rPr/>
        <w:t>6.1.1</w:t>
        <w:tab/>
        <w:t>Every Change shall be evidenced by a Change Order.</w:t>
      </w:r>
    </w:p>
    <w:p>
      <w:pPr>
        <w:pStyle w:val="Normal"/>
        <w:rPr/>
      </w:pPr>
      <w:r>
        <w:rPr/>
      </w:r>
    </w:p>
    <w:p>
      <w:pPr>
        <w:pStyle w:val="Normal"/>
        <w:ind w:firstLine="720" w:end="0"/>
        <w:jc w:val="both"/>
        <w:rPr/>
      </w:pPr>
      <w:r>
        <w:rPr/>
        <w:t>6.1.2</w:t>
        <w:tab/>
        <w:t>Except to the extent a Change Order specifically evidences a Change, all provisions of this Contract shall apply to all Changes, and no Change shall be implied as a result of any other Change.</w:t>
      </w:r>
    </w:p>
    <w:p>
      <w:pPr>
        <w:pStyle w:val="Heading2"/>
        <w:ind w:hanging="0" w:start="0"/>
        <w:rPr>
          <w:b w:val="false"/>
          <w:bCs w:val="false"/>
        </w:rPr>
      </w:pPr>
      <w:bookmarkStart w:id="62" w:name="__RefHeading___Toc496435164"/>
      <w:bookmarkEnd w:id="62"/>
      <w:r>
        <w:rPr/>
        <w:t>Section 6.2</w:t>
        <w:tab/>
        <w:t>Construction Agent Directed Changes.</w:t>
      </w:r>
    </w:p>
    <w:p>
      <w:pPr>
        <w:pStyle w:val="Normal"/>
        <w:ind w:firstLine="720" w:end="0"/>
        <w:jc w:val="both"/>
        <w:rPr/>
      </w:pPr>
      <w:r>
        <w:rPr/>
        <w:t>6.2.1</w:t>
        <w:tab/>
        <w:t>Construction Agent may, by written notice to Contractor at any time during the performance of the Work, direct Contractor to make a Change, provided that such Change:</w:t>
      </w:r>
    </w:p>
    <w:p>
      <w:pPr>
        <w:pStyle w:val="Normal"/>
        <w:jc w:val="both"/>
        <w:rPr>
          <w:iCs/>
        </w:rPr>
      </w:pPr>
      <w:r>
        <w:rPr>
          <w:iCs/>
        </w:rPr>
      </w:r>
    </w:p>
    <w:p>
      <w:pPr>
        <w:pStyle w:val="Normal"/>
        <w:ind w:hanging="720" w:start="2160" w:end="0"/>
        <w:jc w:val="both"/>
        <w:rPr>
          <w:iCs/>
        </w:rPr>
      </w:pPr>
      <w:r>
        <w:rPr>
          <w:iCs/>
        </w:rPr>
        <w:t>(a)</w:t>
        <w:tab/>
        <w:t>is within the general scope of this Contract,</w:t>
      </w:r>
    </w:p>
    <w:p>
      <w:pPr>
        <w:pStyle w:val="Normal"/>
        <w:ind w:hanging="720" w:start="2160" w:end="0"/>
        <w:jc w:val="both"/>
        <w:rPr>
          <w:iCs/>
        </w:rPr>
      </w:pPr>
      <w:r>
        <w:rPr>
          <w:iCs/>
        </w:rPr>
      </w:r>
    </w:p>
    <w:p>
      <w:pPr>
        <w:pStyle w:val="Normal"/>
        <w:ind w:hanging="720" w:start="2160" w:end="0"/>
        <w:jc w:val="both"/>
        <w:rPr>
          <w:iCs/>
        </w:rPr>
      </w:pPr>
      <w:r>
        <w:rPr>
          <w:iCs/>
        </w:rPr>
        <w:t>(b)</w:t>
        <w:tab/>
        <w:t>would not cause a violation of any applicable Law or Government Authorization,</w:t>
      </w:r>
    </w:p>
    <w:p>
      <w:pPr>
        <w:pStyle w:val="Normal"/>
        <w:ind w:hanging="720" w:start="2160" w:end="0"/>
        <w:jc w:val="both"/>
        <w:rPr>
          <w:iCs/>
        </w:rPr>
      </w:pPr>
      <w:r>
        <w:rPr>
          <w:iCs/>
        </w:rPr>
      </w:r>
    </w:p>
    <w:p>
      <w:pPr>
        <w:pStyle w:val="Normal"/>
        <w:ind w:hanging="720" w:start="2160" w:end="0"/>
        <w:jc w:val="both"/>
        <w:rPr>
          <w:iCs/>
        </w:rPr>
      </w:pPr>
      <w:r>
        <w:rPr>
          <w:iCs/>
        </w:rPr>
        <w:t>(c)</w:t>
        <w:tab/>
        <w:t>is technically feasible,</w:t>
      </w:r>
    </w:p>
    <w:p>
      <w:pPr>
        <w:pStyle w:val="Normal"/>
        <w:ind w:hanging="720" w:start="2160" w:end="0"/>
        <w:jc w:val="both"/>
        <w:rPr>
          <w:iCs/>
        </w:rPr>
      </w:pPr>
      <w:r>
        <w:rPr>
          <w:iCs/>
        </w:rPr>
      </w:r>
    </w:p>
    <w:p>
      <w:pPr>
        <w:pStyle w:val="Normal"/>
        <w:ind w:hanging="720" w:start="2160" w:end="0"/>
        <w:jc w:val="both"/>
        <w:rPr>
          <w:b/>
          <w:bCs/>
          <w:i/>
          <w:i/>
        </w:rPr>
      </w:pPr>
      <w:r>
        <w:rPr>
          <w:iCs/>
        </w:rPr>
        <w:t>(d)</w:t>
        <w:tab/>
        <w:t>would not materially increase Contractor’s liability under Article 12 (Warranty), and</w:t>
      </w:r>
    </w:p>
    <w:p>
      <w:pPr>
        <w:pStyle w:val="Normal"/>
        <w:ind w:hanging="720" w:start="2160" w:end="0"/>
        <w:jc w:val="both"/>
        <w:rPr>
          <w:b/>
          <w:bCs/>
          <w:i/>
          <w:i/>
        </w:rPr>
      </w:pPr>
      <w:r>
        <w:rPr>
          <w:b/>
          <w:bCs/>
          <w:i/>
        </w:rPr>
      </w:r>
    </w:p>
    <w:p>
      <w:pPr>
        <w:pStyle w:val="Normal"/>
        <w:ind w:hanging="720" w:start="2160" w:end="0"/>
        <w:jc w:val="both"/>
        <w:rPr/>
      </w:pPr>
      <w:r>
        <w:rPr/>
        <w:t>(e)</w:t>
        <w:tab/>
        <w:t>would not have a material adverse effect on Contractor’s ability to design and construct the Facility so that, when so designed and constructed in accordance with the Change in the Facility is capable of achieving the Performance Guarantees and Minimum Performance Guarantees.</w:t>
      </w:r>
    </w:p>
    <w:p>
      <w:pPr>
        <w:pStyle w:val="Normal"/>
        <w:jc w:val="both"/>
        <w:rPr/>
      </w:pPr>
      <w:r>
        <w:rPr/>
      </w:r>
    </w:p>
    <w:p>
      <w:pPr>
        <w:pStyle w:val="Normal"/>
        <w:jc w:val="both"/>
        <w:rPr/>
      </w:pPr>
      <w:r>
        <w:rPr/>
        <w:tab/>
        <w:t>6.2.2</w:t>
        <w:tab/>
        <w:t>Any Change directed by Construction Agent pursuant to this Section 6.2 shall be the subject of a Change Order Direction delivered by Construction Agent to Contractor, and Contractor shall be entitled to receive an appropriate adjustment in the terms of this Contract in respect of such Change.</w:t>
      </w:r>
    </w:p>
    <w:p>
      <w:pPr>
        <w:pStyle w:val="Normal"/>
        <w:jc w:val="both"/>
        <w:rPr/>
      </w:pPr>
      <w:r>
        <w:rPr/>
      </w:r>
    </w:p>
    <w:p>
      <w:pPr>
        <w:pStyle w:val="Normal"/>
        <w:jc w:val="both"/>
        <w:rPr/>
      </w:pPr>
      <w:r>
        <w:rPr/>
        <w:tab/>
        <w:t>6.2.3</w:t>
        <w:tab/>
        <w:t>Within fifteen (15) Business</w:t>
      </w:r>
      <w:r>
        <w:rPr>
          <w:b/>
          <w:bCs/>
          <w:sz w:val="26"/>
        </w:rPr>
        <w:t xml:space="preserve"> </w:t>
      </w:r>
      <w:r>
        <w:rPr>
          <w:sz w:val="26"/>
        </w:rPr>
        <w:t>D</w:t>
      </w:r>
      <w:r>
        <w:rPr/>
        <w:t>ays following receipt of Construction Agent’s Change Order Direction in compliance with Section 6.2.1, Contractor shall supply the information required pursuant to Section 6.4 and propose a form of Change Order evidencing proposed Change.</w:t>
      </w:r>
    </w:p>
    <w:p>
      <w:pPr>
        <w:pStyle w:val="Normal"/>
        <w:jc w:val="both"/>
        <w:rPr/>
      </w:pPr>
      <w:r>
        <w:rPr/>
      </w:r>
    </w:p>
    <w:p>
      <w:pPr>
        <w:pStyle w:val="Normal"/>
        <w:jc w:val="both"/>
        <w:rPr/>
      </w:pPr>
      <w:r>
        <w:rPr/>
        <w:tab/>
        <w:t>6.2.4</w:t>
        <w:tab/>
        <w:t>Within fifteen (15) Business Days following Construction Agent’s receipt of the information required pursuant to Section 6.4, Construction Agent shall, by notice to Contractor, either: (a) accept and execute Contractor’s proposed Change Order; (b) request reasonable additional information, documentation or cost detail to further assess the proposed Change; (c) withdraw the Change Order Direction or (d) subject to Section 6.2.5, direct Contractor to proceed with the Change as set forth in the Change Order Direction.</w:t>
      </w:r>
    </w:p>
    <w:p>
      <w:pPr>
        <w:pStyle w:val="Normal"/>
        <w:jc w:val="both"/>
        <w:rPr/>
      </w:pPr>
      <w:r>
        <w:rPr/>
      </w:r>
    </w:p>
    <w:p>
      <w:pPr>
        <w:pStyle w:val="Normal"/>
        <w:jc w:val="both"/>
        <w:rPr/>
      </w:pPr>
      <w:r>
        <w:rPr/>
        <w:tab/>
        <w:t>6.2.5</w:t>
        <w:tab/>
        <w:t xml:space="preserve">If the Parties are unable to agree on any Construction Agent directed Changes after the Contractor has provided the information required by Sections 6.2.3 and 6.2.4(b), then, if so directed by the Construction Agent in writing, Contractor shall proceed to perform the Work in accordance with the Change Order Direction pending the resolution of any such dispute </w:t>
      </w:r>
      <w:r>
        <w:rPr>
          <w:u w:val="single"/>
        </w:rPr>
        <w:t>provided,</w:t>
      </w:r>
      <w:r>
        <w:rPr/>
        <w:t xml:space="preserve"> that each of the following conditions is met:</w:t>
      </w:r>
    </w:p>
    <w:p>
      <w:pPr>
        <w:pStyle w:val="Normal"/>
        <w:jc w:val="both"/>
        <w:rPr/>
      </w:pPr>
      <w:r>
        <w:rPr/>
      </w:r>
    </w:p>
    <w:p>
      <w:pPr>
        <w:pStyle w:val="Normal"/>
        <w:ind w:hanging="720" w:start="2160" w:end="0"/>
        <w:jc w:val="both"/>
        <w:rPr/>
      </w:pPr>
      <w:r>
        <w:rPr/>
        <w:t>(a)</w:t>
        <w:tab/>
        <w:t>the Change Order Direction complies with the limitations set forth in Section 6.2.1,</w:t>
      </w:r>
    </w:p>
    <w:p>
      <w:pPr>
        <w:pStyle w:val="Normal"/>
        <w:ind w:hanging="720" w:start="2160" w:end="0"/>
        <w:jc w:val="both"/>
        <w:rPr/>
      </w:pPr>
      <w:r>
        <w:rPr/>
      </w:r>
    </w:p>
    <w:p>
      <w:pPr>
        <w:pStyle w:val="Normal"/>
        <w:ind w:hanging="720" w:start="2160" w:end="0"/>
        <w:jc w:val="both"/>
        <w:rPr/>
      </w:pPr>
      <w:r>
        <w:rPr/>
        <w:t>(b)</w:t>
        <w:tab/>
        <w:t xml:space="preserve">resolution of the dispute with respect to such Change Order Direction is within the ambit of Section 19.1, </w:t>
      </w:r>
    </w:p>
    <w:p>
      <w:pPr>
        <w:pStyle w:val="Normal"/>
        <w:ind w:hanging="720" w:start="2160" w:end="0"/>
        <w:jc w:val="both"/>
        <w:rPr/>
      </w:pPr>
      <w:r>
        <w:rPr/>
      </w:r>
    </w:p>
    <w:p>
      <w:pPr>
        <w:pStyle w:val="Normal"/>
        <w:ind w:hanging="720" w:start="2160" w:end="0"/>
        <w:jc w:val="both"/>
        <w:rPr/>
      </w:pPr>
      <w:r>
        <w:rPr/>
        <w:t>(c)</w:t>
        <w:tab/>
        <w:t>the Parties acknowledge that in performing the Change pursuant to the Change Order Direction, Contractor does not and shall not be deemed to waive any right to resolve any such dispute by means of a proceeding initiated in accordance with Article 19, and</w:t>
      </w:r>
    </w:p>
    <w:p>
      <w:pPr>
        <w:pStyle w:val="Normal"/>
        <w:ind w:hanging="720" w:start="2160" w:end="0"/>
        <w:jc w:val="both"/>
        <w:rPr/>
      </w:pPr>
      <w:r>
        <w:rPr/>
      </w:r>
    </w:p>
    <w:p>
      <w:pPr>
        <w:pStyle w:val="Normal"/>
        <w:ind w:hanging="720" w:start="2160" w:end="0"/>
        <w:jc w:val="both"/>
        <w:rPr/>
      </w:pPr>
      <w:r>
        <w:rPr/>
        <w:t>(d)</w:t>
        <w:tab/>
        <w:t>Construction Agent shall have demonstrated to Contractor’s satisfaction that Construction Agent has access to sufficient financial resources to enable it to perform any obligation it may be determined to have under the Change Order as proposed by Contractor.</w:t>
      </w:r>
    </w:p>
    <w:p>
      <w:pPr>
        <w:pStyle w:val="Normal"/>
        <w:jc w:val="both"/>
        <w:rPr/>
      </w:pPr>
      <w:r>
        <w:rPr/>
      </w:r>
    </w:p>
    <w:p>
      <w:pPr>
        <w:pStyle w:val="Normal"/>
        <w:jc w:val="both"/>
        <w:rPr/>
      </w:pPr>
      <w:r>
        <w:rPr/>
        <w:tab/>
        <w:t>6.2.6</w:t>
        <w:tab/>
        <w:t>If the Parties are unable to agree upon any Owner Directed Change or the terms of any related Change Order (other than any election by Construction Agent of "cost plus (time and materials)" pricing pursuant to Section 6.4.3, which election shall always be binding on Contractor) within fifteen (15) Business Days following the date on which Contractor provided the information required by Sections 6.2.3 and 6.2.4(b), either Party may refer directed dispute as to such Change Order Direction for resolution in accordance with the provisions of Article 19.</w:t>
      </w:r>
    </w:p>
    <w:p>
      <w:pPr>
        <w:pStyle w:val="Normal"/>
        <w:jc w:val="both"/>
        <w:rPr/>
      </w:pPr>
      <w:r>
        <w:rPr/>
      </w:r>
    </w:p>
    <w:p>
      <w:pPr>
        <w:pStyle w:val="Normal"/>
        <w:jc w:val="both"/>
        <w:rPr/>
      </w:pPr>
      <w:r>
        <w:rPr/>
        <w:tab/>
        <w:t>6.2.7</w:t>
        <w:tab/>
        <w:t>Notwithstanding any other provision of this Section 6.2, Construction Agent shall always be entitled to direct Contractor to perform the Work in accordance with this Contract and the Specifications and Scope of Work, and to the extent such direction requires a change, alteration, modification or addition to, or deletion from, the Work which is required to cause the Facility when complete to comply with the requirements of this Contract and the Specifications and Scope of Work, such a change, alteration, modification or addition to, or deletion from, the Work shall not be deemed to be a Change.</w:t>
      </w:r>
    </w:p>
    <w:p>
      <w:pPr>
        <w:pStyle w:val="Normal"/>
        <w:jc w:val="both"/>
        <w:rPr/>
      </w:pPr>
      <w:r>
        <w:rPr/>
      </w:r>
    </w:p>
    <w:p>
      <w:pPr>
        <w:pStyle w:val="Normal"/>
        <w:jc w:val="both"/>
        <w:rPr/>
      </w:pPr>
      <w:r>
        <w:rPr/>
        <w:tab/>
        <w:t>6.2.8</w:t>
        <w:tab/>
      </w:r>
      <w:r>
        <w:rPr>
          <w:szCs w:val="24"/>
          <w:lang w:val="en-CA"/>
        </w:rPr>
      </w:r>
      <w:r>
        <w:rPr>
          <w:szCs w:val="24"/>
          <w:lang w:val="en-CA"/>
        </w:rPr>
        <w:t>Construction Agent</w:t>
      </w:r>
      <w:r>
        <w:rPr>
          <w:color w:val="000000"/>
          <w:szCs w:val="24"/>
        </w:rPr>
        <w:t xml:space="preserve"> shall be entitled to a Change upon (i) the occurrence of any Change in Law or Change in Tax or (ii) the issuance of any Change Order Direction, either of which causes a material decrease in the cost of or time required for performance of Contractor's obligations under this Contract or otherwise affects any provision of this Contract in a manner that materially decreases Contractor's obligations hereunder; </w:t>
      </w:r>
      <w:r>
        <w:rPr>
          <w:color w:val="000000"/>
          <w:szCs w:val="24"/>
          <w:u w:val="single"/>
        </w:rPr>
        <w:t>provided</w:t>
      </w:r>
      <w:r>
        <w:rPr>
          <w:color w:val="000000"/>
          <w:szCs w:val="24"/>
        </w:rPr>
        <w:t xml:space="preserve">, </w:t>
      </w:r>
      <w:r>
        <w:rPr>
          <w:color w:val="000000"/>
          <w:szCs w:val="24"/>
          <w:u w:val="single"/>
        </w:rPr>
        <w:t>however</w:t>
      </w:r>
      <w:r>
        <w:rPr>
          <w:color w:val="000000"/>
          <w:szCs w:val="24"/>
        </w:rPr>
        <w:t>, that Construction Agent shall not be entitled to implement any reduction in payment of the Contract Price or require any modification of the Project Schedule until the impact of such Change on the Contract Price or Project Schedule has been agreed by Owner and Contractor or determined pursuant to dispute resolution pursuant to Article 19 hereof.</w:t>
      </w:r>
    </w:p>
    <w:p>
      <w:pPr>
        <w:pStyle w:val="Heading2"/>
        <w:ind w:hanging="0" w:start="0"/>
        <w:rPr/>
      </w:pPr>
      <w:bookmarkStart w:id="63" w:name="__RefHeading___Toc496435165"/>
      <w:bookmarkEnd w:id="63"/>
      <w:r>
        <w:rPr/>
        <w:t>Section 6.3</w:t>
        <w:tab/>
        <w:t>Contractor Requested Changes.</w:t>
      </w:r>
    </w:p>
    <w:p>
      <w:pPr>
        <w:pStyle w:val="Normal"/>
        <w:widowControl w:val="false"/>
        <w:jc w:val="both"/>
        <w:rPr/>
      </w:pPr>
      <w:r>
        <w:rPr/>
        <w:tab/>
        <w:t>6.3.1</w:t>
        <w:tab/>
        <w:t>Contractor may, at any time during the performance of the Work, submit to Construction Agent a Change Order Request together with the information required in Section 6.4, and upon demonstrating material cost and schedule impact, Contractor shall be entitled to a Change Order evidencing an appropriate Change in respect of the occurrence of any event or circumstance constituting Change in Law and/or Change in Tax (pursuant to Section 3.10.2), uncovering of Work (pursuant to Section 3.13.3), Out of Scope Construction costs and/or delay (pursuant to Section 3.15), differing Site conditions (pursuant to Sections 3.17.1 and 3.17.3), Construction Agent Delay (pursuant to Section 4.10), delays in notice to proceed (pursuant to Section 5.1.2 or 5.1.4), clarification of allowance items (pursuant to Section 7.1.2), suspension of the Work (pursuant to Section 16.3), Force Majeure (pursuant to Section 17.4), and any other event or circumstance for which this Contract entitles Contractor to a Change.  Any such Change shall include any Change appropriate to reflect the effect of the event or circumstance referred to in this Section 6.3.1 upon any obligation or performance of Contractor under this Contract and shall include, as appropriate, Changes in Contract Price, Target Project Price, Project Schedule, Warranties, and Target Completion Date, all in a manner that is commercially and technically reasonable and appropriate in light of the event or circumstance giving rise to the Change Order Request and the rights and obligations of the Parties under this Contract with respect to the Work.</w:t>
      </w:r>
    </w:p>
    <w:p>
      <w:pPr>
        <w:pStyle w:val="Normal"/>
        <w:jc w:val="both"/>
        <w:rPr/>
      </w:pPr>
      <w:r>
        <w:rPr/>
      </w:r>
    </w:p>
    <w:p>
      <w:pPr>
        <w:pStyle w:val="Normal"/>
        <w:jc w:val="both"/>
        <w:rPr/>
      </w:pPr>
      <w:r>
        <w:rPr/>
        <w:tab/>
        <w:t>6.3.2</w:t>
        <w:tab/>
        <w:t>Within fifteen (15) Business Days following receipt of a Change Order Request pursuant to Section 6.3.1, together with a proposed form of Change Order and the other information required pursuant to Section 6.4, Construction Agent shall, by written notice to Contractor, either: (a) accept and execute Contractor’s proposed Change Order; (b) request reasonable additional information, documentation or cost detail to further assess the proposed Change(s); (c) reject the Change Order Request; or (d) propose a modified Change Order to Construction Agent.</w:t>
      </w:r>
    </w:p>
    <w:p>
      <w:pPr>
        <w:pStyle w:val="Normal"/>
        <w:jc w:val="both"/>
        <w:rPr/>
      </w:pPr>
      <w:r>
        <w:rPr/>
      </w:r>
    </w:p>
    <w:p>
      <w:pPr>
        <w:pStyle w:val="Normal"/>
        <w:jc w:val="both"/>
        <w:rPr/>
      </w:pPr>
      <w:r>
        <w:rPr/>
        <w:tab/>
        <w:t>6.3.3</w:t>
        <w:tab/>
        <w:t>If Construction Agent rejects Contractor's Change Order Request pursuant to Section 6.3.2 or if the Parties are otherwise in dispute over any such Change Order Request or any part thereof, then either Party may refer the dispute to resolution in accordance with the provisions of Article 19.</w:t>
      </w:r>
    </w:p>
    <w:p>
      <w:pPr>
        <w:pStyle w:val="Heading2"/>
        <w:ind w:hanging="0" w:start="0"/>
        <w:rPr/>
      </w:pPr>
      <w:bookmarkStart w:id="64" w:name="__RefHeading___Toc496435166"/>
      <w:bookmarkEnd w:id="64"/>
      <w:r>
        <w:rPr/>
        <w:t>Section 6.4</w:t>
        <w:tab/>
        <w:t>Information Supplementing Change Order Request.</w:t>
      </w:r>
    </w:p>
    <w:p>
      <w:pPr>
        <w:pStyle w:val="Normal"/>
        <w:jc w:val="both"/>
        <w:rPr/>
      </w:pPr>
      <w:r>
        <w:rPr/>
        <w:tab/>
        <w:t>6.4.1</w:t>
        <w:tab/>
        <w:t>Upon receipt of Construction Agent’s Change Order Direction that complies with Section 6.2.1, Contractor shall prepare and submit to Construction Agent a form of proposed Change Order and a report indicating in reasonable detail (a) any Change in the Project Schedule, Contract Price, Target  Project Price, and other aspects of the Work and Contractor’s obligations to perform the Work in accordance with the Contract resulting from such Change Order Direction, and (b) any other appropriate Change sought by Contractor as a result of such Change Order Direction,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jc w:val="both"/>
        <w:rPr/>
      </w:pPr>
      <w:r>
        <w:rPr/>
      </w:r>
    </w:p>
    <w:p>
      <w:pPr>
        <w:pStyle w:val="Normal"/>
        <w:ind w:firstLine="720" w:end="0"/>
        <w:jc w:val="both"/>
        <w:rPr/>
      </w:pPr>
      <w:r>
        <w:rPr/>
        <w:t>6.4.2</w:t>
        <w:tab/>
        <w:t>Together with any Change Order Request submitted by Contractor pursuant to Section 6.3.1, Contractor shall prepare and submit to Construction Agent a form of proposed Change Order and a report indicating in reasonable detail: (a) a description of the event or circumstance giving rise to such Change Order Request, (b) the effect on the Project Schedule, Contract Price, Target Project Price, and other aspects of the Work and Contractor’s ability to perform the Work in accordance with the Contract resulting from such event or circumstance, and (c) the Changes sought by Contractor as a result of such event or circumstance, in each case accompanied, when available, by supporting documentation sufficient to demonstrate the cost and/or schedule relief requested pursuant to such Change.  If at such time it is not practical to specify all Changes that Contractor may believe are necessary with respect to such event or circumstance, then Contractor shall provide Construction Agent with periodic supplemental information to keep Construction Agent informed of any change, development, progress or other relevant information concerning such event or circumstance and its effect.</w:t>
      </w:r>
    </w:p>
    <w:p>
      <w:pPr>
        <w:pStyle w:val="Normal"/>
        <w:jc w:val="both"/>
        <w:rPr/>
      </w:pPr>
      <w:r>
        <w:rPr/>
      </w:r>
    </w:p>
    <w:p>
      <w:pPr>
        <w:pStyle w:val="Normal"/>
        <w:ind w:firstLine="720" w:end="0"/>
        <w:jc w:val="both"/>
        <w:rPr>
          <w:b/>
          <w:bCs/>
        </w:rPr>
      </w:pPr>
      <w:r>
        <w:rPr/>
        <w:t>6.4.3</w:t>
        <w:tab/>
        <w:t>With respect to any Change Order Direction from Construction Agent or Change Order Request from Contractor that results in a change in the Fixed Scope of Work or the performance thereof, the price of such Change Order shall be (i) a mutually agreed lump-sum price calculated in such a manner as is appropriate and equitable to provide Contractor with the economic benefits of this Contract as adjusted to reflect such Change or (ii) a cost plus (time and materials) price, calculated to account for all of Contractor's actual reasonable costs and expenses relating thereto, including labor, materials and time spent, and reasonable actual overhead costs, plus profit thereon at a rate of 5% (either (i) or (ii), the "</w:t>
      </w:r>
      <w:r>
        <w:rPr>
          <w:u w:val="single"/>
        </w:rPr>
        <w:t>Change Price</w:t>
      </w:r>
      <w:r>
        <w:rPr/>
        <w:t>").  Any Change Price agreed by the Parties or determined pursuant to Article 19 shall result in appropriate adjustments to the Payment Schedule.  With respect to any Change Order Request or Change Order Direction, the cost thereof shall become due and payable as specified in the Change Order relating thereto agreed by the Parties or determined pursuant to Article 19.</w:t>
      </w:r>
    </w:p>
    <w:p>
      <w:pPr>
        <w:pStyle w:val="Normal"/>
        <w:jc w:val="both"/>
        <w:rPr>
          <w:b/>
          <w:bCs/>
        </w:rPr>
      </w:pPr>
      <w:r>
        <w:rPr>
          <w:b/>
          <w:bCs/>
        </w:rPr>
      </w:r>
    </w:p>
    <w:p>
      <w:pPr>
        <w:pStyle w:val="Normal"/>
        <w:ind w:firstLine="720" w:end="0"/>
        <w:jc w:val="both"/>
        <w:rPr/>
      </w:pPr>
      <w:r>
        <w:rPr>
          <w:bCs/>
        </w:rPr>
        <w:t>6.4.4</w:t>
        <w:tab/>
        <w:t>I</w:t>
      </w:r>
      <w:r>
        <w:rPr/>
        <w:t>n the event that a Change Order results in an increase in the Contract Price, Contractor may require that Construction Agent demonstrate to Contractor’s reasonable satisfaction that Construction Agent has access to sufficient financial resources to enable it to perform its obligations under such Change Order as a condition to Contractor’s performance of any Change in the Work effected by such Change Order.</w:t>
      </w:r>
    </w:p>
    <w:p>
      <w:pPr>
        <w:pStyle w:val="Normal"/>
        <w:rPr/>
      </w:pPr>
      <w:r>
        <w:rPr/>
      </w:r>
    </w:p>
    <w:p>
      <w:pPr>
        <w:pStyle w:val="Heading1"/>
        <w:ind w:hanging="0" w:start="0"/>
        <w:rPr>
          <w:b w:val="false"/>
          <w:bCs w:val="false"/>
        </w:rPr>
      </w:pPr>
      <w:bookmarkStart w:id="65" w:name="__RefHeading___Toc496435167"/>
      <w:bookmarkEnd w:id="65"/>
      <w:r>
        <w:rPr/>
        <w:t>ARTICLE VII</w:t>
      </w:r>
    </w:p>
    <w:p>
      <w:pPr>
        <w:pStyle w:val="Heading1"/>
        <w:ind w:hanging="0" w:start="0"/>
        <w:rPr/>
      </w:pPr>
      <w:bookmarkStart w:id="66" w:name="__RefHeading___Toc496435168"/>
      <w:bookmarkEnd w:id="66"/>
      <w:r>
        <w:rPr/>
        <w:t>CONTRACT PRICE; PAYMENTS TO CONTRACTOR</w:t>
      </w:r>
    </w:p>
    <w:p>
      <w:pPr>
        <w:pStyle w:val="Heading2"/>
        <w:ind w:hanging="0" w:start="0"/>
        <w:rPr/>
      </w:pPr>
      <w:bookmarkStart w:id="67" w:name="__RefHeading___Toc496435169"/>
      <w:bookmarkEnd w:id="67"/>
      <w:r>
        <w:rPr/>
        <w:t>Section 7.1</w:t>
        <w:tab/>
        <w:t>Contract Price.</w:t>
      </w:r>
    </w:p>
    <w:p>
      <w:pPr>
        <w:pStyle w:val="Normal"/>
        <w:ind w:firstLine="720" w:end="0"/>
        <w:rPr/>
      </w:pPr>
      <w:r>
        <w:rPr/>
        <w:t>7.1.1</w:t>
        <w:tab/>
      </w:r>
      <w:r>
        <w:rPr>
          <w:u w:val="single"/>
        </w:rPr>
        <w:t>Generally</w:t>
      </w:r>
      <w:r>
        <w:rPr/>
        <w:t>.  Contractor shall perform the Work for, and Construction Agent shall pay or cause to be paid, the Contract Price.  The "</w:t>
      </w:r>
      <w:r>
        <w:rPr>
          <w:u w:val="single"/>
        </w:rPr>
        <w:t>Contract Price</w:t>
      </w:r>
      <w:r>
        <w:rPr/>
        <w:t>" shall be the sum of the Contractor’s Fee, the Fixed Costs, and the Reimbursable Costs, each as defined and further described below.</w:t>
      </w:r>
    </w:p>
    <w:p>
      <w:pPr>
        <w:pStyle w:val="Normal"/>
        <w:rPr/>
      </w:pPr>
      <w:r>
        <w:rPr/>
      </w:r>
    </w:p>
    <w:p>
      <w:pPr>
        <w:pStyle w:val="Normal"/>
        <w:ind w:hanging="720" w:start="2160" w:end="0"/>
        <w:rPr/>
      </w:pPr>
      <w:r>
        <w:rPr/>
        <w:t>(a)</w:t>
        <w:tab/>
      </w:r>
      <w:r>
        <w:rPr>
          <w:u w:val="single"/>
        </w:rPr>
        <w:t>Contractor’s Fee</w:t>
      </w:r>
      <w:r>
        <w:rPr/>
        <w:t>.  The  "</w:t>
      </w:r>
      <w:r>
        <w:rPr>
          <w:u w:val="single"/>
        </w:rPr>
        <w:t>Contractor’s Fee</w:t>
      </w:r>
      <w:r>
        <w:rPr/>
        <w:t>" for performance of the Work generally shall be $4,000,000, and shall not be subject to adjustment.</w:t>
      </w:r>
    </w:p>
    <w:p>
      <w:pPr>
        <w:pStyle w:val="Normal"/>
        <w:ind w:hanging="720" w:start="2160" w:end="0"/>
        <w:rPr/>
      </w:pPr>
      <w:r>
        <w:rPr/>
      </w:r>
    </w:p>
    <w:p>
      <w:pPr>
        <w:pStyle w:val="Normal"/>
        <w:ind w:hanging="720" w:start="2160" w:end="0"/>
        <w:jc w:val="both"/>
        <w:rPr/>
      </w:pPr>
      <w:r>
        <w:rPr/>
        <w:t>(b)</w:t>
        <w:tab/>
      </w:r>
      <w:r>
        <w:rPr>
          <w:u w:val="single"/>
        </w:rPr>
        <w:t>Fixed Costs</w:t>
      </w:r>
      <w:r>
        <w:rPr/>
        <w:t>.  The  "</w:t>
      </w:r>
      <w:r>
        <w:rPr>
          <w:u w:val="single"/>
        </w:rPr>
        <w:t>Fixed Costs</w:t>
      </w:r>
      <w:r>
        <w:rPr/>
        <w:t xml:space="preserve">" for performance of the Fixed Scope of Work shall be $9,228,000, subject to adjustment in the event that any Phase or the Facility has not achieved Substantial Completion by the Target Completion Date due to delay not within the reasonable control of Contractor.  In such event, only to the extent that any such delay is not within the reasonable control of Contractor, and otherwise in accordance with the provisions of Article 6, the Fixed Costs may be adjusted to compensate Contractor for its actual reasonable expenses incurred after the Target Completion Date for additional Project and construction management required to complete the Work following the Target Completion Date;  </w:t>
      </w:r>
      <w:r>
        <w:rPr>
          <w:u w:val="single"/>
        </w:rPr>
        <w:t>provided</w:t>
      </w:r>
      <w:r>
        <w:rPr/>
        <w:t xml:space="preserve">, </w:t>
      </w:r>
      <w:r>
        <w:rPr>
          <w:u w:val="single"/>
        </w:rPr>
        <w:t>however</w:t>
      </w:r>
      <w:r>
        <w:rPr/>
        <w:t>, that no portion of the Fixed Costs attributable to any other portion of the Fixed Scope of Work (other than Project and construction management) shall be subject to adjustment for any delay in completion beyond the Target Completion Date.</w:t>
      </w:r>
    </w:p>
    <w:p>
      <w:pPr>
        <w:pStyle w:val="Normal"/>
        <w:ind w:hanging="720" w:start="2160" w:end="0"/>
        <w:rPr/>
      </w:pPr>
      <w:r>
        <w:rPr/>
      </w:r>
    </w:p>
    <w:p>
      <w:pPr>
        <w:pStyle w:val="Normal"/>
        <w:ind w:hanging="720" w:start="2160" w:end="0"/>
        <w:jc w:val="both"/>
        <w:rPr/>
      </w:pPr>
      <w:r>
        <w:rPr/>
        <w:t>(c)</w:t>
        <w:tab/>
      </w:r>
      <w:r>
        <w:rPr>
          <w:u w:val="single"/>
        </w:rPr>
        <w:t>Reimbursable Costs</w:t>
      </w:r>
      <w:r>
        <w:rPr/>
        <w:t>.</w:t>
        <w:tab/>
        <w:t>The "</w:t>
      </w:r>
      <w:r>
        <w:rPr>
          <w:u w:val="single"/>
        </w:rPr>
        <w:t>Reimbursable Costs</w:t>
      </w:r>
      <w:r>
        <w:rPr/>
        <w:t>" shall be the actual reasonable costs necessarily incurred by Contractor in the proper performance of the Reimbursable Scope of Work, at rates not higher than the standard paid at the place of performance of such portion of the Work except with the prior written consent of Construction Agent, and shall not include any costs incurred for performance of any portion of the Fixed Scope of Work or any costs due to the fault or negligence of Contractor, any Subcontractor, or any employee directly or indirectly employed by any of them, or any agent or other person for whose acts any of them may be liable, including costs for the correction or repair of damaged, defective or nonconforming Work, disposal and replacement of materials and equipment incorrectly ordered or supplied, and making good any damage to property not forming part of the Work.  As of the date hereof, the Reimbursable Costs are anticipated to be $30,182,600 (the "</w:t>
      </w:r>
      <w:r>
        <w:rPr>
          <w:u w:val="single"/>
        </w:rPr>
        <w:t>Anticipated Reimbursable Costs</w:t>
      </w:r>
      <w:r>
        <w:rPr/>
        <w:t>").</w:t>
      </w:r>
    </w:p>
    <w:p>
      <w:pPr>
        <w:pStyle w:val="Normal"/>
        <w:rPr/>
      </w:pPr>
      <w:r>
        <w:rPr/>
      </w:r>
    </w:p>
    <w:p>
      <w:pPr>
        <w:pStyle w:val="Normal"/>
        <w:ind w:firstLine="720" w:end="0"/>
        <w:jc w:val="both"/>
        <w:rPr/>
      </w:pPr>
      <w:r>
        <w:rPr/>
        <w:t>7.1.2</w:t>
        <w:tab/>
      </w:r>
      <w:r>
        <w:rPr>
          <w:u w:val="single"/>
        </w:rPr>
        <w:t>Target Project Price;  Actual Project Price</w:t>
      </w:r>
      <w:r>
        <w:rPr/>
        <w:t>.  The "</w:t>
      </w:r>
      <w:r>
        <w:rPr>
          <w:u w:val="single"/>
        </w:rPr>
        <w:t>Target Project Price</w:t>
      </w:r>
      <w:r>
        <w:rPr/>
        <w:t>" shall be the sum of the Contractor's Fee, the Fixed Costs and the Anticipated Reimbursable Costs.  The Target Project Price is anticipated to be $43,410,600, subject to adjustment only in the event and to the extent the Fixed Costs are adjusted in accordance with Section 7.1.1(b).  The "</w:t>
      </w:r>
      <w:r>
        <w:rPr>
          <w:u w:val="single"/>
        </w:rPr>
        <w:t>Actual Project Price</w:t>
      </w:r>
      <w:r>
        <w:rPr/>
        <w:t>" shall be the sum of the Contractor's Fee, the Fixed Costs and the Reimbursable Costs.</w:t>
      </w:r>
    </w:p>
    <w:p>
      <w:pPr>
        <w:pStyle w:val="Normal"/>
        <w:rPr/>
      </w:pPr>
      <w:r>
        <w:rPr/>
      </w:r>
    </w:p>
    <w:p>
      <w:pPr>
        <w:pStyle w:val="Normal"/>
        <w:ind w:firstLine="720" w:end="0"/>
        <w:jc w:val="both"/>
        <w:rPr/>
      </w:pPr>
      <w:r>
        <w:rPr/>
        <w:t>7.1.3</w:t>
        <w:tab/>
      </w:r>
      <w:r>
        <w:rPr>
          <w:u w:val="single"/>
        </w:rPr>
        <w:t>Incentive Bonus</w:t>
      </w:r>
      <w:r>
        <w:rPr/>
        <w:t>.  In the event that (a) Contractor achieves Substantial Completion of the Facility or any Phase prior to the Target Completion Date and/or (b) upon achievement of Final Completion of the Facility, the Target Project Price exceeds the Actual Project Price, Contractor shall become entitled to receive, and Construction Agent shall pay or cause to be paid, an incentive bonus (the "</w:t>
      </w:r>
      <w:r>
        <w:rPr>
          <w:u w:val="single"/>
        </w:rPr>
        <w:t>Incentive Bonus</w:t>
      </w:r>
      <w:r>
        <w:rPr/>
        <w:t xml:space="preserve">") in the amount of (x) twenty-five percent (25%) of all net revenue after taxes earned by Owner from the generation of electrical energy from the Facility or any Phase prior to the Target Completion Date, as adjusted, and (y) fifty percent (50%) of the amount, if any, by which the Target Project Price, as adjusted, exceeds the Actual Project Price; </w:t>
      </w:r>
      <w:r>
        <w:rPr>
          <w:u w:val="single"/>
        </w:rPr>
        <w:t>provided</w:t>
      </w:r>
      <w:r>
        <w:rPr/>
        <w:t xml:space="preserve">, </w:t>
      </w:r>
      <w:r>
        <w:rPr>
          <w:u w:val="single"/>
        </w:rPr>
        <w:t>however</w:t>
      </w:r>
      <w:r>
        <w:rPr/>
        <w:t>, that in no event shall the Incentive Bonus exceed $1,000,000.</w:t>
      </w:r>
    </w:p>
    <w:p>
      <w:pPr>
        <w:pStyle w:val="Normal"/>
        <w:ind w:firstLine="720" w:end="0"/>
        <w:jc w:val="both"/>
        <w:rPr>
          <w:u w:val="single"/>
        </w:rPr>
      </w:pPr>
      <w:r>
        <w:rPr>
          <w:u w:val="single"/>
        </w:rPr>
      </w:r>
    </w:p>
    <w:p>
      <w:pPr>
        <w:pStyle w:val="Normal"/>
        <w:keepNext w:val="true"/>
        <w:ind w:firstLine="720" w:end="0"/>
        <w:rPr/>
      </w:pPr>
      <w:r>
        <w:rPr/>
        <w:t>7.1.4</w:t>
        <w:tab/>
      </w:r>
      <w:r>
        <w:rPr>
          <w:u w:val="single"/>
        </w:rPr>
        <w:t>Discounts, Rebates and Refunds</w:t>
      </w:r>
      <w:r>
        <w:rPr/>
        <w:t>.</w:t>
      </w:r>
    </w:p>
    <w:p>
      <w:pPr>
        <w:pStyle w:val="Normal"/>
        <w:keepNext w:val="true"/>
        <w:rPr/>
      </w:pPr>
      <w:r>
        <w:rPr/>
      </w:r>
    </w:p>
    <w:p>
      <w:pPr>
        <w:pStyle w:val="Normal"/>
        <w:ind w:hanging="720" w:start="2160" w:end="0"/>
        <w:jc w:val="both"/>
        <w:rPr/>
      </w:pPr>
      <w:r>
        <w:rPr/>
        <w:t>(a)</w:t>
        <w:tab/>
        <w:t xml:space="preserve">Cash discounts obtained on payments made by Contractor shall accrue to Construction Agent if (a) prior to making such payment, Contractor included such payment (or the item in respect of which such payment was made) in an invoice pursuant to Section 7.2.2, or (b) Construction Agent or Owner has deposited funds with Contractor to make payments, including any payment to which any such cash discount relates;  otherwise, cash discounts shall accrue to Contractor.  Trade discounts, rebates, refunds and amounts received from sales of surplus materials and Equipment, including any Free Issue Equipment, if any, shall accrue to Construction Agent, and Contractor shall make provisions with Subcontractors and vendors so that they can be secured to the benefit of Construction Agent. </w:t>
      </w:r>
    </w:p>
    <w:p>
      <w:pPr>
        <w:pStyle w:val="Normal"/>
        <w:ind w:hanging="720" w:start="2160" w:end="0"/>
        <w:rPr/>
      </w:pPr>
      <w:r>
        <w:rPr/>
      </w:r>
    </w:p>
    <w:p>
      <w:pPr>
        <w:pStyle w:val="Normal"/>
        <w:ind w:hanging="720" w:start="2160" w:end="0"/>
        <w:jc w:val="both"/>
        <w:rPr>
          <w:u w:val="single"/>
        </w:rPr>
      </w:pPr>
      <w:r>
        <w:rPr/>
        <w:t>(b)</w:t>
        <w:tab/>
        <w:t>Amounts which accrue to Construction Agent in accordance with the provisions of this Section 7.1.4 shall be credited to Construction Agent as a deduction from the Reimbursable Costs.</w:t>
      </w:r>
    </w:p>
    <w:p>
      <w:pPr>
        <w:pStyle w:val="Heading2"/>
        <w:ind w:hanging="0" w:start="0"/>
        <w:rPr/>
      </w:pPr>
      <w:bookmarkStart w:id="68" w:name="__RefHeading___Toc496435170"/>
      <w:bookmarkEnd w:id="68"/>
      <w:r>
        <w:rPr/>
        <w:t>Section 7.2</w:t>
        <w:tab/>
        <w:t>Payment of Contract Price.</w:t>
      </w:r>
    </w:p>
    <w:p>
      <w:pPr>
        <w:pStyle w:val="Normal"/>
        <w:jc w:val="both"/>
        <w:rPr/>
      </w:pPr>
      <w:r>
        <w:rPr/>
        <w:tab/>
        <w:t>7.2.1</w:t>
        <w:tab/>
      </w:r>
      <w:r>
        <w:rPr>
          <w:u w:val="single"/>
        </w:rPr>
        <w:t>Payment Schedule</w:t>
      </w:r>
      <w:r>
        <w:rPr/>
        <w:t>.  Except as provided in Section 7.4:</w:t>
      </w:r>
    </w:p>
    <w:p>
      <w:pPr>
        <w:pStyle w:val="Normal"/>
        <w:jc w:val="both"/>
        <w:rPr/>
      </w:pPr>
      <w:r>
        <w:rPr/>
      </w:r>
    </w:p>
    <w:p>
      <w:pPr>
        <w:pStyle w:val="Normal"/>
        <w:tabs>
          <w:tab w:val="clear" w:pos="720"/>
          <w:tab w:val="left" w:pos="-1200" w:leader="none"/>
        </w:tabs>
        <w:ind w:hanging="720" w:start="2160" w:end="0"/>
        <w:jc w:val="both"/>
        <w:rPr/>
      </w:pPr>
      <w:r>
        <w:rPr/>
        <w:t>(a)</w:t>
        <w:tab/>
        <w:t xml:space="preserve">the Fixed Costs shall be paid to Contractor on a monthly basis, in the currency specified in accordance with the Payment Schedule set forth in </w:t>
      </w:r>
      <w:r>
        <w:rPr>
          <w:u w:val="single"/>
        </w:rPr>
        <w:t>Exhibit "C-2"</w:t>
      </w:r>
      <w:r>
        <w:rPr/>
        <w:t xml:space="preserve"> which sets forth the portion of the Fixed Costs allocable to and payable by Construction Agent or Owner in respect of the achievement of each Milestone; </w:t>
      </w:r>
    </w:p>
    <w:p>
      <w:pPr>
        <w:pStyle w:val="Normal"/>
        <w:tabs>
          <w:tab w:val="clear" w:pos="720"/>
          <w:tab w:val="left" w:pos="-1200" w:leader="none"/>
        </w:tabs>
        <w:ind w:hanging="720" w:start="2160" w:end="0"/>
        <w:jc w:val="both"/>
        <w:rPr/>
      </w:pPr>
      <w:r>
        <w:rPr/>
      </w:r>
    </w:p>
    <w:p>
      <w:pPr>
        <w:pStyle w:val="Normal"/>
        <w:tabs>
          <w:tab w:val="clear" w:pos="720"/>
          <w:tab w:val="left" w:pos="-1200" w:leader="none"/>
        </w:tabs>
        <w:ind w:hanging="720" w:start="2160" w:end="0"/>
        <w:jc w:val="both"/>
        <w:rPr/>
      </w:pPr>
      <w:r>
        <w:rPr/>
        <w:t>(b)</w:t>
        <w:tab/>
        <w:t xml:space="preserve">the Reimbursable Costs shall be paid to Contractor on a monthly basis, in the currency incurred, as incurred by Contractor, </w:t>
      </w:r>
      <w:r>
        <w:rPr>
          <w:u w:val="single"/>
        </w:rPr>
        <w:t>provided</w:t>
      </w:r>
      <w:r>
        <w:rPr/>
        <w:t xml:space="preserve"> that such Reimbursable Costs do not exceed the maximum amount reimbursable in any month in accordance with the Payment Schedule set forth in </w:t>
      </w:r>
      <w:r>
        <w:rPr>
          <w:u w:val="single"/>
        </w:rPr>
        <w:t>Exhibit "C-2"</w:t>
      </w:r>
      <w:r>
        <w:rPr/>
        <w:t>;  and</w:t>
      </w:r>
    </w:p>
    <w:p>
      <w:pPr>
        <w:pStyle w:val="Normal"/>
        <w:tabs>
          <w:tab w:val="clear" w:pos="720"/>
          <w:tab w:val="left" w:pos="-1200" w:leader="none"/>
        </w:tabs>
        <w:ind w:hanging="720" w:start="2160" w:end="0"/>
        <w:rPr/>
      </w:pPr>
      <w:r>
        <w:rPr/>
      </w:r>
    </w:p>
    <w:p>
      <w:pPr>
        <w:pStyle w:val="Normal"/>
        <w:tabs>
          <w:tab w:val="clear" w:pos="720"/>
          <w:tab w:val="left" w:pos="-1200" w:leader="none"/>
        </w:tabs>
        <w:ind w:hanging="720" w:start="2160" w:end="0"/>
        <w:jc w:val="both"/>
        <w:rPr/>
      </w:pPr>
      <w:r>
        <w:rPr/>
        <w:t>(c)</w:t>
        <w:tab/>
        <w:t>the Contractor's Fee and Incentive Bonus, if any, shall be paid to Contractor in a lump sum within thirty days after Final Completion of the Facility.</w:t>
      </w:r>
    </w:p>
    <w:p>
      <w:pPr>
        <w:pStyle w:val="Normal"/>
        <w:ind w:firstLine="720" w:start="720" w:end="0"/>
        <w:jc w:val="both"/>
        <w:rPr/>
      </w:pPr>
      <w:r>
        <w:rPr/>
      </w:r>
    </w:p>
    <w:p>
      <w:pPr>
        <w:pStyle w:val="Normal"/>
        <w:ind w:firstLine="720" w:end="0"/>
        <w:jc w:val="both"/>
        <w:rPr/>
      </w:pPr>
      <w:r>
        <w:rPr/>
        <w:t>7.2.2</w:t>
        <w:tab/>
      </w:r>
      <w:r>
        <w:rPr>
          <w:szCs w:val="24"/>
          <w:lang w:val="en-CA"/>
        </w:rPr>
      </w:r>
      <w:r>
        <w:rPr>
          <w:color w:val="000000"/>
          <w:szCs w:val="24"/>
          <w:u w:val="single"/>
        </w:rPr>
        <w:t>Monthly Invoice</w:t>
      </w:r>
      <w:r>
        <w:rPr>
          <w:color w:val="000000"/>
          <w:szCs w:val="24"/>
        </w:rPr>
        <w:t>.  On or before the [tenth (10</w:t>
      </w:r>
      <w:r>
        <w:rPr>
          <w:color w:val="000000"/>
          <w:szCs w:val="24"/>
          <w:vertAlign w:val="superscript"/>
        </w:rPr>
        <w:t>th</w:t>
      </w:r>
      <w:r>
        <w:rPr>
          <w:color w:val="000000"/>
          <w:szCs w:val="24"/>
        </w:rPr>
        <w:t xml:space="preserve">)] day of each month during the performance of the Work, Contractor shall furnish to Construction Agent a detailed invoice for the prior month </w:t>
      </w:r>
      <w:r>
        <w:rPr/>
        <w:t xml:space="preserve">setting forth in reasonable detail the amount of the Fixed Costs payable for Milestones achieved during the prior month and the amount of Reimbursable Costs incurred during the prior month, together with a statement of the Milestones achieved and </w:t>
      </w:r>
      <w:r>
        <w:rPr>
          <w:color w:val="000000"/>
          <w:szCs w:val="24"/>
        </w:rPr>
        <w:t xml:space="preserve">reasonable documentation or supporting information that substantiates and verifies to Construction Agent's reasonable satisfaction that the Milestone(s) for which Contractor is invoicing Construction Agent has been fully completed </w:t>
      </w:r>
      <w:r>
        <w:rPr/>
        <w:t>and the Reimbursable Costs for which Contractor is invoicing Construction Agent have been incurred</w:t>
      </w:r>
      <w:r>
        <w:rPr>
          <w:color w:val="000000"/>
          <w:szCs w:val="24"/>
        </w:rPr>
        <w:t xml:space="preserve">.  Such invoice shall set forth the total amount due, as well as that portion of the total amount that is attributable to Work satisfactorily performed by and is payable directly to any Subcontractor, itemized by Subcontractor (and for which invoices are included pursuant to Section 7.2.4.1), during such month.  </w:t>
      </w:r>
    </w:p>
    <w:p>
      <w:pPr>
        <w:pStyle w:val="Normal"/>
        <w:rPr>
          <w:color w:val="000000"/>
          <w:szCs w:val="24"/>
        </w:rPr>
      </w:pPr>
      <w:r>
        <w:rPr>
          <w:color w:val="000000"/>
          <w:szCs w:val="24"/>
        </w:rPr>
      </w:r>
    </w:p>
    <w:p>
      <w:pPr>
        <w:pStyle w:val="Normal"/>
        <w:ind w:firstLine="720" w:end="0"/>
        <w:jc w:val="both"/>
        <w:rPr/>
      </w:pPr>
      <w:r>
        <w:rPr>
          <w:color w:val="000000"/>
          <w:szCs w:val="24"/>
        </w:rPr>
        <w:t>7.2.3</w:t>
        <w:tab/>
      </w:r>
      <w:r>
        <w:rPr>
          <w:color w:val="000000"/>
          <w:szCs w:val="24"/>
          <w:u w:val="single"/>
        </w:rPr>
        <w:t>Monthly Payments</w:t>
      </w:r>
      <w:r>
        <w:rPr>
          <w:color w:val="000000"/>
          <w:szCs w:val="24"/>
        </w:rPr>
        <w:t>.  On or before the day which is 21 days following the receipt of any invoice submitted by Contractor pursuant to Section 7.2.2 (or, if such day is not a  Business Day, then the next succeeding Business Day), subject to Construction Agent's withholding rights under Section 7.7, Construction Agent or Owner shall pay Contractor (and/or may directly pay any Subcontractors designated in such invoice) the undisputed portion of the total amount in such invoice (subject to confirmation by Construction Agent and any Lender's independent engineer of the Work progress reflected therein).  All payments made to Contractor and/or Subcontractors hereunder shall be made by wire transfer of immediately available funds to the accounts designated by Contractor and/or Subcontractors.  In the event Contractor's invoice is not received by Construction Agent on or before the tenth (10</w:t>
      </w:r>
      <w:r>
        <w:rPr>
          <w:color w:val="000000"/>
          <w:szCs w:val="24"/>
          <w:vertAlign w:val="superscript"/>
        </w:rPr>
        <w:t>th</w:t>
      </w:r>
      <w:r>
        <w:rPr>
          <w:color w:val="000000"/>
          <w:szCs w:val="24"/>
        </w:rPr>
        <w:t>) day of any month, Construction Agent's time for making any payment in respect thereof shall be extended on a day-for-day basis.  Upon the request of Contractor or Construction Agent, Owner may, in its sole discretion, pay directly to Contractor or any Subcontractor any amount otherwise payable by Construction Agent under this Contract, including under this Section 7.2.3 and Section 7.2.6 below, and such payment by Owner shall be deemed to be a payment on behalf of Construction Agent in satisfaction of the respective obligation of Construction Agent relating thereto.</w:t>
      </w:r>
    </w:p>
    <w:p>
      <w:pPr>
        <w:pStyle w:val="Normal"/>
        <w:ind w:hanging="720" w:start="1440" w:end="0"/>
        <w:jc w:val="both"/>
        <w:rPr>
          <w:rFonts w:ascii="Arial" w:hAnsi="Arial" w:cs="Arial"/>
        </w:rPr>
      </w:pPr>
      <w:r>
        <w:rPr>
          <w:rFonts w:cs="Arial" w:ascii="Arial" w:hAnsi="Arial"/>
        </w:rPr>
      </w:r>
    </w:p>
    <w:p>
      <w:pPr>
        <w:pStyle w:val="Normal"/>
        <w:jc w:val="both"/>
        <w:rPr/>
      </w:pPr>
      <w:r>
        <w:rPr/>
        <w:tab/>
        <w:t>7.2.4</w:t>
        <w:tab/>
      </w:r>
      <w:r>
        <w:rPr>
          <w:u w:val="single"/>
        </w:rPr>
        <w:t>Final Payment</w:t>
      </w:r>
      <w:r>
        <w:rPr/>
        <w:t>.  Following Final Completion, Contractor shall submit to Construction Agent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 for which Contractor may in any way be responsible, have been paid or released, as the case may be, accompanied by releases and waivers of liens from Contractor and each of its Subcontractors under any Major Subcontract and such other data as Construction Agent, Owner or any Lender may reasonably request establishing payment of or surety for payment of all such obligations.  To the extent that a lien waiver is not provided with respect to any such Major Subcontractor, Contractor may post a letter of credit issued by a commercial bank having a rating of at least A by Standard &amp; Poor’s or comparable rating from another similarly recognized national rating agency in the United States, or in lieu of a letter of credit, an escrow of funds to satisfy the lien claim of any such Major Subcontractor in lieu of such waiver.  Within 30 days of the receipt of such statements and financial security, if any, and provided that all Final Completion requirements (including all Punchlist Items) have been satisfactorily completed, Construction Agent shall pay Contractor the remaining portion of the Contract Price, including any Punchlist retention, and the Incentive Bonus, if any.</w:t>
      </w:r>
    </w:p>
    <w:p>
      <w:pPr>
        <w:pStyle w:val="Normal"/>
        <w:jc w:val="both"/>
        <w:rPr/>
      </w:pPr>
      <w:r>
        <w:rPr/>
      </w:r>
    </w:p>
    <w:p>
      <w:pPr>
        <w:pStyle w:val="Normal"/>
        <w:ind w:firstLine="720" w:end="0"/>
        <w:rPr/>
      </w:pPr>
      <w:r>
        <w:rPr/>
        <w:t>7.2.5</w:t>
        <w:tab/>
      </w:r>
      <w:r>
        <w:rPr>
          <w:color w:val="000000"/>
          <w:szCs w:val="24"/>
          <w:u w:val="single"/>
        </w:rPr>
        <w:t>Direct Payment of Subcontractors</w:t>
      </w:r>
      <w:r>
        <w:rPr>
          <w:color w:val="000000"/>
          <w:szCs w:val="24"/>
        </w:rPr>
        <w:t xml:space="preserve">.  </w:t>
      </w:r>
    </w:p>
    <w:p>
      <w:pPr>
        <w:pStyle w:val="Normal"/>
        <w:rPr>
          <w:color w:val="000000"/>
          <w:szCs w:val="24"/>
        </w:rPr>
      </w:pPr>
      <w:r>
        <w:rPr>
          <w:color w:val="000000"/>
          <w:szCs w:val="24"/>
        </w:rPr>
      </w:r>
    </w:p>
    <w:p>
      <w:pPr>
        <w:pStyle w:val="Normal"/>
        <w:tabs>
          <w:tab w:val="clear" w:pos="720"/>
          <w:tab w:val="left" w:pos="2160" w:leader="none"/>
        </w:tabs>
        <w:ind w:hanging="720" w:start="2160" w:end="0"/>
        <w:jc w:val="both"/>
        <w:rPr>
          <w:color w:val="000000"/>
          <w:szCs w:val="24"/>
        </w:rPr>
      </w:pPr>
      <w:r>
        <w:rPr>
          <w:color w:val="000000"/>
          <w:szCs w:val="24"/>
        </w:rPr>
        <w:t>(a)</w:t>
        <w:tab/>
        <w:t xml:space="preserve">Upon request of Contractor, Construction Agent may pay any undisputed amount otherwise due Contractor under this Contract directly to any Subcontractor in accordance with Contractor's request.  Such payment by Construction Agent to any Subcontractor shall be deemed to be a payment of an equal portion of the Contract Price.  </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jc w:val="both"/>
        <w:rPr>
          <w:color w:val="000000"/>
          <w:szCs w:val="24"/>
        </w:rPr>
      </w:pPr>
      <w:r>
        <w:rPr>
          <w:color w:val="000000"/>
          <w:szCs w:val="24"/>
        </w:rPr>
        <w:t>(b)</w:t>
        <w:tab/>
        <w:t xml:space="preserve">Prior to submitting invoices to Construction Agent, Contractor shall review and approve all Subcontractor invoices.  Contractor shall not approve any invoice, including any Subcontractor invoices, for payment by Construction Agent that does not comply, in form and substance, with the terms of this Contract or that contains any amount which Contractor knows or should know is an amount disputed by Contractor or Construction Agent.  Further, Contractor shall assume all responsibility for and shall indemnify Construction Agent against all Claims of any Subcontractor against Construction Agent which arise out of Construction Agent's direct payments to Subcontractors (or Construction Agent's withholding of any disputed amount from any Subcontractor) and shall perform and assume all responsibility and cost for any services relating to the administration, review, approval, accounting procedures and journal entries resulting from Construction Agent's direct payment to such Subcontractors (other than Construction Agent's internal accounting and payment procedures for processing and paying such Subcontractor invoices).  Contractor shall prepare a summary sheet which itemizes the amount of each Subcontractor invoice and its own invoice for that month.  The sum of the Subcontractors' invoices and Contractor's invoice shall not exceed the amount that Construction Agent is obligated to pay in any given month pursuant to Section 7.2.3.  The summary sheet shall also provide Construction Agent with the proper wire transfer instructions for each Subcontractor (if such information is not otherwise included in such Subcontractor's invoice) or such other instruction with respect to the payment to such Subcontractor, as well as any disputed amount which Construction Agent is not to pay per Contractor's direction.  </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jc w:val="both"/>
        <w:rPr>
          <w:color w:val="000000"/>
          <w:szCs w:val="24"/>
        </w:rPr>
      </w:pPr>
      <w:r>
        <w:rPr>
          <w:color w:val="000000"/>
          <w:szCs w:val="24"/>
        </w:rPr>
        <w:t>(c)</w:t>
        <w:tab/>
        <w:t>The summary sheet along with Contractor's invoice and all Contractor approved Subcontractor invoices shall be forwarded to Construction Agent pursuant to Section 7.2.2 above.  Construction Agent shall pay the undisputed amount of all such invoices in accordance with payment instructions contained therein and pursuant to Section 7.2.3 above.</w:t>
      </w:r>
    </w:p>
    <w:p>
      <w:pPr>
        <w:pStyle w:val="Normal"/>
        <w:numPr>
          <w:ilvl w:val="0"/>
          <w:numId w:val="0"/>
        </w:numPr>
        <w:tabs>
          <w:tab w:val="clear" w:pos="720"/>
          <w:tab w:val="left" w:pos="2160" w:leader="none"/>
        </w:tabs>
        <w:ind w:hanging="720" w:start="2160" w:end="0"/>
        <w:rPr>
          <w:color w:val="000000"/>
          <w:szCs w:val="24"/>
        </w:rPr>
      </w:pPr>
      <w:r>
        <w:rPr>
          <w:color w:val="000000"/>
          <w:szCs w:val="24"/>
        </w:rPr>
      </w:r>
    </w:p>
    <w:p>
      <w:pPr>
        <w:pStyle w:val="Normal"/>
        <w:tabs>
          <w:tab w:val="clear" w:pos="720"/>
          <w:tab w:val="left" w:pos="2160" w:leader="none"/>
        </w:tabs>
        <w:ind w:hanging="720" w:start="2160" w:end="0"/>
        <w:jc w:val="both"/>
        <w:rPr>
          <w:color w:val="000000"/>
          <w:szCs w:val="24"/>
        </w:rPr>
      </w:pPr>
      <w:r>
        <w:rPr>
          <w:color w:val="000000"/>
          <w:szCs w:val="24"/>
        </w:rPr>
        <w:t>(d)</w:t>
        <w:tab/>
        <w:t>In the event that Construction Agent disputes any amount of any monthly invoice submitted by Contractor for payment to Contractor and/or any Subcontractor, Construction Agent shall notify Contractor in writing of such dispute within ten (10) days following the receipt of such invoice.  Contractor shall, within five (5) days after receiving Construction Agent's written notice of such dispute, specify to Construction Agent how Contractor wants Construction Agent to pay the undisputed amount of such invoice and shall, if necessary, submit to Construction Agent revised invoices for payment reflecting the undisputed amounts to be paid by Construction Agent to Contractor or to any Subcontractor.  Upon settlement of any dispute with respect to previously invoiced but unpaid amounts of the Contract Price, Construction Agent shall pay such amounts as may be due as directed by Contractor pursuant to an invoice or invoices for such amounts due.  If Contractor's direction and revised invoice(s) with respect to any undisputed amounts are received by Construction Agent not less than ten (10) days prior to the date such amounts would be due pursuant to Section 7.2.3 above, then Construction Agent shall pay all undisputed amounts invoiced as directed by Contractor by the time prescribed in Section 7.2.3 above.  In the event Contractor's direction and revised invoice(s) with respect to such undisputed amounts are not received by Construction Agent on or before such date, then Construction Agent's time for making any payment with respect to such directions and revised invoice(s) shall be extended on a day-for-day basis.</w:t>
      </w:r>
    </w:p>
    <w:p>
      <w:pPr>
        <w:pStyle w:val="Heading2"/>
        <w:ind w:hanging="0" w:start="0"/>
        <w:rPr/>
      </w:pPr>
      <w:bookmarkStart w:id="69" w:name="__RefHeading___Toc496435171"/>
      <w:bookmarkEnd w:id="69"/>
      <w:r>
        <w:rPr/>
        <w:t>Section 7.3</w:t>
        <w:tab/>
        <w:t>Payments Not Waiver or Acceptance of Work.</w:t>
      </w:r>
    </w:p>
    <w:p>
      <w:pPr>
        <w:pStyle w:val="Normal"/>
        <w:jc w:val="both"/>
        <w:rPr/>
      </w:pPr>
      <w:r>
        <w:rPr/>
        <w:t>No payment made by Construction Agent or Owner under this Contract shall constitute a waiver of any claim or right Construction Agent or Owner may have at that time or thereafter, including claims regarding unsettled liens, warranty rights and indemnification obligations of Contractor.  No payment made by Construction Agent or Owner under this Contract shall be considered or deemed to represent that Construction Agent or Owner has inspected the Work or checked the quality or quantity of the Work or that Construction Agent or Owner knows or has ascertained how or for what purpose Contractor has used sums previously paid, and no payment shall be deemed or construed as an approval or acceptance by Construction Agent or Owner of any Work.  All payments shall be subject to correction or adjustment based upon subsequent progress reviews and invoices.</w:t>
      </w:r>
    </w:p>
    <w:p>
      <w:pPr>
        <w:pStyle w:val="Heading2"/>
        <w:ind w:hanging="0" w:start="0"/>
        <w:rPr/>
      </w:pPr>
      <w:bookmarkStart w:id="70" w:name="__RefHeading___Toc496435172"/>
      <w:bookmarkEnd w:id="70"/>
      <w:r>
        <w:rPr/>
        <w:t>Section 7.4</w:t>
        <w:tab/>
        <w:t>Payment of Subcontractors.</w:t>
      </w:r>
    </w:p>
    <w:p>
      <w:pPr>
        <w:pStyle w:val="Normal"/>
        <w:jc w:val="both"/>
        <w:rPr/>
      </w:pPr>
      <w:r>
        <w:rPr>
          <w:iCs/>
        </w:rPr>
        <w:t xml:space="preserve">Except to the extent directly paid pursuant to Section 7.2.6, Contractor shall promptly pay, in accordance with the terms and conditions set forth in the respective Subcontract, each Subcontractor all undisputed amounts to which such Subcontractor is entitled.  </w:t>
      </w:r>
      <w:r>
        <w:rPr>
          <w:szCs w:val="24"/>
          <w:lang w:val="en-CA"/>
        </w:rPr>
      </w:r>
      <w:r>
        <w:rPr>
          <w:color w:val="000000"/>
          <w:szCs w:val="24"/>
        </w:rPr>
        <w:t>For purposes of this Section 7.4, payments made by Construction Agent or Owner on behalf of Contractor directly to any Subcontractor pursuant to Section 7.2.6 shall be deemed to be payment by Contractor to such Subcontractor.  Contractor shall, by appropriate agreements with each Subcontractor, require each Subcontractor to make timely payments to its laborers, suppliers and subcontractors in a similar manner, and shall require reasonable evidence of such payments or provide in such agreements the right to audit such Subcontractors' accounts with respect thereto.</w:t>
      </w:r>
    </w:p>
    <w:p>
      <w:pPr>
        <w:pStyle w:val="Heading2"/>
        <w:ind w:hanging="0" w:start="0"/>
        <w:rPr/>
      </w:pPr>
      <w:bookmarkStart w:id="71" w:name="__RefHeading___Toc496435173"/>
      <w:bookmarkEnd w:id="71"/>
      <w:r>
        <w:rPr/>
        <w:t>Section 7.5</w:t>
        <w:tab/>
        <w:t>Waiver of Liens.</w:t>
      </w:r>
    </w:p>
    <w:p>
      <w:pPr>
        <w:pStyle w:val="Normal"/>
        <w:jc w:val="both"/>
        <w:rPr/>
      </w:pPr>
      <w:r>
        <w:rPr>
          <w:iCs/>
        </w:rPr>
        <w:t xml:space="preserve">As a condition precedent to the obligation of </w:t>
      </w:r>
      <w:r>
        <w:rPr/>
        <w:t>Construction Agent</w:t>
      </w:r>
      <w:r>
        <w:rPr>
          <w:iCs/>
        </w:rPr>
        <w:t xml:space="preserve"> to make each payment under this Contract, Contractor shall supply Construction Agent and Owner with a waiver and release of liens to the extent of such payment in substantially the form set forth in </w:t>
      </w:r>
      <w:r>
        <w:rPr>
          <w:iCs/>
          <w:u w:val="single"/>
        </w:rPr>
        <w:t>Exhibit "D-1"</w:t>
      </w:r>
      <w:r>
        <w:rPr>
          <w:iCs/>
        </w:rPr>
        <w:t xml:space="preserve"> or otherwise reasonably acceptable to Construction Agent, Owner and any Lender, duly executed and acknowledged by Contractor in order to assure the effective release of any and all liens to the fullest extent permitted by Law.</w:t>
      </w:r>
    </w:p>
    <w:p>
      <w:pPr>
        <w:pStyle w:val="Heading2"/>
        <w:keepNext w:val="false"/>
        <w:ind w:hanging="0" w:start="0"/>
        <w:rPr/>
      </w:pPr>
      <w:bookmarkStart w:id="72" w:name="__RefHeading___Toc496435174"/>
      <w:bookmarkEnd w:id="72"/>
      <w:r>
        <w:rPr/>
        <w:t>Section 7.6</w:t>
        <w:tab/>
        <w:t>Interest and Disputed Invoices.</w:t>
      </w:r>
    </w:p>
    <w:p>
      <w:pPr>
        <w:pStyle w:val="Normal"/>
        <w:widowControl w:val="false"/>
        <w:jc w:val="both"/>
        <w:rPr>
          <w:iCs/>
        </w:rPr>
      </w:pPr>
      <w:r>
        <w:rPr>
          <w:iCs/>
        </w:rPr>
        <w:t>Undisputed amounts not paid by either Party to the other when due under any provision of this Contract,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such amount was payable to and including the actual date of payment.</w:t>
      </w:r>
    </w:p>
    <w:p>
      <w:pPr>
        <w:pStyle w:val="Heading2"/>
        <w:ind w:hanging="0" w:start="0"/>
        <w:rPr>
          <w:lang w:val="en-CA"/>
        </w:rPr>
      </w:pPr>
      <w:bookmarkStart w:id="73" w:name="__RefHeading___Toc496435175"/>
      <w:bookmarkEnd w:id="73"/>
      <w:r>
        <w:rPr>
          <w:lang w:val="en-CA"/>
        </w:rPr>
        <w:t>Section 7.7</w:t>
        <w:tab/>
        <w:t>Withholding Payments.</w:t>
      </w:r>
    </w:p>
    <w:p>
      <w:pPr>
        <w:pStyle w:val="Normal"/>
        <w:numPr>
          <w:ilvl w:val="0"/>
          <w:numId w:val="0"/>
        </w:numPr>
        <w:tabs>
          <w:tab w:val="left" w:pos="720" w:leader="none"/>
          <w:tab w:val="left" w:pos="1440" w:leader="none"/>
          <w:tab w:val="left" w:pos="2160" w:leader="none"/>
        </w:tabs>
        <w:ind w:hanging="0" w:start="0"/>
        <w:rPr/>
      </w:pPr>
      <w:r>
        <w:rPr>
          <w:color w:val="000000"/>
          <w:szCs w:val="24"/>
        </w:rPr>
      </w:r>
      <w:r>
        <w:rPr>
          <w:color w:val="000000"/>
          <w:szCs w:val="24"/>
        </w:rPr>
        <w:t>Withholding of Payments.  Construction Agent shall be entitled to withhold such portion of any payment due pursuant to this Contract, whether to Contractor or to any Subcontractor pursuant to Section 7.2.6, to the extent required by applicable Law or otherwise necessary to offset:</w:t>
      </w:r>
    </w:p>
    <w:p>
      <w:pPr>
        <w:pStyle w:val="Normal"/>
        <w:numPr>
          <w:ilvl w:val="0"/>
          <w:numId w:val="0"/>
        </w:numPr>
        <w:tabs>
          <w:tab w:val="left" w:pos="720" w:leader="none"/>
          <w:tab w:val="left" w:pos="1440" w:leader="none"/>
          <w:tab w:val="left" w:pos="2160" w:leader="none"/>
        </w:tabs>
        <w:ind w:hanging="0" w:start="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t>(a)</w:t>
        <w:tab/>
        <w:t>any material default of Contractor under this Contract;</w:t>
      </w:r>
    </w:p>
    <w:p>
      <w:pPr>
        <w:pStyle w:val="Normal"/>
        <w:numPr>
          <w:ilvl w:val="0"/>
          <w:numId w:val="0"/>
        </w:numPr>
        <w:tabs>
          <w:tab w:val="left" w:pos="720" w:leader="none"/>
          <w:tab w:val="left" w:pos="1440" w:leader="none"/>
          <w:tab w:val="left" w:pos="2160" w:leader="none"/>
        </w:tabs>
        <w:ind w:hanging="720" w:start="2160" w:end="0"/>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jc w:val="both"/>
        <w:rPr>
          <w:color w:val="000000"/>
          <w:szCs w:val="24"/>
        </w:rPr>
      </w:pPr>
      <w:r>
        <w:rPr>
          <w:color w:val="000000"/>
          <w:szCs w:val="24"/>
        </w:rPr>
        <w:t>(b)</w:t>
        <w:tab/>
        <w:t>any Contractor Liens or other encumbrances permitted by Law against the Facility or any materials or Equipment to be incorporated into the Facility arising from the performance of the Work, which Contractor Lien or other encumbrance for which Contractor has not discharged or provided security pursuant to Section 3.17.1 within ten (10) or more days following the creation thereof;</w:t>
      </w:r>
    </w:p>
    <w:p>
      <w:pPr>
        <w:pStyle w:val="Normal"/>
        <w:numPr>
          <w:ilvl w:val="0"/>
          <w:numId w:val="0"/>
        </w:numPr>
        <w:tabs>
          <w:tab w:val="left" w:pos="720" w:leader="none"/>
          <w:tab w:val="left" w:pos="1440" w:leader="none"/>
          <w:tab w:val="left" w:pos="2160" w:leader="none"/>
        </w:tabs>
        <w:ind w:hanging="720" w:start="2160" w:end="0"/>
        <w:jc w:val="both"/>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jc w:val="both"/>
        <w:rPr>
          <w:color w:val="000000"/>
          <w:szCs w:val="24"/>
        </w:rPr>
      </w:pPr>
      <w:r>
        <w:rPr>
          <w:color w:val="000000"/>
          <w:szCs w:val="24"/>
        </w:rPr>
        <w:t>(c)</w:t>
        <w:tab/>
        <w:t xml:space="preserve">any third party judgment against Construction Agent, Construction Agent's Representative, any Owner Indemnitee, or the Facility for which Contractor is liable under this Contract; and </w:t>
      </w:r>
    </w:p>
    <w:p>
      <w:pPr>
        <w:pStyle w:val="Normal"/>
        <w:numPr>
          <w:ilvl w:val="0"/>
          <w:numId w:val="0"/>
        </w:numPr>
        <w:tabs>
          <w:tab w:val="left" w:pos="720" w:leader="none"/>
          <w:tab w:val="left" w:pos="1440" w:leader="none"/>
          <w:tab w:val="left" w:pos="2160" w:leader="none"/>
        </w:tabs>
        <w:ind w:hanging="720" w:start="2160" w:end="0"/>
        <w:jc w:val="both"/>
        <w:rPr>
          <w:color w:val="000000"/>
          <w:szCs w:val="24"/>
        </w:rPr>
      </w:pPr>
      <w:r>
        <w:rPr>
          <w:color w:val="000000"/>
          <w:szCs w:val="24"/>
        </w:rPr>
      </w:r>
    </w:p>
    <w:p>
      <w:pPr>
        <w:pStyle w:val="Normal"/>
        <w:numPr>
          <w:ilvl w:val="0"/>
          <w:numId w:val="0"/>
        </w:numPr>
        <w:tabs>
          <w:tab w:val="left" w:pos="720" w:leader="none"/>
          <w:tab w:val="left" w:pos="1440" w:leader="none"/>
          <w:tab w:val="left" w:pos="2160" w:leader="none"/>
        </w:tabs>
        <w:ind w:hanging="720" w:start="2160" w:end="0"/>
        <w:jc w:val="both"/>
        <w:rPr>
          <w:color w:val="000000"/>
          <w:szCs w:val="24"/>
        </w:rPr>
      </w:pPr>
      <w:r>
        <w:rPr>
          <w:color w:val="000000"/>
          <w:szCs w:val="24"/>
        </w:rPr>
        <w:t>(d)</w:t>
        <w:tab/>
        <w:t>any damage that is uninsured because Contractor has failed to maintain the insurance required pursuant to this Contract;</w:t>
      </w:r>
    </w:p>
    <w:p>
      <w:pPr>
        <w:pStyle w:val="Normal"/>
        <w:numPr>
          <w:ilvl w:val="0"/>
          <w:numId w:val="0"/>
        </w:numPr>
        <w:ind w:hanging="0" w:start="0"/>
        <w:jc w:val="both"/>
        <w:rPr>
          <w:color w:val="000000"/>
          <w:szCs w:val="24"/>
        </w:rPr>
      </w:pPr>
      <w:r>
        <w:rPr>
          <w:color w:val="000000"/>
          <w:szCs w:val="24"/>
        </w:rPr>
      </w:r>
    </w:p>
    <w:p>
      <w:pPr>
        <w:pStyle w:val="Normal"/>
        <w:numPr>
          <w:ilvl w:val="0"/>
          <w:numId w:val="0"/>
        </w:numPr>
        <w:ind w:hanging="0" w:start="0"/>
        <w:jc w:val="both"/>
        <w:rPr>
          <w:color w:val="000000"/>
          <w:szCs w:val="24"/>
        </w:rPr>
      </w:pPr>
      <w:r>
        <w:rPr>
          <w:color w:val="000000"/>
          <w:szCs w:val="24"/>
        </w:rPr>
        <w:t>in each case until such time as Contractor remedies or causes to be remedied such occurrence or provides security therefore reasonably satisfactory to Construction Agent.</w:t>
      </w:r>
    </w:p>
    <w:p>
      <w:pPr>
        <w:pStyle w:val="Heading2"/>
        <w:ind w:hanging="0" w:start="0"/>
        <w:rPr/>
      </w:pPr>
      <w:bookmarkStart w:id="74" w:name="__RefHeading___Toc496435176"/>
      <w:bookmarkEnd w:id="74"/>
      <w:r>
        <w:rPr/>
        <w:t>Section 7.8</w:t>
        <w:tab/>
        <w:t>Invoice Certificate.</w:t>
      </w:r>
    </w:p>
    <w:p>
      <w:pPr>
        <w:pStyle w:val="Normaltext"/>
        <w:rPr/>
      </w:pPr>
      <w:r>
        <w:rPr/>
        <w:t xml:space="preserve">With each invoice, Contractor shall provide to Construction Agent a Contractor Disbursement Certificate, in the form set forth as </w:t>
      </w:r>
      <w:r>
        <w:rPr>
          <w:u w:val="single"/>
        </w:rPr>
        <w:t>Exhibit "D-2"</w:t>
      </w:r>
      <w:r>
        <w:rPr/>
        <w:t xml:space="preserve"> hereto, to the effect that:</w:t>
      </w:r>
    </w:p>
    <w:p>
      <w:pPr>
        <w:pStyle w:val="Normal"/>
        <w:numPr>
          <w:ilvl w:val="0"/>
          <w:numId w:val="0"/>
        </w:numPr>
        <w:ind w:hanging="0" w:start="0"/>
        <w:jc w:val="both"/>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jc w:val="both"/>
        <w:rPr>
          <w:color w:val="000000"/>
          <w:szCs w:val="24"/>
        </w:rPr>
      </w:pPr>
      <w:r>
        <w:rPr>
          <w:color w:val="000000"/>
          <w:szCs w:val="24"/>
        </w:rPr>
        <w:t>(i)</w:t>
        <w:tab/>
        <w:t>the Work is progressing in accordance with the Project Schedule except as set forth in such certificate;</w:t>
      </w:r>
    </w:p>
    <w:p>
      <w:pPr>
        <w:pStyle w:val="Normal"/>
        <w:numPr>
          <w:ilvl w:val="0"/>
          <w:numId w:val="0"/>
        </w:numPr>
        <w:tabs>
          <w:tab w:val="clear" w:pos="720"/>
          <w:tab w:val="left" w:pos="2880" w:leader="none"/>
        </w:tabs>
        <w:ind w:hanging="720" w:start="2880" w:end="0"/>
        <w:jc w:val="both"/>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jc w:val="both"/>
        <w:rPr>
          <w:color w:val="000000"/>
          <w:szCs w:val="24"/>
        </w:rPr>
      </w:pPr>
      <w:r>
        <w:rPr>
          <w:color w:val="000000"/>
          <w:szCs w:val="24"/>
        </w:rPr>
        <w:t>(ii)</w:t>
        <w:tab/>
        <w:t>the quality of all Work described in the invoice is in accordance with the terms of this Contract;</w:t>
      </w:r>
    </w:p>
    <w:p>
      <w:pPr>
        <w:pStyle w:val="Normal"/>
        <w:numPr>
          <w:ilvl w:val="0"/>
          <w:numId w:val="0"/>
        </w:numPr>
        <w:tabs>
          <w:tab w:val="clear" w:pos="720"/>
          <w:tab w:val="left" w:pos="2880" w:leader="none"/>
        </w:tabs>
        <w:ind w:hanging="720" w:start="2880" w:end="0"/>
        <w:jc w:val="both"/>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jc w:val="both"/>
        <w:rPr>
          <w:color w:val="000000"/>
          <w:szCs w:val="24"/>
        </w:rPr>
      </w:pPr>
      <w:r>
        <w:rPr>
          <w:color w:val="000000"/>
          <w:szCs w:val="24"/>
        </w:rPr>
        <w:t>(iii)</w:t>
        <w:tab/>
        <w:t>Contractor is entitled to payment of the entire amount invoiced whether such payment is to be directed to Contractor or any Subcontractor; and</w:t>
      </w:r>
    </w:p>
    <w:p>
      <w:pPr>
        <w:pStyle w:val="Normal"/>
        <w:numPr>
          <w:ilvl w:val="0"/>
          <w:numId w:val="0"/>
        </w:numPr>
        <w:tabs>
          <w:tab w:val="clear" w:pos="720"/>
          <w:tab w:val="left" w:pos="2880" w:leader="none"/>
        </w:tabs>
        <w:ind w:hanging="720" w:start="2880" w:end="0"/>
        <w:jc w:val="both"/>
        <w:rPr>
          <w:color w:val="000000"/>
          <w:szCs w:val="24"/>
        </w:rPr>
      </w:pPr>
      <w:r>
        <w:rPr>
          <w:color w:val="000000"/>
          <w:szCs w:val="24"/>
        </w:rPr>
      </w:r>
    </w:p>
    <w:p>
      <w:pPr>
        <w:pStyle w:val="Normal"/>
        <w:numPr>
          <w:ilvl w:val="0"/>
          <w:numId w:val="0"/>
        </w:numPr>
        <w:tabs>
          <w:tab w:val="left" w:pos="720" w:leader="none"/>
          <w:tab w:val="left" w:pos="1440" w:leader="none"/>
          <w:tab w:val="left" w:pos="2880" w:leader="none"/>
        </w:tabs>
        <w:ind w:hanging="720" w:start="2880" w:end="0"/>
        <w:jc w:val="both"/>
        <w:rPr>
          <w:color w:val="000000"/>
          <w:szCs w:val="24"/>
        </w:rPr>
      </w:pPr>
      <w:r>
        <w:rPr>
          <w:color w:val="000000"/>
          <w:szCs w:val="24"/>
        </w:rPr>
        <w:t>(iv)</w:t>
        <w:tab/>
        <w:t>each of the representations and warranties made by Contractor in Article 15 of this Contract was true and correct when made and remains true and correct on the date of such invoice.</w:t>
      </w:r>
    </w:p>
    <w:p>
      <w:pPr>
        <w:pStyle w:val="Heading2"/>
        <w:ind w:hanging="0" w:start="0"/>
        <w:rPr/>
      </w:pPr>
      <w:bookmarkStart w:id="75" w:name="__RefHeading___Toc496435177"/>
      <w:bookmarkEnd w:id="75"/>
      <w:r>
        <w:rPr/>
        <w:t>Section 7.9</w:t>
        <w:tab/>
        <w:t>Tax Withholding.</w:t>
      </w:r>
    </w:p>
    <w:p>
      <w:pPr>
        <w:pStyle w:val="Normaltext"/>
        <w:rPr/>
      </w:pPr>
      <w:r>
        <w:rPr/>
        <w:t>Construction Agent shall withhold from any payment to Contractor or any Subcontractor any tax required to be withheld pursuant to Law or by any Governmental Authority.  Amounts so withheld, together with the amounts paid to Contractor, shall be deemed to be payments to Contractor in satisfaction of amounts due and payable to Contractor.</w:t>
      </w:r>
    </w:p>
    <w:p>
      <w:pPr>
        <w:pStyle w:val="Heading2"/>
        <w:ind w:hanging="0" w:start="0"/>
        <w:rPr/>
      </w:pPr>
      <w:bookmarkStart w:id="76" w:name="__RefHeading___Toc496435178"/>
      <w:bookmarkEnd w:id="76"/>
      <w:r>
        <w:rPr/>
        <w:t>Section 7.10</w:t>
        <w:tab/>
        <w:t>Tax Cooperation.</w:t>
      </w:r>
    </w:p>
    <w:p>
      <w:pPr>
        <w:pStyle w:val="Normal"/>
        <w:numPr>
          <w:ilvl w:val="0"/>
          <w:numId w:val="0"/>
        </w:numPr>
        <w:ind w:hanging="0" w:start="0"/>
        <w:jc w:val="both"/>
        <w:rPr>
          <w:color w:val="000000"/>
          <w:szCs w:val="24"/>
        </w:rPr>
      </w:pPr>
      <w:r>
        <w:rPr>
          <w:color w:val="000000"/>
          <w:szCs w:val="24"/>
        </w:rPr>
        <w:t>Each party shall use reasonable best efforts to cooperate with the other party to minimize Taxes payable by the parties with respect to the performance of this Contract, including splitting this Contract into two or more contracts.</w:t>
      </w:r>
    </w:p>
    <w:p>
      <w:pPr>
        <w:pStyle w:val="Normal"/>
        <w:jc w:val="both"/>
        <w:rPr>
          <w:color w:val="000000"/>
          <w:szCs w:val="24"/>
        </w:rPr>
      </w:pPr>
      <w:r>
        <w:rPr>
          <w:color w:val="000000"/>
          <w:szCs w:val="24"/>
        </w:rPr>
      </w:r>
    </w:p>
    <w:p>
      <w:pPr>
        <w:pStyle w:val="Heading1"/>
        <w:ind w:hanging="0" w:start="0"/>
        <w:rPr>
          <w:b w:val="false"/>
          <w:bCs w:val="false"/>
          <w:iCs/>
        </w:rPr>
      </w:pPr>
      <w:bookmarkStart w:id="77" w:name="__RefHeading___Toc496435179"/>
      <w:bookmarkEnd w:id="77"/>
      <w:r>
        <w:rPr/>
        <w:t>ARTICLE VIII</w:t>
      </w:r>
    </w:p>
    <w:p>
      <w:pPr>
        <w:pStyle w:val="Heading1"/>
        <w:ind w:hanging="0" w:start="0"/>
        <w:rPr/>
      </w:pPr>
      <w:bookmarkStart w:id="78" w:name="__RefHeading___Toc496435180"/>
      <w:bookmarkEnd w:id="78"/>
      <w:r>
        <w:rPr/>
        <w:t>TITLE AND RISK OF LOSS</w:t>
      </w:r>
    </w:p>
    <w:p>
      <w:pPr>
        <w:pStyle w:val="Heading2"/>
        <w:ind w:hanging="0" w:start="0"/>
        <w:rPr/>
      </w:pPr>
      <w:bookmarkStart w:id="79" w:name="__RefHeading___Toc496435181"/>
      <w:bookmarkEnd w:id="79"/>
      <w:r>
        <w:rPr/>
        <w:t>Section 8.1</w:t>
        <w:tab/>
        <w:t>Title.</w:t>
      </w:r>
    </w:p>
    <w:p>
      <w:pPr>
        <w:pStyle w:val="Normal"/>
        <w:widowControl w:val="false"/>
        <w:ind w:firstLine="720" w:end="0"/>
        <w:jc w:val="both"/>
        <w:rPr>
          <w:iCs/>
        </w:rPr>
      </w:pPr>
      <w:r>
        <w:rPr/>
        <w:t>8.1.1</w:t>
        <w:tab/>
      </w:r>
      <w:r>
        <w:rPr>
          <w:u w:val="single"/>
        </w:rPr>
        <w:t>Warranty of Title</w:t>
      </w:r>
      <w:r>
        <w:rPr/>
        <w: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3.16.2.</w:t>
      </w:r>
    </w:p>
    <w:p>
      <w:pPr>
        <w:pStyle w:val="Normal"/>
        <w:widowControl w:val="false"/>
        <w:ind w:firstLine="720" w:end="0"/>
        <w:jc w:val="both"/>
        <w:rPr>
          <w:iCs/>
        </w:rPr>
      </w:pPr>
      <w:r>
        <w:rPr>
          <w:iCs/>
        </w:rPr>
      </w:r>
    </w:p>
    <w:p>
      <w:pPr>
        <w:pStyle w:val="Normal"/>
        <w:ind w:firstLine="720" w:end="0"/>
        <w:jc w:val="both"/>
        <w:rPr/>
      </w:pPr>
      <w:r>
        <w:rPr>
          <w:iCs/>
        </w:rPr>
        <w:t>8.1.2</w:t>
        <w:tab/>
      </w:r>
      <w:r>
        <w:rPr>
          <w:iCs/>
          <w:u w:val="single"/>
        </w:rPr>
        <w:t>Title to Work</w:t>
      </w:r>
      <w:r>
        <w:rPr>
          <w:iCs/>
        </w:rPr>
        <w:t xml:space="preserve">.  Title to all Work and Equipment performed and sourced in Brazil will pass to Owner upon performance or delivery of such Work or Equipment at or to the Site. Title to all Work and Equipment performed and sourced offshore will pass to Owner upon acceptance by shipper prior to departure from the port, airport, or other point of export or as otherwise required in accordance with the project import plan set forth in </w:t>
      </w:r>
      <w:r>
        <w:rPr>
          <w:iCs/>
          <w:u w:val="single"/>
        </w:rPr>
        <w:t>Exhibit "B-5", but in no event later than prior to entry into Brazilian territory, airspace or territorial waters, as the case may be</w:t>
      </w:r>
      <w:r>
        <w:rPr>
          <w:iCs/>
        </w:rPr>
        <w:t>.</w:t>
      </w:r>
    </w:p>
    <w:p>
      <w:pPr>
        <w:pStyle w:val="Normal"/>
        <w:widowControl w:val="false"/>
        <w:jc w:val="both"/>
        <w:rPr>
          <w:iCs/>
          <w:u w:val="single"/>
        </w:rPr>
      </w:pPr>
      <w:r>
        <w:rPr>
          <w:iCs/>
          <w:u w:val="single"/>
        </w:rPr>
      </w:r>
    </w:p>
    <w:p>
      <w:pPr>
        <w:pStyle w:val="Normal"/>
        <w:ind w:firstLine="720" w:end="0"/>
        <w:jc w:val="both"/>
        <w:rPr/>
      </w:pPr>
      <w:r>
        <w:rPr/>
        <w:t>8.1.3</w:t>
        <w:tab/>
      </w:r>
      <w:r>
        <w:rPr>
          <w:u w:val="single"/>
        </w:rPr>
        <w:t>Title to Drawings and Intellectual Property</w:t>
      </w:r>
      <w:r>
        <w:rPr/>
        <w:t>.</w:t>
      </w:r>
    </w:p>
    <w:p>
      <w:pPr>
        <w:pStyle w:val="Normal"/>
        <w:ind w:firstLine="720" w:end="0"/>
        <w:jc w:val="both"/>
        <w:rPr/>
      </w:pPr>
      <w:r>
        <w:rPr/>
      </w:r>
    </w:p>
    <w:p>
      <w:pPr>
        <w:pStyle w:val="Normal"/>
        <w:ind w:hanging="720" w:start="2160" w:end="0"/>
        <w:jc w:val="both"/>
        <w:rPr/>
      </w:pPr>
      <w:r>
        <w:rPr/>
        <w:t>(a)</w:t>
        <w:tab/>
        <w:t>Title to drawings, designs, plans, specifications and other tangible media specifically prepared as part of the Work in connection with the design, engineering and construction of the Facility (including but not limited to as-built drawings) and in which Contractor has rights it may convey, assign or otherwise transfer, shall be vested in Owner, and to the extent Contractor does not have the right to convey, assign or otherwise transfer such title, then Contractor shall, and hereby does, grant to Owner an irrevocable, unrestricted, non-exclusive, fully-paid, royalty-free, transferable license with respect to the use and reproduction thereof.</w:t>
      </w:r>
    </w:p>
    <w:p>
      <w:pPr>
        <w:pStyle w:val="Normal"/>
        <w:ind w:hanging="720" w:start="2160" w:end="0"/>
        <w:jc w:val="both"/>
        <w:rPr/>
      </w:pPr>
      <w:r>
        <w:rPr/>
      </w:r>
    </w:p>
    <w:p>
      <w:pPr>
        <w:pStyle w:val="Normal"/>
        <w:ind w:hanging="720" w:start="2160" w:end="0"/>
        <w:jc w:val="both"/>
        <w:rPr/>
      </w:pPr>
      <w:r>
        <w:rPr/>
        <w:t>(b)</w:t>
        <w:tab/>
        <w:t>Contractor (or any applicable Subcontractor or other third party) shall retain title to all intellectual property (including copyright to Contractor's and Subcontractor's drawings, designs, plans, specifications and other design documentation to which Contractor has title or has the right to grant sub-licenses) prepared in connection with the design, engineering and construction of the Facility, other than intellectual property developed by Construction Agent or Owner, and, subject to Article 20, Contractor shall, and hereby does, grant an irrevocable, unrestricted, non-exclusive, fully-paid, royalty-free, transferable license with respect to the right of use and reproduction thereof.  Title to Contractor and Subcontractor proprietary drawings or other documents utilized in the design and construction of the Facility but which were not specifically prepared for this Facility shall be retained by the developing party, but such party shall provide Owner an irrevocable, unrestricted, non-exclusive, fully-paid, royalty-free, transferable license for the use thereof.</w:t>
      </w:r>
      <w:r>
        <w:rPr>
          <w:b/>
        </w:rPr>
        <w:t xml:space="preserve">  </w:t>
      </w:r>
      <w:r>
        <w:rPr/>
        <w:t xml:space="preserve">Owner shall have the right to use drawings and licenses to operate, maintain, modify or expand the facility, </w:t>
      </w:r>
      <w:r>
        <w:rPr>
          <w:u w:val="single"/>
        </w:rPr>
        <w:t>provided</w:t>
      </w:r>
      <w:r>
        <w:rPr/>
        <w:t xml:space="preserve"> that "expansion" shall be limited to any expansion of the Facility and shall be deemed not to include construction of any substantially similar facility, whether at the Site or elsewhere.</w:t>
      </w:r>
    </w:p>
    <w:p>
      <w:pPr>
        <w:pStyle w:val="Normal"/>
        <w:ind w:hanging="720" w:start="2160" w:end="0"/>
        <w:jc w:val="both"/>
        <w:rPr/>
      </w:pPr>
      <w:r>
        <w:rPr/>
      </w:r>
    </w:p>
    <w:p>
      <w:pPr>
        <w:pStyle w:val="Normal"/>
        <w:ind w:hanging="720" w:start="2160" w:end="0"/>
        <w:jc w:val="both"/>
        <w:rPr/>
      </w:pPr>
      <w:r>
        <w:rPr/>
        <w:t>(c)</w:t>
        <w:tab/>
        <w:t>Subject to the conditions in this Section 8.1.3, Owner shall have the right to assign the benefit of any license granted pursuant to this Contract to any Lender in connection with the grant of a security interest in the Facility or any portion thereof, to a transferee of the Facility or any portion thereof, or to any subsequent assignee of same, and Owner may retain the necessary number of copies of all such documents for the purposes allowed by the license.</w:t>
      </w:r>
    </w:p>
    <w:p>
      <w:pPr>
        <w:pStyle w:val="Normal"/>
        <w:ind w:firstLine="720" w:end="0"/>
        <w:jc w:val="both"/>
        <w:rPr/>
      </w:pPr>
      <w:r>
        <w:rPr/>
      </w:r>
    </w:p>
    <w:p>
      <w:pPr>
        <w:pStyle w:val="Normal"/>
        <w:ind w:firstLine="720" w:end="0"/>
        <w:jc w:val="both"/>
        <w:rPr/>
      </w:pPr>
      <w:r>
        <w:rPr/>
        <w:t>8.1.4</w:t>
        <w:tab/>
      </w:r>
      <w:r>
        <w:rPr>
          <w:u w:val="single"/>
        </w:rPr>
        <w:t>Control of Software and Other Proprietary Material</w:t>
      </w:r>
      <w:r>
        <w:rPr/>
        <w:t xml:space="preserve">.  Construction Agent and Owner acknowledge that any proprietary software and other intellectual property provided by Contractor to Construction Agent or Owner as part of the Scope of Work may carry with it certain restrictions on the use and copying thereof, and such software and other intellectual property shall not be duplicated, used, printed, displayed, modified or disclosed or provided to a third party without Contractor’s express written authorization; </w:t>
      </w:r>
      <w:r>
        <w:rPr>
          <w:u w:val="single"/>
        </w:rPr>
        <w:t>provided</w:t>
      </w:r>
      <w:r>
        <w:rPr/>
        <w:t xml:space="preserve"> that Owner shall have the right to assign the benefit of such software and other intellectual property and the license granted below to Lender in connection with granting a security interest in the Facility or any portion thereof, to a purchaser of the Facility or any portion thereof, or to any subsequent assignee of the same.  Contractor represents and warrants that it has all rights and licenses necessary for it to provide such software and other intellectual property to Owner as contemplated in this Contract and shall and hereby does grant to Owner an irrevocable, unrestricted, non-exclusive, fully-paid, royalty-free, transferable license to use and reproduce such software and other intellectual property in connection with the construction, operation, maintenance, and modification, but not expansion, of the Facility.  Pursuant to such license Owner shall have only the limited right to use and reproduce the software and other intellectual property as contained herein and shall not convey any title to or ownership rights in the software and other intellectual property to Owner or any Person to whom Owner is permitted to assign its license.  Construction Agent shall indemnify Contractor against any third-party claims made against Contractor resulting from unauthorized duplication, use, printing, display, modification or disclosure of such software and other intellectual property by Construction Agent or Owner.</w:t>
      </w:r>
    </w:p>
    <w:p>
      <w:pPr>
        <w:pStyle w:val="Heading2"/>
        <w:ind w:hanging="0" w:start="0"/>
        <w:rPr/>
      </w:pPr>
      <w:bookmarkStart w:id="80" w:name="__RefHeading___Toc496435182"/>
      <w:bookmarkEnd w:id="80"/>
      <w:r>
        <w:rPr/>
        <w:t>Section 8.2</w:t>
        <w:tab/>
        <w:t>Risk of Loss.</w:t>
      </w:r>
    </w:p>
    <w:p>
      <w:pPr>
        <w:pStyle w:val="Normal"/>
        <w:ind w:firstLine="720" w:end="0"/>
        <w:jc w:val="both"/>
        <w:rPr/>
      </w:pPr>
      <w:r>
        <w:rPr/>
        <w:t>8.2.1.</w:t>
        <w:tab/>
      </w:r>
      <w:r>
        <w:rPr>
          <w:u w:val="single"/>
        </w:rPr>
        <w:t>Before Substantial Completion of any Phase</w:t>
      </w:r>
      <w:r>
        <w:rPr/>
        <w:t>.  Notwithstanding passage of title as provided in Section 8.1, Contractor shall bear the risk of loss of and damage to, and shall be obligated to repair, replace, or reconstruct, all or any portion of the Work relating to any Phase that is lost, damaged or destroyed prior to Substantial Completion of such Phase.</w:t>
      </w:r>
    </w:p>
    <w:p>
      <w:pPr>
        <w:pStyle w:val="Normal"/>
        <w:ind w:firstLine="720" w:end="0"/>
        <w:jc w:val="both"/>
        <w:rPr/>
      </w:pPr>
      <w:r>
        <w:rPr/>
      </w:r>
    </w:p>
    <w:p>
      <w:pPr>
        <w:pStyle w:val="Normal"/>
        <w:tabs>
          <w:tab w:val="left" w:pos="720" w:leader="none"/>
        </w:tabs>
        <w:jc w:val="both"/>
        <w:rPr/>
      </w:pPr>
      <w:r>
        <w:rPr/>
        <w:tab/>
        <w:t>8.2.2.</w:t>
        <w:tab/>
      </w:r>
      <w:r>
        <w:rPr>
          <w:u w:val="single"/>
        </w:rPr>
        <w:t>After Substantial Completion of any Phase</w:t>
      </w:r>
      <w:r>
        <w:rPr/>
        <w:t>.  After Substantial Completion of a Phase, as between Contractor and Construction Agent, care, custody and control of, and the risk of loss and damage with respect to, such Phase shall transfer to Construction Agent ("</w:t>
      </w:r>
      <w:r>
        <w:rPr>
          <w:u w:val="single"/>
        </w:rPr>
        <w:t>Turnover</w:t>
      </w:r>
      <w:r>
        <w:rPr/>
        <w:t>").  Following Turnover of a Phase, Construction Agent shall cooperate with Contractor during start up, testing and commissioning of any other Phase.  Contractor shall be liable to Construction Agent for any loss or damage to a Phase or any portion of a Phase for which Turnover has occurred if such loss or damage occurs during:</w:t>
      </w:r>
    </w:p>
    <w:p>
      <w:pPr>
        <w:pStyle w:val="Normal"/>
        <w:jc w:val="both"/>
        <w:rPr/>
      </w:pPr>
      <w:r>
        <w:rPr/>
      </w:r>
    </w:p>
    <w:p>
      <w:pPr>
        <w:pStyle w:val="Normal"/>
        <w:ind w:hanging="720" w:start="2160" w:end="0"/>
        <w:jc w:val="both"/>
        <w:rPr/>
      </w:pPr>
      <w:r>
        <w:rPr/>
        <w:t>(a)</w:t>
        <w:tab/>
        <w:t>Contractor's or its Subcontractor’s construction activities related to a Phase for which Turnover has not yet occurred;</w:t>
      </w:r>
    </w:p>
    <w:p>
      <w:pPr>
        <w:pStyle w:val="Normal"/>
        <w:ind w:hanging="720" w:start="2160" w:end="0"/>
        <w:jc w:val="both"/>
        <w:rPr/>
      </w:pPr>
      <w:r>
        <w:rPr/>
      </w:r>
    </w:p>
    <w:p>
      <w:pPr>
        <w:pStyle w:val="Normal"/>
        <w:tabs>
          <w:tab w:val="clear" w:pos="720"/>
          <w:tab w:val="left" w:pos="1242" w:leader="none"/>
        </w:tabs>
        <w:ind w:hanging="720" w:start="2160" w:end="0"/>
        <w:jc w:val="both"/>
        <w:rPr/>
      </w:pPr>
      <w:r>
        <w:rPr/>
        <w:t>(b)</w:t>
        <w:tab/>
        <w:t>Contractor's or its Subcontractor's performance of warranty repairs or remedies, correction of punchlist items, or repair, replacement or correction of equipment in an effort to improve the performance of any portion of the Facility; and</w:t>
      </w:r>
    </w:p>
    <w:p>
      <w:pPr>
        <w:pStyle w:val="Normal"/>
        <w:ind w:hanging="720" w:start="2160" w:end="0"/>
        <w:jc w:val="both"/>
        <w:rPr/>
      </w:pPr>
      <w:r>
        <w:rPr/>
      </w:r>
    </w:p>
    <w:p>
      <w:pPr>
        <w:pStyle w:val="Normal"/>
        <w:tabs>
          <w:tab w:val="clear" w:pos="720"/>
          <w:tab w:val="left" w:pos="1242" w:leader="none"/>
        </w:tabs>
        <w:ind w:hanging="720" w:start="2160" w:end="0"/>
        <w:jc w:val="both"/>
        <w:rPr/>
      </w:pPr>
      <w:r>
        <w:rPr/>
        <w:t>(c)</w:t>
        <w:tab/>
        <w:t>start-up, testing and commissioning of any Phase for which Turnover has not yet occurred, when Contractor is responsible for providing direction to or control of the Facility operators;</w:t>
      </w:r>
    </w:p>
    <w:p>
      <w:pPr>
        <w:pStyle w:val="Normal"/>
        <w:tabs>
          <w:tab w:val="clear" w:pos="720"/>
          <w:tab w:val="left" w:pos="1242" w:leader="none"/>
        </w:tabs>
        <w:ind w:hanging="540" w:start="1062" w:end="0"/>
        <w:rPr>
          <w:iCs/>
        </w:rPr>
      </w:pPr>
      <w:r>
        <w:rPr>
          <w:iCs/>
        </w:rPr>
      </w:r>
    </w:p>
    <w:p>
      <w:pPr>
        <w:pStyle w:val="Normal"/>
        <w:jc w:val="both"/>
        <w:rPr/>
      </w:pPr>
      <w:r>
        <w:rPr>
          <w:iCs/>
          <w:color w:val="000000"/>
          <w:u w:val="single"/>
        </w:rPr>
        <w:t>provided</w:t>
      </w:r>
      <w:r>
        <w:rPr>
          <w:iCs/>
          <w:color w:val="000000"/>
        </w:rPr>
        <w:t xml:space="preserve">, </w:t>
      </w:r>
      <w:r>
        <w:rPr>
          <w:iCs/>
          <w:color w:val="000000"/>
          <w:u w:val="single"/>
        </w:rPr>
        <w:t>however</w:t>
      </w:r>
      <w:r>
        <w:rPr>
          <w:iCs/>
          <w:color w:val="000000"/>
        </w:rPr>
        <w:t xml:space="preserve">, </w:t>
      </w:r>
      <w:r>
        <w:rPr>
          <w:color w:val="000000"/>
        </w:rPr>
        <w:t xml:space="preserve">that Contractor shall not be liable for loss or damage caused by Construction Agent's or Owner's failure to operate and maintain, in accordance with manufacturer's recommended procedures, any portion of the Facility for which Turnover has occurred (other than operation and maintenance under the direction of Contractor during start-up, testing and commissioning of any Phase); and </w:t>
      </w:r>
      <w:r>
        <w:rPr>
          <w:iCs/>
          <w:color w:val="000000"/>
          <w:u w:val="single"/>
        </w:rPr>
        <w:t>provided</w:t>
      </w:r>
      <w:r>
        <w:rPr>
          <w:iCs/>
          <w:color w:val="000000"/>
        </w:rPr>
        <w:t xml:space="preserve"> </w:t>
      </w:r>
      <w:r>
        <w:rPr>
          <w:iCs/>
          <w:color w:val="000000"/>
          <w:u w:val="single"/>
        </w:rPr>
        <w:t>further</w:t>
      </w:r>
      <w:r>
        <w:rPr>
          <w:iCs/>
          <w:color w:val="000000"/>
        </w:rPr>
        <w:t xml:space="preserve">, </w:t>
      </w:r>
      <w:r>
        <w:rPr>
          <w:iCs/>
          <w:color w:val="000000"/>
          <w:u w:val="single"/>
        </w:rPr>
        <w:t>however</w:t>
      </w:r>
      <w:r>
        <w:rPr>
          <w:iCs/>
          <w:color w:val="000000"/>
        </w:rPr>
        <w:t>, th</w:t>
      </w:r>
      <w:r>
        <w:rPr>
          <w:color w:val="000000"/>
        </w:rPr>
        <w:t>at any failure of a component of a Phase for which Turnover has occurred, which failure is not caused by Contractor during start-up, testing and commissioning of any other Phase, shall be repaired under the warranty relating to such component, if any.</w:t>
      </w:r>
    </w:p>
    <w:p>
      <w:pPr>
        <w:pStyle w:val="Normal"/>
        <w:ind w:firstLine="720" w:end="0"/>
        <w:jc w:val="both"/>
        <w:rPr/>
      </w:pPr>
      <w:r>
        <w:rPr/>
      </w:r>
    </w:p>
    <w:p>
      <w:pPr>
        <w:pStyle w:val="Normal"/>
        <w:ind w:firstLine="720" w:end="0"/>
        <w:jc w:val="both"/>
        <w:rPr/>
      </w:pPr>
      <w:r>
        <w:rPr/>
        <w:t>8.2.3.</w:t>
        <w:tab/>
      </w:r>
      <w:r>
        <w:rPr>
          <w:u w:val="single"/>
        </w:rPr>
        <w:t>Release of Insurance Proceeds</w:t>
      </w:r>
      <w:r>
        <w:rPr/>
        <w:t>.  Notwithstanding Section 8.2.1, Contractor shall not be obligated to repair, replace or reconstruct the whole or any part of the Facility that is lost, damaged or destroyed by an event that is covered by insurance to be obtained pursuant to Article 9 (including the maintenance-period-coverage endorsement to the builder’s all risk policy required pursuant to Article 9) to the extent that the proceeds of such insurance in respect of such loss, damage or destruction are not made available to Contractor under any financing arrangement entered into by Construction Agent or Owner with any Lender or under any consent to assignment or other instrument entered into between the Lenders and Contractor pursuant to Section 3.9.</w:t>
      </w:r>
    </w:p>
    <w:p>
      <w:pPr>
        <w:pStyle w:val="Heading2"/>
        <w:ind w:hanging="0" w:start="0"/>
        <w:rPr/>
      </w:pPr>
      <w:bookmarkStart w:id="81" w:name="__RefHeading___Toc496435183"/>
      <w:bookmarkEnd w:id="81"/>
      <w:r>
        <w:rPr/>
        <w:t>Section 8.3</w:t>
        <w:tab/>
        <w:t>Use by Construction Agent</w:t>
      </w:r>
    </w:p>
    <w:p>
      <w:pPr>
        <w:pStyle w:val="Normal"/>
        <w:ind w:hanging="720" w:start="2160" w:end="0"/>
        <w:jc w:val="both"/>
        <w:rPr/>
      </w:pPr>
      <w:r>
        <w:rPr/>
        <w:t>(a)</w:t>
        <w:tab/>
      </w:r>
      <w:r>
        <w:rPr>
          <w:szCs w:val="24"/>
          <w:lang w:val="en-CA"/>
        </w:rPr>
      </w:r>
      <w:r>
        <w:rPr>
          <w:color w:val="000000"/>
          <w:szCs w:val="24"/>
        </w:rPr>
        <w:t xml:space="preserve">Construction Agent may, with Contractor's consent, occupy or use any complete or partially completed portion of the Work at any time;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such occupancy or use is approved by the builders all risk and property insurer (unless the risk management departments of Construction Agent and Contractor confirm that such approval is not necessary); and </w:t>
      </w:r>
      <w:r>
        <w:rPr>
          <w:color w:val="000000"/>
          <w:szCs w:val="24"/>
          <w:u w:val="single"/>
        </w:rPr>
        <w:t>provided</w:t>
      </w:r>
      <w:r>
        <w:rPr>
          <w:color w:val="000000"/>
          <w:szCs w:val="24"/>
        </w:rPr>
        <w:t xml:space="preserve">, </w:t>
      </w:r>
      <w:r>
        <w:rPr>
          <w:color w:val="000000"/>
          <w:szCs w:val="24"/>
          <w:u w:val="single"/>
        </w:rPr>
        <w:t>further</w:t>
      </w:r>
      <w:r>
        <w:rPr>
          <w:color w:val="000000"/>
          <w:szCs w:val="24"/>
        </w:rPr>
        <w:t xml:space="preserve">, </w:t>
      </w:r>
      <w:r>
        <w:rPr>
          <w:color w:val="000000"/>
          <w:szCs w:val="24"/>
          <w:u w:val="single"/>
        </w:rPr>
        <w:t>however</w:t>
      </w:r>
      <w:r>
        <w:rPr>
          <w:color w:val="000000"/>
          <w:szCs w:val="24"/>
        </w:rPr>
        <w:t>, that such occupancy or use is in compliance with Law and is for the purpose for which such portion of the Work was intended.  Such partial occupancy or use may commence prior to Substantial Completion only if Construction Agent and Contractor have agreed in writing to any changes to this Contract necessitated by such use, including changes with respect to the risk of loss and damage of such completed or partially completed portion of the Work and changes with respect to acceptance of such Work by Construction Agent.  Contractor shall not unreasonably withhold or delay its consent to, or agreement with respect to, partial occupancy or use.</w:t>
      </w:r>
    </w:p>
    <w:p>
      <w:pPr>
        <w:pStyle w:val="Normal"/>
        <w:ind w:hanging="720" w:start="1440" w:end="0"/>
        <w:jc w:val="both"/>
        <w:rPr>
          <w:color w:val="000000"/>
          <w:szCs w:val="24"/>
        </w:rPr>
      </w:pPr>
      <w:r>
        <w:rPr>
          <w:color w:val="000000"/>
          <w:szCs w:val="24"/>
        </w:rPr>
      </w:r>
    </w:p>
    <w:p>
      <w:pPr>
        <w:pStyle w:val="Normal"/>
        <w:ind w:hanging="720" w:start="2160" w:end="0"/>
        <w:rPr/>
      </w:pPr>
      <w:r>
        <w:rPr/>
        <w:t>(b)</w:t>
        <w:tab/>
        <w:t xml:space="preserve">Notwithstanding the provisions of subsection (a) above, Construction Agent shall have the right, without the consent of Contractor and following the </w:t>
        <w:tab/>
        <w:t xml:space="preserve">substantial completion thereof, to occupy, use and modify the warehouse, workshops and administration buildings for `the purpose of receiving and storing the Owner's Spare Parts or other equipment, supplies or parts of Construction Agent or Owner at the Site.  Upon such occupancy and/or use, risk of loss and damage of the warehouse, workshops and administration buildings shall pass to Construction Agent (other than loss or damage resulting from the negligence, gross negligence or willful misconduct of Contractor or any Subcontractor).  Notwithstanding any other provision to the contrary herein, Contractor shall schedule the Work to provide for the substantial completion of the warehouse, workshops and administrative buildings in accordance with the schedule set forth in </w:t>
      </w:r>
      <w:r>
        <w:rPr>
          <w:u w:val="single"/>
        </w:rPr>
        <w:t>Exhibit "C-1"</w:t>
      </w:r>
      <w:r>
        <w:rPr/>
        <w:t>.</w:t>
      </w:r>
    </w:p>
    <w:p>
      <w:pPr>
        <w:pStyle w:val="Normal"/>
        <w:ind w:hanging="720" w:start="2160" w:end="0"/>
        <w:rPr/>
      </w:pPr>
      <w:r>
        <w:rPr/>
      </w:r>
    </w:p>
    <w:p>
      <w:pPr>
        <w:pStyle w:val="Heading1"/>
        <w:ind w:hanging="0" w:start="0"/>
        <w:rPr>
          <w:iCs/>
        </w:rPr>
      </w:pPr>
      <w:bookmarkStart w:id="82" w:name="__RefHeading___Toc496435184"/>
      <w:bookmarkEnd w:id="82"/>
      <w:r>
        <w:rPr/>
        <w:t>ARTICLE IX</w:t>
      </w:r>
    </w:p>
    <w:p>
      <w:pPr>
        <w:pStyle w:val="Heading1"/>
        <w:ind w:hanging="0" w:start="0"/>
        <w:rPr/>
      </w:pPr>
      <w:bookmarkStart w:id="83" w:name="__RefHeading___Toc496435185"/>
      <w:bookmarkEnd w:id="83"/>
      <w:r>
        <w:rPr/>
        <w:t>INSURANCE</w:t>
      </w:r>
    </w:p>
    <w:p>
      <w:pPr>
        <w:pStyle w:val="Heading2"/>
        <w:ind w:hanging="0" w:start="0"/>
        <w:rPr/>
      </w:pPr>
      <w:bookmarkStart w:id="84" w:name="__RefHeading___Toc496435186"/>
      <w:bookmarkEnd w:id="84"/>
      <w:r>
        <w:rPr/>
        <w:t>Section 9.1</w:t>
        <w:tab/>
        <w:t>Contractor’s Insurance.</w:t>
      </w:r>
    </w:p>
    <w:p>
      <w:pPr>
        <w:pStyle w:val="Normal"/>
        <w:ind w:firstLine="720" w:end="0"/>
        <w:jc w:val="both"/>
        <w:rPr/>
      </w:pPr>
      <w:r>
        <w:rPr/>
        <w:t>9.1.1</w:t>
        <w:tab/>
      </w:r>
      <w:r>
        <w:rPr>
          <w:u w:val="single"/>
        </w:rPr>
        <w:t>Required Coverages</w:t>
      </w:r>
      <w:r>
        <w:rPr/>
        <w:t xml:space="preserve">.  Contractor shall obtain, and shall maintain at its expense from the date hereof through Substantial Completion, the insurance described in </w:t>
      </w:r>
      <w:r>
        <w:rPr>
          <w:u w:val="single"/>
        </w:rPr>
        <w:t>Exhibit "G-1"</w:t>
      </w:r>
      <w:r>
        <w:rPr/>
        <w:t>.</w:t>
      </w:r>
    </w:p>
    <w:p>
      <w:pPr>
        <w:pStyle w:val="Normal"/>
        <w:jc w:val="both"/>
        <w:rPr>
          <w:u w:val="single"/>
        </w:rPr>
      </w:pPr>
      <w:r>
        <w:rPr>
          <w:u w:val="single"/>
        </w:rPr>
      </w:r>
    </w:p>
    <w:p>
      <w:pPr>
        <w:pStyle w:val="Normal"/>
        <w:ind w:firstLine="720" w:end="0"/>
        <w:jc w:val="both"/>
        <w:rPr>
          <w:i/>
          <w:i/>
          <w:iCs/>
        </w:rPr>
      </w:pPr>
      <w:r>
        <w:rPr/>
        <w:t>9.1.2.</w:t>
        <w:tab/>
      </w:r>
      <w:r>
        <w:rPr>
          <w:u w:val="single"/>
        </w:rPr>
        <w:t>Requirements of Contractor’s Insurance</w:t>
      </w:r>
      <w:r>
        <w:rPr/>
        <w:t xml:space="preserve">.  The insurance provided by Contractor pursuant to this Section 9.1 shall be primary unless stated otherwise in </w:t>
      </w:r>
      <w:r>
        <w:rPr>
          <w:u w:val="single"/>
        </w:rPr>
        <w:t>Exhibit "G-1"</w:t>
      </w:r>
      <w:r>
        <w:rPr/>
        <w:t xml:space="preserve"> and/or </w:t>
      </w:r>
      <w:r>
        <w:rPr>
          <w:u w:val="single"/>
        </w:rPr>
        <w:t>Exhibit "G-2"</w:t>
      </w:r>
      <w:r>
        <w:rPr/>
        <w:t xml:space="preserve"> as respects Owner, ECE, any Lender and their respective directors, officers, representatives, agents and employees, and any other insurance obtained and maintained by Owner or any Lender shall be excess of and shall not contribute with such insurance.  In addition, all such insurance (a) shall be with (i) an insurance company or companies licensed to do business as required by applicable Law and rated "A(-)" or better by Best’s Insurance Guide and Key Ratings or equivalent, (ii) an insurance company or companies which is or are not so rated </w:t>
      </w:r>
      <w:r>
        <w:rPr>
          <w:u w:val="single"/>
        </w:rPr>
        <w:t>provided</w:t>
      </w:r>
      <w:r>
        <w:rPr/>
        <w:t xml:space="preserve"> that in such case the risk placed with such insurance company or companies is either reinsured with or the subject of contingency liability cover obtained and maintained with an insurance company or companies which is or are so rated, or (iii) an insurance company or companies otherwise reasonably acceptable to Owner; (b) shall contain customary cut through provisions and waivers of subrogation; shall name Owner as an additional or named insured; and (c) shall include such other provisions and endorsements as are set forth in </w:t>
      </w:r>
      <w:r>
        <w:rPr>
          <w:u w:val="single"/>
        </w:rPr>
        <w:t>Exhibit "G-1"</w:t>
      </w:r>
      <w:r>
        <w:rPr/>
        <w:t>.</w:t>
      </w:r>
    </w:p>
    <w:p>
      <w:pPr>
        <w:pStyle w:val="Heading2"/>
        <w:ind w:hanging="0" w:start="0"/>
        <w:rPr/>
      </w:pPr>
      <w:bookmarkStart w:id="85" w:name="__RefHeading___Toc496435187"/>
      <w:bookmarkEnd w:id="85"/>
      <w:r>
        <w:rPr/>
        <w:t>Section 9.2</w:t>
        <w:tab/>
        <w:t>Construction Agent’s Insurance.</w:t>
      </w:r>
    </w:p>
    <w:p>
      <w:pPr>
        <w:pStyle w:val="Normal"/>
        <w:widowControl w:val="false"/>
        <w:ind w:firstLine="720" w:end="0"/>
        <w:jc w:val="both"/>
        <w:rPr/>
      </w:pPr>
      <w:r>
        <w:rPr/>
        <w:t>9.2.1.</w:t>
        <w:tab/>
      </w:r>
      <w:r>
        <w:rPr>
          <w:u w:val="single"/>
        </w:rPr>
        <w:t>Required Coverage</w:t>
      </w:r>
      <w:r>
        <w:rPr/>
        <w:t xml:space="preserve">.  From the Effective Date and thereafter through the end of the Warranty Period, Construction Agent shall, or shall cause Owner to, obtain and maintain the insurance described in </w:t>
      </w:r>
      <w:r>
        <w:rPr>
          <w:u w:val="single"/>
        </w:rPr>
        <w:t>Exhibit "G-2"</w:t>
      </w:r>
      <w:r>
        <w:rPr/>
        <w:t>.</w:t>
      </w:r>
    </w:p>
    <w:p>
      <w:pPr>
        <w:pStyle w:val="Normal"/>
        <w:jc w:val="both"/>
        <w:rPr>
          <w:u w:val="single"/>
        </w:rPr>
      </w:pPr>
      <w:r>
        <w:rPr>
          <w:u w:val="single"/>
        </w:rPr>
      </w:r>
    </w:p>
    <w:p>
      <w:pPr>
        <w:pStyle w:val="Normal"/>
        <w:ind w:firstLine="720" w:end="0"/>
        <w:jc w:val="both"/>
        <w:rPr/>
      </w:pPr>
      <w:r>
        <w:rPr/>
        <w:t>9.2.2.</w:t>
        <w:tab/>
      </w:r>
      <w:r>
        <w:rPr>
          <w:u w:val="single"/>
        </w:rPr>
        <w:t>Requirements of Construction Agent’s Insurance</w:t>
      </w:r>
      <w:r>
        <w:rPr/>
        <w:t xml:space="preserve">.  The insurance provided by Construction Agent or Owner pursuant to Section 9.2 shall be primary, unless stated otherwise in </w:t>
      </w:r>
      <w:r>
        <w:rPr>
          <w:u w:val="single"/>
        </w:rPr>
        <w:t>Exhibit "G</w:t>
        <w:noBreakHyphen/>
        <w:t>1"</w:t>
      </w:r>
      <w:r>
        <w:rPr/>
        <w:t xml:space="preserve"> and/or </w:t>
      </w:r>
      <w:r>
        <w:rPr>
          <w:u w:val="single"/>
        </w:rPr>
        <w:t>Exhibit "G-2"</w:t>
      </w:r>
      <w:r>
        <w:rPr/>
        <w:t xml:space="preserve">,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be with (a) an insurance company or companies licensed to do business as required by applicable Law and rated "A(-)" or better by Best’s Insurance Guide and Key Ratings or equivalent, (b) an insurance company or companies which is or are not so rated </w:t>
      </w:r>
      <w:r>
        <w:rPr>
          <w:u w:val="single"/>
        </w:rPr>
        <w:t>provided</w:t>
      </w:r>
      <w:r>
        <w:rPr/>
        <w:t xml:space="preserve">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 shall contain customary cut through provisions and waivers of subrogation; shall name Contractor as an additional or named </w:t>
      </w:r>
      <w:r>
        <w:rPr>
          <w:spacing w:val="4"/>
        </w:rPr>
        <w:t xml:space="preserve">insured; and shall include such other provisions and endorsements as are set forth in </w:t>
      </w:r>
      <w:r>
        <w:rPr>
          <w:spacing w:val="4"/>
          <w:u w:val="single"/>
        </w:rPr>
        <w:t>Exhibit "G-2"</w:t>
      </w:r>
      <w:r>
        <w:rPr>
          <w:spacing w:val="4"/>
        </w:rPr>
        <w:t>.</w:t>
      </w:r>
    </w:p>
    <w:p>
      <w:pPr>
        <w:pStyle w:val="Heading2"/>
        <w:ind w:hanging="0" w:start="0"/>
        <w:rPr/>
      </w:pPr>
      <w:bookmarkStart w:id="86" w:name="__RefHeading___Toc496435188"/>
      <w:bookmarkEnd w:id="86"/>
      <w:r>
        <w:rPr/>
        <w:t>Section 9.3</w:t>
        <w:tab/>
        <w:t>Certificates and Cancellations.</w:t>
      </w:r>
    </w:p>
    <w:p>
      <w:pPr>
        <w:pStyle w:val="Normal"/>
        <w:ind w:firstLine="720" w:end="0"/>
        <w:jc w:val="both"/>
        <w:rPr/>
      </w:pPr>
      <w:r>
        <w:rPr/>
        <w:t>9.3.1.</w:t>
        <w:tab/>
      </w:r>
      <w:r>
        <w:rPr>
          <w:u w:val="single"/>
        </w:rPr>
        <w:t>Contractor Certificates</w:t>
      </w:r>
      <w:r>
        <w:rPr/>
        <w:t>.  Contractor shall, on or prior to commencement of activities on the Site, deliver to Construction Agent and Owner certificates of insurance evidencing compliance with the requirements of Section 9.1.</w:t>
      </w:r>
    </w:p>
    <w:p>
      <w:pPr>
        <w:pStyle w:val="Normal"/>
        <w:jc w:val="both"/>
        <w:rPr>
          <w:u w:val="single"/>
        </w:rPr>
      </w:pPr>
      <w:r>
        <w:rPr>
          <w:u w:val="single"/>
        </w:rPr>
      </w:r>
    </w:p>
    <w:p>
      <w:pPr>
        <w:pStyle w:val="Normal"/>
        <w:ind w:firstLine="720" w:end="0"/>
        <w:jc w:val="both"/>
        <w:rPr>
          <w:i/>
          <w:i/>
          <w:iCs/>
        </w:rPr>
      </w:pPr>
      <w:r>
        <w:rPr/>
        <w:t>9.3.2.</w:t>
        <w:tab/>
      </w:r>
      <w:r>
        <w:rPr>
          <w:u w:val="single"/>
        </w:rPr>
        <w:t>Construction Agent Certificates</w:t>
      </w:r>
      <w:r>
        <w:rPr/>
        <w:t>.  Construction Agent shall, or shall cause Owner to, consistent with the timing set out in Section 9.2, deliver to Contractor certificates of insurance evidencing compliance with the requirements of Section 9.2.</w:t>
      </w:r>
    </w:p>
    <w:p>
      <w:pPr>
        <w:pStyle w:val="Normal"/>
        <w:jc w:val="both"/>
        <w:rPr>
          <w:i/>
          <w:i/>
          <w:iCs/>
          <w:u w:val="single"/>
        </w:rPr>
      </w:pPr>
      <w:r>
        <w:rPr>
          <w:i/>
          <w:iCs/>
          <w:u w:val="single"/>
        </w:rPr>
      </w:r>
    </w:p>
    <w:p>
      <w:pPr>
        <w:pStyle w:val="Normal"/>
        <w:ind w:firstLine="720" w:end="0"/>
        <w:jc w:val="both"/>
        <w:rPr/>
      </w:pPr>
      <w:r>
        <w:rPr/>
        <w:t>9.3.3.</w:t>
        <w:tab/>
      </w:r>
      <w:r>
        <w:rPr>
          <w:u w:val="single"/>
        </w:rPr>
        <w:t>Notice of Cancellation</w:t>
      </w:r>
      <w:r>
        <w:rPr/>
        <w:t>.  All policies of insurance to be secured and maintained hereunder shall provide, by endorsement or otherwise, that the other Party and any additional insured, where required in writing, shall be provided 30 days prior written notice of any material policy changes or cancellations (except 10 days for non-payment of premium), and that no such cancellation or change shall be effective without such notice.</w:t>
      </w:r>
    </w:p>
    <w:p>
      <w:pPr>
        <w:pStyle w:val="Normal"/>
        <w:jc w:val="both"/>
        <w:rPr>
          <w:u w:val="single"/>
        </w:rPr>
      </w:pPr>
      <w:r>
        <w:rPr>
          <w:u w:val="single"/>
        </w:rPr>
      </w:r>
    </w:p>
    <w:p>
      <w:pPr>
        <w:pStyle w:val="Normal"/>
        <w:ind w:firstLine="720" w:end="0"/>
        <w:jc w:val="both"/>
        <w:rPr/>
      </w:pPr>
      <w:r>
        <w:rPr/>
        <w:t>9.3.4.</w:t>
        <w:tab/>
      </w:r>
      <w:r>
        <w:rPr>
          <w:u w:val="single"/>
        </w:rPr>
        <w:t>Notice of Loss, etc</w:t>
      </w:r>
      <w:r>
        <w:rPr/>
        <w:t>.  Contractor shall immediately notify Construction Agent and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pPr>
      <w:bookmarkStart w:id="87" w:name="__RefHeading___Toc496435189"/>
      <w:bookmarkEnd w:id="87"/>
      <w:r>
        <w:rPr/>
        <w:t>Section 9.4</w:t>
        <w:tab/>
        <w:t>Failure to Pay.</w:t>
      </w:r>
    </w:p>
    <w:p>
      <w:pPr>
        <w:pStyle w:val="Normal"/>
        <w:widowControl w:val="false"/>
        <w:jc w:val="both"/>
        <w:rPr/>
      </w:pPr>
      <w:r>
        <w:rPr/>
        <w:t>Irrespective of the requirements for insurance to be secured and maintained hereunder, the insolvency, bankruptcy or failure of any insurance company carrying insurance of any Party or the failure of any such insurance company to pay claims accruing, shall not affect, negate or waive any of the provisions of this Contract, including, without exception, the indemnity obligations of any Party.</w:t>
      </w:r>
    </w:p>
    <w:p>
      <w:pPr>
        <w:pStyle w:val="Heading2"/>
        <w:ind w:hanging="0" w:start="0"/>
        <w:rPr/>
      </w:pPr>
      <w:bookmarkStart w:id="88" w:name="__RefHeading___Toc496435190"/>
      <w:bookmarkEnd w:id="88"/>
      <w:r>
        <w:rPr/>
        <w:t>Section 9.5</w:t>
        <w:tab/>
        <w:t>Miscellaneous.</w:t>
      </w:r>
    </w:p>
    <w:p>
      <w:pPr>
        <w:pStyle w:val="Normal"/>
        <w:ind w:firstLine="720" w:end="0"/>
        <w:jc w:val="both"/>
        <w:rPr/>
      </w:pPr>
      <w:r>
        <w:rPr/>
        <w:t>9.5.1.</w:t>
        <w:tab/>
      </w:r>
      <w:r>
        <w:rPr>
          <w:u w:val="single"/>
        </w:rPr>
        <w:t>Non-waiver</w:t>
      </w:r>
      <w:r>
        <w:rPr/>
        <w:t>.  Failure of either Party to comply with the foregoing insurance requirements shall in no way waive its obligations or liabilities under this Contract or the rights of Construction Agent or Owner hereunder against Contractor, or the rights of Contractor hereunder against Construction Agent or Owner.</w:t>
      </w:r>
    </w:p>
    <w:p>
      <w:pPr>
        <w:pStyle w:val="Normal"/>
        <w:jc w:val="both"/>
        <w:rPr>
          <w:u w:val="single"/>
        </w:rPr>
      </w:pPr>
      <w:r>
        <w:rPr>
          <w:u w:val="single"/>
        </w:rPr>
      </w:r>
    </w:p>
    <w:p>
      <w:pPr>
        <w:pStyle w:val="Normal"/>
        <w:ind w:firstLine="720" w:end="0"/>
        <w:jc w:val="both"/>
        <w:rPr/>
      </w:pPr>
      <w:r>
        <w:rPr/>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Normal"/>
        <w:jc w:val="both"/>
        <w:rPr>
          <w:u w:val="single"/>
        </w:rPr>
      </w:pPr>
      <w:r>
        <w:rPr>
          <w:u w:val="single"/>
        </w:rPr>
      </w:r>
    </w:p>
    <w:p>
      <w:pPr>
        <w:pStyle w:val="Normal"/>
        <w:ind w:firstLine="720" w:end="0"/>
        <w:jc w:val="both"/>
        <w:rPr/>
      </w:pPr>
      <w:r>
        <w:rPr/>
        <w:t>9.5.3.</w:t>
        <w:tab/>
      </w:r>
      <w:r>
        <w:rPr>
          <w:u w:val="single"/>
        </w:rPr>
        <w:t>Subcontractor Insurance</w:t>
      </w:r>
      <w:r>
        <w:rPr/>
        <w:t>.  Before permitting any Major Subcontractor to perform any Work, Contractor shall obtain a certificate of insurance from each such Subcontractor evidencing that such Subcontractor has obtained, from insurance carriers licensed to do business as required by applicable Laws, insurance in such amounts and against such risks as is prudent in light of the work to be performed by such Major Subcontractor, subject to the commercial availability of such insurance and commensurate with normal practices in the location where such Work is performed.</w:t>
      </w:r>
    </w:p>
    <w:p>
      <w:pPr>
        <w:pStyle w:val="Normal"/>
        <w:ind w:firstLine="720" w:end="0"/>
        <w:jc w:val="both"/>
        <w:rPr>
          <w:u w:val="single"/>
        </w:rPr>
      </w:pPr>
      <w:r>
        <w:rPr>
          <w:u w:val="single"/>
        </w:rPr>
      </w:r>
    </w:p>
    <w:p>
      <w:pPr>
        <w:pStyle w:val="Normal"/>
        <w:ind w:firstLine="720" w:end="0"/>
        <w:jc w:val="both"/>
        <w:rPr/>
      </w:pPr>
      <w:r>
        <w:rPr/>
        <w:t>9.5.4.</w:t>
        <w:tab/>
      </w:r>
      <w:r>
        <w:rPr>
          <w:u w:val="single"/>
        </w:rPr>
        <w:t>Coordination</w:t>
      </w:r>
      <w:r>
        <w:rPr/>
        <w:t>.  Until Substantial Completion, Contractor shall administer the filing of claims under the insurance required by Article 9.</w:t>
      </w:r>
    </w:p>
    <w:p>
      <w:pPr>
        <w:pStyle w:val="Normal"/>
        <w:widowControl w:val="false"/>
        <w:jc w:val="both"/>
        <w:rPr/>
      </w:pPr>
      <w:r>
        <w:rPr/>
      </w:r>
    </w:p>
    <w:p>
      <w:pPr>
        <w:pStyle w:val="Heading1"/>
        <w:ind w:hanging="0" w:start="0"/>
        <w:rPr/>
      </w:pPr>
      <w:bookmarkStart w:id="89" w:name="__RefHeading___Toc496435191"/>
      <w:bookmarkEnd w:id="89"/>
      <w:r>
        <w:rPr/>
        <w:t>ARTICLE X</w:t>
      </w:r>
    </w:p>
    <w:p>
      <w:pPr>
        <w:pStyle w:val="Heading1"/>
        <w:ind w:hanging="0" w:start="0"/>
        <w:rPr/>
      </w:pPr>
      <w:bookmarkStart w:id="90" w:name="__RefHeading___Toc496435192"/>
      <w:bookmarkEnd w:id="90"/>
      <w:r>
        <w:rPr/>
        <w:t>DOCUMENTATION</w:t>
      </w:r>
    </w:p>
    <w:p>
      <w:pPr>
        <w:pStyle w:val="Heading2"/>
        <w:ind w:hanging="0" w:start="0"/>
        <w:rPr/>
      </w:pPr>
      <w:bookmarkStart w:id="91" w:name="__RefHeading___Toc496435193"/>
      <w:bookmarkEnd w:id="91"/>
      <w:r>
        <w:rPr/>
        <w:t>Section 10.1</w:t>
        <w:tab/>
        <w:t>Delivery of Job Books.</w:t>
      </w:r>
    </w:p>
    <w:p>
      <w:pPr>
        <w:pStyle w:val="Normal"/>
        <w:jc w:val="both"/>
        <w:rPr/>
      </w:pPr>
      <w:r>
        <w:rPr/>
        <w:t>At least 120 days prior to commencement of commissioning of Phase I, Contractor shall deliver to Construction Agent eight copies of the draft job books for the Facility (the "</w:t>
      </w:r>
      <w:r>
        <w:rPr>
          <w:u w:val="single"/>
        </w:rPr>
        <w:t>Job Books</w:t>
      </w:r>
      <w:r>
        <w:rPr/>
        <w:t xml:space="preserve">") in the format and including the information and materials described in </w:t>
      </w:r>
      <w:r>
        <w:rPr>
          <w:u w:val="single"/>
        </w:rPr>
        <w:t>Exhibit "N"</w:t>
      </w:r>
      <w:r>
        <w:rPr/>
        <w:t>.  Such draft Job Books shall be without as</w:t>
        <w:noBreakHyphen/>
        <w:t xml:space="preserve">built drawings, but as reasonably complete as available information will allow, </w:t>
      </w:r>
      <w:r>
        <w:rPr>
          <w:color w:val="000000"/>
          <w:szCs w:val="24"/>
        </w:rPr>
        <w:t xml:space="preserve">including one set of the then-current drawings, not intended as-built drawings, in both print and electronic format, </w:t>
      </w:r>
      <w:r>
        <w:rPr/>
        <w:t xml:space="preserve">with sufficient information to permit the training of Construction Agent or Owner’s operators and the normal operation and maintenance of the Facility by Persons generally familiar with plants similar to the Facility.  Not later than sixty (60) days following Substantial Completion of the Facility, but in any event prior to Final Completion, Contractor shall provide to Construction Agent eight copies of the final Job Books, including complete sets of as-built drawings and vendor drawings, pursuant to the provisions of </w:t>
      </w:r>
      <w:r>
        <w:rPr>
          <w:u w:val="single"/>
        </w:rPr>
        <w:t>Exhibit "N"</w:t>
      </w:r>
      <w:r>
        <w:rPr/>
        <w:t>.  For any early start-up of an individual unit or system, including any Phase,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pPr>
      <w:bookmarkStart w:id="92" w:name="__RefHeading___Toc496435194"/>
      <w:bookmarkEnd w:id="92"/>
      <w:r>
        <w:rPr/>
        <w:t>Section 10.2</w:t>
        <w:tab/>
        <w:t>Machine Readable Information.</w:t>
      </w:r>
    </w:p>
    <w:p>
      <w:pPr>
        <w:pStyle w:val="Normal"/>
        <w:jc w:val="both"/>
        <w:rPr/>
      </w:pPr>
      <w:r>
        <w:rPr/>
        <w:t>Where any of the information to be provided by Contractor to Construction Agent pursuant to this Article 10 is produced on computer or is otherwise available in magnetic, optical or other digital machine readable form, Contractor shall provide to Construction Agent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Construction Agent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Construction Agent in machine readable form, which originals shall be referred to and shall govern in the event of any inconsistency between the two.</w:t>
      </w:r>
    </w:p>
    <w:p>
      <w:pPr>
        <w:pStyle w:val="Heading2"/>
        <w:ind w:hanging="0" w:start="0"/>
        <w:rPr/>
      </w:pPr>
      <w:bookmarkStart w:id="93" w:name="__RefHeading___Toc496435195"/>
      <w:bookmarkEnd w:id="93"/>
      <w:r>
        <w:rPr/>
        <w:t>Section 10.3</w:t>
        <w:tab/>
      </w:r>
      <w:r>
        <w:rPr>
          <w:color w:val="000000"/>
          <w:szCs w:val="24"/>
        </w:rPr>
        <w:t>Drawings.</w:t>
      </w:r>
    </w:p>
    <w:p>
      <w:pPr>
        <w:pStyle w:val="Normal"/>
        <w:widowControl w:val="false"/>
        <w:numPr>
          <w:ilvl w:val="0"/>
          <w:numId w:val="0"/>
        </w:numPr>
        <w:ind w:hanging="0" w:start="0"/>
        <w:jc w:val="both"/>
        <w:rPr>
          <w:color w:val="000000"/>
          <w:szCs w:val="24"/>
        </w:rPr>
      </w:pPr>
      <w:r>
        <w:rPr>
          <w:color w:val="000000"/>
          <w:szCs w:val="24"/>
        </w:rPr>
        <w:t>Without limitation of anything set forth in this Article 10, all final engineering drawings, including as-built engineering drawings and vendor drawings, which are provided by Contractor to Construction Agent pursuant to this Contract, shall be provided in both print and electronic formats, including two sets of reproducible drawings and one electronic copy provided in standard commercially available software useable by Contractor and Construction Agent without conversion.</w:t>
      </w:r>
    </w:p>
    <w:p>
      <w:pPr>
        <w:pStyle w:val="Heading2"/>
        <w:ind w:hanging="0" w:start="0"/>
        <w:rPr/>
      </w:pPr>
      <w:bookmarkStart w:id="94" w:name="__RefHeading___Toc496435196"/>
      <w:bookmarkEnd w:id="94"/>
      <w:r>
        <w:rPr/>
        <w:t>Section 10.4</w:t>
        <w:tab/>
        <w:t>Facility Operations Manuals.</w:t>
      </w:r>
    </w:p>
    <w:p>
      <w:pPr>
        <w:pStyle w:val="Normal"/>
        <w:numPr>
          <w:ilvl w:val="0"/>
          <w:numId w:val="0"/>
        </w:numPr>
        <w:ind w:hanging="0" w:start="0"/>
        <w:jc w:val="both"/>
        <w:rPr/>
      </w:pPr>
      <w:r>
        <w:rPr>
          <w:color w:val="000000"/>
          <w:szCs w:val="24"/>
        </w:rPr>
        <w:t>Contractor shall prepare operations and maintenance manuals ("</w:t>
      </w:r>
      <w:r>
        <w:rPr>
          <w:color w:val="000000"/>
          <w:szCs w:val="24"/>
          <w:u w:val="single"/>
        </w:rPr>
        <w:t>Facility Operations Manuals</w:t>
      </w:r>
      <w:r>
        <w:rPr>
          <w:color w:val="000000"/>
          <w:szCs w:val="24"/>
        </w:rPr>
        <w:t xml:space="preserve">") for such Equipment and Phase as Contractor deems necessary and as reasonably requested by Construction Agent.  Contractor shall deliver Facility Operations Manuals to Construction Agent promptly upon the completion thereof, but in any event not later than </w:t>
      </w:r>
      <w:r>
        <w:rPr/>
        <w:t xml:space="preserve">sixty (60) </w:t>
      </w:r>
      <w:r>
        <w:rPr>
          <w:color w:val="000000"/>
          <w:szCs w:val="24"/>
        </w:rPr>
        <w:t xml:space="preserve"> days prior to Mechanical Completion of any Phase for Owner's review.  Construction Agent shall provide Contractor, within thirty (30) days following receipt of such Facility Operations Manuals, with its comments thereto or approval thereof.  Contractor shall deliver to Construction Agent within twenty (20) days after receipt of Construction Agent's comments the revised Facility Operations Manuals for Construction Agent's final review and approval within ten (10) days after the receipt thereof, such approval not to be unreasonably withheld.  Contractor shall ensure that Facility Operations Manuals do not conflict with any applicable manufacturer's or vendor's recommended operation and maintenance procedures, specifications or warranty requirements, and in the event of such conflict, Construction Agent shall be entitled to comply with the appropriate manufacturer's or vendor's recommended operation and maintenance procedures, specifications or warranty requirements.</w:t>
      </w:r>
    </w:p>
    <w:p>
      <w:pPr>
        <w:pStyle w:val="Heading2"/>
        <w:ind w:hanging="0" w:start="0"/>
        <w:rPr/>
      </w:pPr>
      <w:bookmarkStart w:id="95" w:name="__RefHeading___Toc496435197"/>
      <w:bookmarkEnd w:id="95"/>
      <w:r>
        <w:rPr/>
        <w:t>Section 10.5</w:t>
        <w:tab/>
        <w:t>Vendor O&amp;M Manuals.</w:t>
      </w:r>
    </w:p>
    <w:p>
      <w:pPr>
        <w:pStyle w:val="Normal"/>
        <w:numPr>
          <w:ilvl w:val="0"/>
          <w:numId w:val="0"/>
        </w:numPr>
        <w:ind w:hanging="0" w:start="0"/>
        <w:jc w:val="both"/>
        <w:rPr/>
      </w:pPr>
      <w:r>
        <w:rPr>
          <w:color w:val="000000"/>
          <w:szCs w:val="24"/>
        </w:rPr>
        <w:t xml:space="preserve">Contractor shall provide to Construction Agent, not later than </w:t>
      </w:r>
      <w:r>
        <w:rPr/>
        <w:t>sixty (60)</w:t>
      </w:r>
      <w:r>
        <w:rPr>
          <w:color w:val="000000"/>
          <w:szCs w:val="24"/>
        </w:rPr>
        <w:t>days prior to Mechanical Completion of any Phase, all Subcontractor and vendor-provided operations and maintenance manuals or similar instructions ("</w:t>
      </w:r>
      <w:r>
        <w:rPr>
          <w:color w:val="000000"/>
          <w:szCs w:val="24"/>
          <w:u w:val="single"/>
        </w:rPr>
        <w:t>Vendor O&amp;M Manuals</w:t>
      </w:r>
      <w:r>
        <w:rPr>
          <w:color w:val="000000"/>
          <w:szCs w:val="24"/>
        </w:rPr>
        <w:t>") relating to any Equipment in such Phase.</w:t>
      </w:r>
    </w:p>
    <w:p>
      <w:pPr>
        <w:pStyle w:val="Normal"/>
        <w:numPr>
          <w:ilvl w:val="0"/>
          <w:numId w:val="0"/>
        </w:numPr>
        <w:ind w:hanging="0" w:start="0"/>
        <w:jc w:val="both"/>
        <w:rPr>
          <w:color w:val="000000"/>
          <w:szCs w:val="24"/>
        </w:rPr>
      </w:pPr>
      <w:r>
        <w:rPr>
          <w:color w:val="000000"/>
          <w:szCs w:val="24"/>
        </w:rPr>
      </w:r>
    </w:p>
    <w:p>
      <w:pPr>
        <w:pStyle w:val="Heading1"/>
        <w:ind w:hanging="0" w:start="0"/>
        <w:rPr>
          <w:b w:val="false"/>
          <w:bCs w:val="false"/>
        </w:rPr>
      </w:pPr>
      <w:bookmarkStart w:id="96" w:name="__RefHeading___Toc496435198"/>
      <w:bookmarkEnd w:id="96"/>
      <w:r>
        <w:rPr/>
        <w:t>ARTICLE XI</w:t>
      </w:r>
    </w:p>
    <w:p>
      <w:pPr>
        <w:pStyle w:val="Heading1"/>
        <w:ind w:hanging="0" w:start="0"/>
        <w:rPr/>
      </w:pPr>
      <w:bookmarkStart w:id="97" w:name="__RefHeading___Toc496435199"/>
      <w:bookmarkEnd w:id="97"/>
      <w:r>
        <w:rPr/>
        <w:t>COMPLETION</w:t>
      </w:r>
    </w:p>
    <w:p>
      <w:pPr>
        <w:pStyle w:val="Heading2"/>
        <w:ind w:hanging="0" w:start="0"/>
        <w:rPr/>
      </w:pPr>
      <w:bookmarkStart w:id="98" w:name="__RefHeading___Toc496435200"/>
      <w:bookmarkEnd w:id="98"/>
      <w:r>
        <w:rPr/>
        <w:t>Section 11.1</w:t>
        <w:tab/>
        <w:t>Testing Notices.</w:t>
      </w:r>
    </w:p>
    <w:p>
      <w:pPr>
        <w:pStyle w:val="Normal"/>
        <w:widowControl w:val="false"/>
        <w:numPr>
          <w:ilvl w:val="0"/>
          <w:numId w:val="0"/>
        </w:numPr>
        <w:jc w:val="both"/>
        <w:outlineLvl w:val="0"/>
        <w:rPr/>
      </w:pPr>
      <w:r>
        <w:rPr/>
        <w:t xml:space="preserve">Contractor shall give Construction Agent the notices of testing required by </w:t>
      </w:r>
      <w:r>
        <w:rPr>
          <w:u w:val="single"/>
        </w:rPr>
        <w:t>Exhibit "E-3"</w:t>
      </w:r>
      <w:r>
        <w:rPr/>
        <w:t>.</w:t>
      </w:r>
    </w:p>
    <w:p>
      <w:pPr>
        <w:pStyle w:val="Heading2"/>
        <w:ind w:hanging="0" w:start="0"/>
        <w:rPr/>
      </w:pPr>
      <w:bookmarkStart w:id="99" w:name="__RefHeading___Toc496435201"/>
      <w:bookmarkEnd w:id="99"/>
      <w:r>
        <w:rPr/>
        <w:t>Section 11.2</w:t>
        <w:tab/>
        <w:t>Substantial Completion.</w:t>
      </w:r>
    </w:p>
    <w:p>
      <w:pPr>
        <w:pStyle w:val="Normal"/>
        <w:widowControl w:val="false"/>
        <w:jc w:val="both"/>
        <w:rPr/>
      </w:pPr>
      <w:r>
        <w:rPr/>
        <w:t>Each Phase shall be considered substantially complete (with respect to each Phase, "</w:t>
      </w:r>
      <w:r>
        <w:rPr>
          <w:u w:val="single"/>
        </w:rPr>
        <w:t>Substantial Completion</w:t>
      </w:r>
      <w:r>
        <w:rPr/>
        <w:t>") upon the satisfaction by Contractor or waiver by Construction Agent of each of the following conditions:</w:t>
      </w:r>
    </w:p>
    <w:p>
      <w:pPr>
        <w:pStyle w:val="Normal"/>
        <w:ind w:hanging="720" w:start="2160" w:end="0"/>
        <w:jc w:val="both"/>
        <w:rPr/>
      </w:pPr>
      <w:r>
        <w:rPr/>
      </w:r>
    </w:p>
    <w:p>
      <w:pPr>
        <w:pStyle w:val="Normal"/>
        <w:ind w:hanging="720" w:start="2160" w:end="0"/>
        <w:jc w:val="both"/>
        <w:rPr/>
      </w:pPr>
      <w:r>
        <w:rPr/>
        <w:t>(a)</w:t>
        <w:tab/>
        <w:t>Mechanical Completion of the Phase has been achieved;</w:t>
      </w:r>
    </w:p>
    <w:p>
      <w:pPr>
        <w:pStyle w:val="Normal"/>
        <w:ind w:hanging="720" w:start="2160" w:end="0"/>
        <w:jc w:val="both"/>
        <w:rPr/>
      </w:pPr>
      <w:r>
        <w:rPr/>
      </w:r>
    </w:p>
    <w:p>
      <w:pPr>
        <w:pStyle w:val="Normal"/>
        <w:ind w:hanging="720" w:start="2160" w:end="0"/>
        <w:jc w:val="both"/>
        <w:rPr/>
      </w:pPr>
      <w:r>
        <w:rPr/>
        <w:t>(b)</w:t>
        <w:tab/>
        <w:t xml:space="preserve">All Work associated with the Phase is substantially complete in accordance with this Contract, the Scope of Work, and applicable Law (except to the extent any non-compliance with applicable Law (x) is remediable, (y) does not in any way restrict or adversely impact the lawful, safe, normal and continuous operation of the Phase or the Facility,  and (z) is included on the Punchlist), except for mutually agreed Punchlist items; </w:t>
      </w:r>
      <w:r>
        <w:rPr>
          <w:u w:val="single"/>
        </w:rPr>
        <w:t>provided</w:t>
      </w:r>
      <w:r>
        <w:rPr/>
        <w:t xml:space="preserve">, </w:t>
      </w:r>
      <w:r>
        <w:rPr>
          <w:u w:val="single"/>
        </w:rPr>
        <w:t>however</w:t>
      </w:r>
      <w:r>
        <w:rPr/>
        <w:t>, that the Punchlist shall contain (i) only those defects and incomplete items which would not adversely affect the safe, normal and continuous operation of the Facility in accordance with the requirements of the EPC Contract and applicable law and (ii) Owner spares used but not replaced by Contractor prior to Substantial Completion of the Phase, as provided in Section 3.2.3;</w:t>
      </w:r>
    </w:p>
    <w:p>
      <w:pPr>
        <w:pStyle w:val="Normal"/>
        <w:ind w:hanging="720" w:start="2160" w:end="0"/>
        <w:jc w:val="both"/>
        <w:rPr/>
      </w:pPr>
      <w:r>
        <w:rPr/>
      </w:r>
    </w:p>
    <w:p>
      <w:pPr>
        <w:pStyle w:val="Normal"/>
        <w:ind w:hanging="720" w:start="2160" w:end="0"/>
        <w:jc w:val="both"/>
        <w:rPr/>
      </w:pPr>
      <w:r>
        <w:rPr/>
        <w:t>(c)</w:t>
        <w:tab/>
        <w:t xml:space="preserve">Each of the Performance Tests for the respective Phase has been successfully completed as required by </w:t>
      </w:r>
      <w:r>
        <w:rPr>
          <w:u w:val="single"/>
        </w:rPr>
        <w:t>Exhibit "E-3"</w:t>
      </w:r>
      <w:r>
        <w:rPr/>
        <w:t xml:space="preserve"> and a report setting forth the test results has been delivered by Contractor to Construction Agent in accordance with </w:t>
      </w:r>
      <w:r>
        <w:rPr>
          <w:u w:val="single"/>
        </w:rPr>
        <w:t>Exhibit "E-3"</w:t>
      </w:r>
      <w:r>
        <w:rPr/>
        <w:t>;</w:t>
      </w:r>
    </w:p>
    <w:p>
      <w:pPr>
        <w:pStyle w:val="Normal"/>
        <w:ind w:hanging="720" w:start="2160" w:end="0"/>
        <w:jc w:val="both"/>
        <w:rPr/>
      </w:pPr>
      <w:r>
        <w:rPr/>
      </w:r>
    </w:p>
    <w:p>
      <w:pPr>
        <w:pStyle w:val="Normal"/>
        <w:ind w:hanging="720" w:start="2160" w:end="0"/>
        <w:jc w:val="both"/>
        <w:rPr/>
      </w:pPr>
      <w:r>
        <w:rPr/>
        <w:t>(d)</w:t>
        <w:tab/>
        <w:t xml:space="preserve">Construction Agent and Contractor have agreed on the Punchlist related to the Phase, or, if they have not reached agreement, the dispute has been submitted to dispute resolution pursuant to Article 19, and Contractor has either posted a Letter of Credit in the amount of the Punchlist Retention or, if Contractor then has a valid Letter of Credit posted in favor of Construction Agent, has increased the stated amount thereunder in an amount sufficient to cover any Retention together with any Punchlist Retention; </w:t>
      </w:r>
      <w:r>
        <w:rPr>
          <w:iCs/>
          <w:u w:val="single"/>
        </w:rPr>
        <w:t>provided</w:t>
      </w:r>
      <w:r>
        <w:rPr>
          <w:iCs/>
        </w:rPr>
        <w:t xml:space="preserve">, </w:t>
      </w:r>
      <w:r>
        <w:rPr>
          <w:iCs/>
          <w:u w:val="single"/>
        </w:rPr>
        <w:t>however</w:t>
      </w:r>
      <w:r>
        <w:rPr>
          <w:iCs/>
        </w:rPr>
        <w:t xml:space="preserve"> tha</w:t>
      </w:r>
      <w:r>
        <w:rPr/>
        <w:t>t the resolution of such dispute shall not otherwise delay the effective date of Substantial Completion of the respective Phase; and</w:t>
      </w:r>
    </w:p>
    <w:p>
      <w:pPr>
        <w:pStyle w:val="Normal"/>
        <w:tabs>
          <w:tab w:val="clear" w:pos="720"/>
          <w:tab w:val="left" w:pos="1062" w:leader="none"/>
        </w:tabs>
        <w:ind w:hanging="1066" w:start="1066" w:end="0"/>
        <w:rPr/>
      </w:pPr>
      <w:r>
        <w:rPr/>
      </w:r>
    </w:p>
    <w:p>
      <w:pPr>
        <w:pStyle w:val="Footer"/>
        <w:tabs>
          <w:tab w:val="clear" w:pos="4320"/>
          <w:tab w:val="clear" w:pos="8640"/>
        </w:tabs>
        <w:ind w:hanging="720" w:start="2160" w:end="0"/>
        <w:jc w:val="both"/>
        <w:rPr/>
      </w:pPr>
      <w:r>
        <w:rPr/>
        <w:t>(e)</w:t>
        <w:tab/>
        <w:t xml:space="preserve">Contractor has completed the training of Facility operators in accordance with the training program set forth in </w:t>
      </w:r>
      <w:r>
        <w:rPr>
          <w:u w:val="single"/>
        </w:rPr>
        <w:t>Exhibit "M"</w:t>
      </w:r>
      <w:r>
        <w:rPr/>
        <w:t>.</w:t>
      </w:r>
    </w:p>
    <w:p>
      <w:pPr>
        <w:pStyle w:val="Heading2"/>
        <w:ind w:hanging="0" w:start="0"/>
        <w:rPr/>
      </w:pPr>
      <w:bookmarkStart w:id="100" w:name="__RefHeading___Toc496435202"/>
      <w:bookmarkEnd w:id="100"/>
      <w:r>
        <w:rPr/>
        <w:t>Section 11.3</w:t>
        <w:tab/>
        <w:t>Final Completion.</w:t>
      </w:r>
    </w:p>
    <w:p>
      <w:pPr>
        <w:pStyle w:val="Normal"/>
        <w:widowControl w:val="false"/>
        <w:jc w:val="both"/>
        <w:rPr/>
      </w:pPr>
      <w:r>
        <w:rPr/>
        <w:t>The Facility shall be considered to be finally complete ("</w:t>
      </w:r>
      <w:r>
        <w:rPr>
          <w:u w:val="single"/>
        </w:rPr>
        <w:t>Final Completion</w:t>
      </w:r>
      <w:r>
        <w:rPr/>
        <w:t>") upon the Contractor’s satisfaction by Contractor or waiver by Construction Agent of each of the following conditions:</w:t>
      </w:r>
    </w:p>
    <w:p>
      <w:pPr>
        <w:pStyle w:val="Normal"/>
        <w:jc w:val="both"/>
        <w:rPr/>
      </w:pPr>
      <w:r>
        <w:rPr/>
      </w:r>
    </w:p>
    <w:p>
      <w:pPr>
        <w:pStyle w:val="Normaltext"/>
        <w:ind w:hanging="720" w:start="2160" w:end="0"/>
        <w:jc w:val="both"/>
        <w:rPr/>
      </w:pPr>
      <w:r>
        <w:rPr/>
        <w:t>(a)</w:t>
        <w:tab/>
        <w:t>Substantial Completion of each Phase and the Facility has occurred and all Punchlist Items have been completed to the satisfaction of Construction Agent;</w:t>
      </w:r>
    </w:p>
    <w:p>
      <w:pPr>
        <w:pStyle w:val="Normal"/>
        <w:jc w:val="both"/>
        <w:rPr/>
      </w:pPr>
      <w:r>
        <w:rPr/>
      </w:r>
    </w:p>
    <w:p>
      <w:pPr>
        <w:pStyle w:val="Normal"/>
        <w:ind w:hanging="720" w:start="2160" w:end="0"/>
        <w:jc w:val="both"/>
        <w:rPr/>
      </w:pPr>
      <w:r>
        <w:rPr/>
        <w:t>(b)</w:t>
        <w:tab/>
        <w:t>Contractor’s obligations under Section 3.7 (Cleanup) and Article 10 (Documentation) have been completed;</w:t>
      </w:r>
    </w:p>
    <w:p>
      <w:pPr>
        <w:pStyle w:val="Normal"/>
        <w:ind w:hanging="720" w:start="2160" w:end="0"/>
        <w:jc w:val="both"/>
        <w:rPr/>
      </w:pPr>
      <w:r>
        <w:rPr/>
      </w:r>
    </w:p>
    <w:p>
      <w:pPr>
        <w:pStyle w:val="Normal"/>
        <w:ind w:hanging="720" w:start="2160" w:end="0"/>
        <w:jc w:val="both"/>
        <w:rPr/>
      </w:pPr>
      <w:r>
        <w:rPr/>
        <w:t>(c)</w:t>
        <w:tab/>
        <w:t>Contractor has provided the releases and waivers of liens or other security required pursuant to Section 7.2.4; and</w:t>
      </w:r>
    </w:p>
    <w:p>
      <w:pPr>
        <w:pStyle w:val="Normal"/>
        <w:ind w:hanging="720" w:start="2160" w:end="0"/>
        <w:jc w:val="both"/>
        <w:rPr/>
      </w:pPr>
      <w:r>
        <w:rPr/>
      </w:r>
    </w:p>
    <w:p>
      <w:pPr>
        <w:pStyle w:val="Normal"/>
        <w:ind w:hanging="720" w:start="2160" w:end="0"/>
        <w:jc w:val="both"/>
        <w:rPr/>
      </w:pPr>
      <w:r>
        <w:rPr/>
        <w:t>(d)</w:t>
        <w:tab/>
        <w:t>Contractor has delivered to the Owner the Warranty Bond required pursuant to Section 21.2.</w:t>
      </w:r>
    </w:p>
    <w:p>
      <w:pPr>
        <w:pStyle w:val="Heading2"/>
        <w:ind w:hanging="0" w:start="0"/>
        <w:rPr/>
      </w:pPr>
      <w:bookmarkStart w:id="101" w:name="__RefHeading___Toc496435203"/>
      <w:bookmarkEnd w:id="101"/>
      <w:r>
        <w:rPr/>
        <w:t>Section 11.4</w:t>
        <w:tab/>
        <w:t>Acceptance of Completion Certificates.</w:t>
      </w:r>
    </w:p>
    <w:p>
      <w:pPr>
        <w:pStyle w:val="Normal"/>
        <w:jc w:val="both"/>
        <w:rPr/>
      </w:pPr>
      <w:r>
        <w:rPr/>
        <w:t>Upon achieving Substantial Completion of any Phase and the Facility, Contractor shall deliver to Construction Agent a certificate (the "</w:t>
      </w:r>
      <w:r>
        <w:rPr>
          <w:u w:val="single"/>
        </w:rPr>
        <w:t>Substantial Completion Certificate</w:t>
      </w:r>
      <w:r>
        <w:rPr/>
        <w:t xml:space="preserve">") in the form attached as </w:t>
      </w:r>
      <w:r>
        <w:rPr>
          <w:u w:val="single"/>
        </w:rPr>
        <w:t>Exhibit "I-1"</w:t>
      </w:r>
      <w:r>
        <w:rPr/>
        <w:t>; and upon achieving Final Completion of the Facility, Contractor shall deliver to Construction Agent a certificate (the "</w:t>
      </w:r>
      <w:r>
        <w:rPr>
          <w:u w:val="single"/>
        </w:rPr>
        <w:t>Final Completion Certificate</w:t>
      </w:r>
      <w:r>
        <w:rPr/>
        <w:t>")</w:t>
      </w:r>
      <w:r>
        <w:rPr>
          <w:color w:val="000000"/>
          <w:szCs w:val="24"/>
        </w:rPr>
        <w:t xml:space="preserve"> </w:t>
      </w:r>
      <w:r>
        <w:rPr/>
        <w:t xml:space="preserve"> in the form attached hereto as </w:t>
      </w:r>
      <w:r>
        <w:rPr>
          <w:u w:val="single"/>
        </w:rPr>
        <w:t>Exhibit "I-2"</w:t>
      </w:r>
      <w:r>
        <w:rPr/>
        <w:t xml:space="preserve">.  Within ten (10) days after receipt of either a Substantial Completion Certificate or Final Completion Certificate, Construction Agent shall either (a) </w:t>
      </w:r>
      <w:r>
        <w:rPr>
          <w:color w:val="000000"/>
          <w:szCs w:val="24"/>
        </w:rPr>
        <w:t>accept the Substantial Completion Certificate or Final Completion Certificate by having an authorized representative of Construction Agent sign said certificate, or</w:t>
      </w:r>
      <w:r>
        <w:rPr/>
        <w:t xml:space="preserve"> (b) if reasonable cause exists for doing so, notify Contractor in writing that Substantial Completion or Final Completion has not been achieved, stating in reasonable detail the reasons therefore.  If Construction Agent notifies Contractor that in Construction Agent’s opinion Substantial Completion or Final Completion has not been achieved, Contractor may at any time thereafter refer the matter for resolution in accordance with Article 19.  Otherwise Contractor shall promptly take such action or perform such additional Work or other services as will cause the Phase or the Facility to achieve Substantial Completion or Final Completion and then issue Construction Agent another Certificate pursuant to Section 11.2 or 11.3.  Construction Agent shall respond to any such subsequent certificate from Contractor within seven (7) days following receipt.  The date of Substantial Completion of a Phase or Final Completion of the Facility shall be the later of (i) the date Contractor submits the Substantial Completion Certificate for such Phase or the Final Completion Certificate for the Facility to Construction Agent, which Substantial Completion Certificate or Final Completion Certificate is approved by Construction Agent, and (ii) the date all criteria for Substantial Completion for such Phase or Final Completion for the Facility have been completed in accordance with this Contract, the Scope of Work and applicable Law.</w:t>
      </w:r>
    </w:p>
    <w:p>
      <w:pPr>
        <w:pStyle w:val="Heading2"/>
        <w:ind w:hanging="0" w:start="0"/>
        <w:rPr/>
      </w:pPr>
      <w:bookmarkStart w:id="102" w:name="__RefHeading___Toc496435204"/>
      <w:bookmarkEnd w:id="102"/>
      <w:r>
        <w:rPr/>
        <w:t>Section 11.5</w:t>
        <w:tab/>
        <w:t>Punchlist.</w:t>
      </w:r>
    </w:p>
    <w:p>
      <w:pPr>
        <w:pStyle w:val="Normal"/>
        <w:keepNext w:val="true"/>
        <w:keepLines/>
        <w:widowControl w:val="false"/>
        <w:ind w:firstLine="720" w:end="0"/>
        <w:jc w:val="both"/>
        <w:rPr/>
      </w:pPr>
      <w:r>
        <w:rPr/>
        <w:t>11.5.1</w:t>
        <w:tab/>
      </w:r>
      <w:r>
        <w:rPr>
          <w:u w:val="single"/>
        </w:rPr>
        <w:t>Punchlist Preparation</w:t>
      </w:r>
      <w:r>
        <w:rPr/>
        <w:t>.  Prior to Substantial Completion of any Phase, Construction Agent and Contractor shall  inspect such Phase and Contractor shall prepare a list of the outstanding Punchlist Items (a "</w:t>
      </w:r>
      <w:r>
        <w:rPr>
          <w:u w:val="single"/>
        </w:rPr>
        <w:t>Punchlist</w:t>
      </w:r>
      <w:r>
        <w:rPr/>
        <w:t>"), and provide it to Construction Agent together with an estimate of the cost and time to complete or correct each such Punchlist Item.  The draft Punchlist shall be prepared in accordance with Contractor’s quality assurance manual and submitted to Construction Agent for review.  Construction Agent shall review and comment on the Punchlist not later than five days after Construction Agent’s receipt thereof, and Contractor shall issue a revised Punchlist to Construction Agent that takes into account or responds to Construction Agent’s comments not later than five days after Contractor’s receipt of such comments. Any dispute between Construction Agent and Contractor regarding the Punchlist shall be resolved in accordance with Article 19.  Prior to Substantial Completion of the Facility, all outstanding Punchlist Items from the Punchlist for each Phase shall be consolidated with any Phase III Punchlist Items, and such Punchlist shall be the referred to as the "</w:t>
      </w:r>
      <w:r>
        <w:rPr>
          <w:u w:val="single"/>
        </w:rPr>
        <w:t>Facility Punchlist</w:t>
      </w:r>
      <w:r>
        <w:rPr/>
        <w:t>."</w:t>
      </w:r>
    </w:p>
    <w:p>
      <w:pPr>
        <w:pStyle w:val="Normal"/>
        <w:ind w:firstLine="720" w:end="0"/>
        <w:jc w:val="both"/>
        <w:rPr/>
      </w:pPr>
      <w:r>
        <w:rPr/>
      </w:r>
    </w:p>
    <w:p>
      <w:pPr>
        <w:pStyle w:val="Normal"/>
        <w:ind w:firstLine="720" w:end="0"/>
        <w:jc w:val="both"/>
        <w:rPr/>
      </w:pPr>
      <w:r>
        <w:rPr/>
        <w:t>11.5.2.</w:t>
        <w:tab/>
      </w:r>
      <w:r>
        <w:rPr>
          <w:u w:val="single"/>
        </w:rPr>
        <w:t>Punchlist Withholding</w:t>
      </w:r>
      <w:r>
        <w:rPr/>
        <w:t>.  An amount equal to 150% of the estimated cost of correcting all outstanding Punchlist Items on the Facility Punchlist (the "</w:t>
      </w:r>
      <w:r>
        <w:rPr>
          <w:u w:val="single"/>
        </w:rPr>
        <w:t>Punchlist Withholding</w:t>
      </w:r>
      <w:r>
        <w:rPr/>
        <w:t>") shall be withheld by Construction Agent from any payment due to Contractor and retained until all Punchlist Items are corrected or until a Retention Bond covering such Punchlist Withholding has been provided as set forth in Section 21.1.  If Retention exceeds the Punchlist Withholding, upon Substantial Completion of the Facility Construction Agent shall release such excess to Contractor , and to the extent an insufficient amount of the Contract Price remains unpaid at Substantial Completion of the Facility, Contractor shall pay Construction Agent as Punchlist Withholding the difference between the full amount of such Punchlist Withholding due and the amount of unpaid Contract Price retained by Construction Agent.</w:t>
      </w:r>
    </w:p>
    <w:p>
      <w:pPr>
        <w:pStyle w:val="Normal"/>
        <w:ind w:firstLine="720" w:end="0"/>
        <w:jc w:val="both"/>
        <w:rPr/>
      </w:pPr>
      <w:r>
        <w:rPr/>
      </w:r>
    </w:p>
    <w:p>
      <w:pPr>
        <w:pStyle w:val="Normal"/>
        <w:ind w:firstLine="720" w:end="0"/>
        <w:jc w:val="both"/>
        <w:rPr/>
      </w:pPr>
      <w:r>
        <w:rPr/>
        <w:t>11.5.3</w:t>
        <w:tab/>
      </w:r>
      <w:r>
        <w:rPr>
          <w:u w:val="single"/>
        </w:rPr>
        <w:t>Correction of Punchlist Items</w:t>
      </w:r>
      <w:r>
        <w:rPr/>
        <w:t>.  Promptly after receipt by Construction Agent of the revised Facility Punchlist, Contractor and Construction Agent shall agree upon a schedule for Contractor’s completion of the Punchlist Items that will allow Contractor to complete such Punchlist Items within a reasonable period of time without interfering with the operation of the Facility.  Construction Agent shall provide Contractor reasonable access to the Facility to perform such Work in accordance with such schedule to the extent that such access does not unduly interfere with the operations of the Facility.</w:t>
      </w:r>
    </w:p>
    <w:p>
      <w:pPr>
        <w:pStyle w:val="Heading2"/>
        <w:ind w:hanging="0" w:start="0"/>
        <w:rPr/>
      </w:pPr>
      <w:bookmarkStart w:id="103" w:name="__RefHeading___Toc496435205"/>
      <w:bookmarkEnd w:id="103"/>
      <w:r>
        <w:rPr/>
        <w:t>Section 11.6</w:t>
        <w:tab/>
        <w:t>Long-Term Obligations.</w:t>
      </w:r>
    </w:p>
    <w:p>
      <w:pPr>
        <w:pStyle w:val="Normal"/>
        <w:widowControl w:val="false"/>
        <w:jc w:val="both"/>
        <w:rPr/>
      </w:pPr>
      <w:r>
        <w:rPr/>
        <w:t>It is expressly understood and agreed by the Parties that nothing in this Article 11 shall in any way modify or alter Contractor’s obligations under Articles 12 and 13.</w:t>
      </w:r>
    </w:p>
    <w:p>
      <w:pPr>
        <w:pStyle w:val="Heading2"/>
        <w:ind w:hanging="0" w:start="0"/>
        <w:rPr/>
      </w:pPr>
      <w:bookmarkStart w:id="104" w:name="__RefHeading___Toc496435206"/>
      <w:bookmarkEnd w:id="104"/>
      <w:r>
        <w:rPr/>
        <w:t>Section 11.7</w:t>
        <w:tab/>
        <w:t>Non-Interference.</w:t>
      </w:r>
    </w:p>
    <w:p>
      <w:pPr>
        <w:pStyle w:val="Normal"/>
        <w:jc w:val="both"/>
        <w:rPr/>
      </w:pPr>
      <w:r>
        <w:rPr/>
        <w:t>During the period from Substantial Completion of the Facility until Final Completion, subject to the exercise of Contractor’s rights pursuant to Section 13.3, Contractor and Construction Agent shall cooperate in good faith so that the performance of the Work does not unduly delay or interfere with Construction Agent’s or Owner's ability to operate the Facility and thereafter to respond to dispatch from the ECE.</w:t>
      </w:r>
    </w:p>
    <w:p>
      <w:pPr>
        <w:pStyle w:val="Heading2"/>
        <w:ind w:hanging="0" w:start="0"/>
        <w:rPr/>
      </w:pPr>
      <w:bookmarkStart w:id="105" w:name="__RefHeading___Toc496435207"/>
      <w:bookmarkEnd w:id="105"/>
      <w:r>
        <w:rPr/>
        <w:t>Section 11.8</w:t>
        <w:tab/>
        <w:t>Early Takeover.</w:t>
      </w:r>
    </w:p>
    <w:p>
      <w:pPr>
        <w:pStyle w:val="Normal"/>
        <w:jc w:val="both"/>
        <w:rPr/>
      </w:pPr>
      <w:r>
        <w:rPr/>
        <w:t>Construction Agent may, at any time prior to Substantial Completion thereof, take over any Phase (an "Early Takeover").  Following an Early Takeover of any Phase, (i) Substantial Completion of such  Phase shall be deemed to have occurred, (ii) Contractor shall have no further liability for Delay and Performance Liquidated Damages with respect to such Phase as of the date of such Early Takeover, and (iii) Contractor's obligations thereafter with respect to completion of the Work directly relating to such Phase, other than warranty obligations with respect thereto, shall be limited to completion of the Phase in accordance with the Specifications and Scope of Work, including Punchlist Items, subject to (A) Contractor's right to reimbursement of actual reasonable remobilization expenses, if any, and extraordinary expenses associated with the completion of any portion of such Phase which are the result of such Early Takeover and (B) Construction Agent's obligation to allow Contractor to resume such completion work within 120 days after such Early Takeover.</w:t>
      </w:r>
    </w:p>
    <w:p>
      <w:pPr>
        <w:pStyle w:val="Heading2"/>
        <w:ind w:hanging="0" w:start="0"/>
        <w:rPr/>
      </w:pPr>
      <w:bookmarkStart w:id="106" w:name="__RefHeading___Toc496435208"/>
      <w:bookmarkEnd w:id="106"/>
      <w:r>
        <w:rPr/>
        <w:t>Section 11.9</w:t>
        <w:tab/>
        <w:t>Right of Waiver.</w:t>
      </w:r>
    </w:p>
    <w:p>
      <w:pPr>
        <w:pStyle w:val="Normal"/>
        <w:jc w:val="both"/>
        <w:rPr/>
      </w:pPr>
      <w:r>
        <w:rPr/>
        <w:t>Construction Agent shall have the right, but shall have no obligation, to waive, defer or reduce any of the requirements stated in this Article 11 at any time.  However, Construction Agent’s exercise of any rights hereunder shall apply only to such requirements as Construction Agent may specify in writing and shall in no event relieve Contractor of any requirements or other obligations not so specified</w:t>
      </w:r>
    </w:p>
    <w:p>
      <w:pPr>
        <w:pStyle w:val="Normal"/>
        <w:jc w:val="both"/>
        <w:rPr/>
      </w:pPr>
      <w:r>
        <w:rPr/>
      </w:r>
    </w:p>
    <w:p>
      <w:pPr>
        <w:pStyle w:val="Heading1"/>
        <w:ind w:hanging="0" w:start="0"/>
        <w:rPr>
          <w:b w:val="false"/>
          <w:bCs w:val="false"/>
        </w:rPr>
      </w:pPr>
      <w:bookmarkStart w:id="107" w:name="__RefHeading___Toc496435209"/>
      <w:bookmarkEnd w:id="107"/>
      <w:r>
        <w:rPr/>
        <w:t>ARTICLE XII</w:t>
      </w:r>
    </w:p>
    <w:p>
      <w:pPr>
        <w:pStyle w:val="Heading1"/>
        <w:ind w:hanging="0" w:start="0"/>
        <w:rPr/>
      </w:pPr>
      <w:bookmarkStart w:id="108" w:name="__RefHeading___Toc496435210"/>
      <w:bookmarkEnd w:id="108"/>
      <w:r>
        <w:rPr/>
        <w:t>WARRANTY</w:t>
      </w:r>
    </w:p>
    <w:p>
      <w:pPr>
        <w:pStyle w:val="Heading2"/>
        <w:ind w:hanging="0" w:start="0"/>
        <w:rPr/>
      </w:pPr>
      <w:bookmarkStart w:id="109" w:name="__RefHeading___Toc496435211"/>
      <w:bookmarkEnd w:id="109"/>
      <w:r>
        <w:rPr/>
        <w:t>Section 12.1</w:t>
        <w:tab/>
        <w:t>General Warranty.</w:t>
      </w:r>
    </w:p>
    <w:p>
      <w:pPr>
        <w:pStyle w:val="Normal"/>
        <w:keepNext w:val="true"/>
        <w:keepLines/>
        <w:widowControl w:val="false"/>
        <w:jc w:val="both"/>
        <w:rPr/>
      </w:pPr>
      <w:r>
        <w:rPr/>
        <w:t>Contractor represents and warrants to Construction Agent and Owner that it is and will be at all times during the term of this Contract duly qualified and capable of performing the Work in accordance with the terms of this Contract. Contractor further warrants that:</w:t>
      </w:r>
    </w:p>
    <w:p>
      <w:pPr>
        <w:pStyle w:val="Normal"/>
        <w:widowControl w:val="false"/>
        <w:jc w:val="both"/>
        <w:rPr/>
      </w:pPr>
      <w:r>
        <w:rPr/>
      </w:r>
    </w:p>
    <w:p>
      <w:pPr>
        <w:pStyle w:val="Normal"/>
        <w:widowControl w:val="false"/>
        <w:ind w:hanging="720" w:start="2160" w:end="0"/>
        <w:jc w:val="both"/>
        <w:rPr/>
      </w:pPr>
      <w:r>
        <w:rPr/>
        <w:t>(a)</w:t>
        <w:tab/>
        <w:t>the Work, including each item of Equipment, shall be new and of good quality and shall be free of defects in design, engineering and materials;</w:t>
      </w:r>
    </w:p>
    <w:p>
      <w:pPr>
        <w:pStyle w:val="Normal"/>
        <w:ind w:hanging="720" w:start="2160" w:end="0"/>
        <w:jc w:val="both"/>
        <w:rPr/>
      </w:pPr>
      <w:r>
        <w:rPr/>
      </w:r>
    </w:p>
    <w:p>
      <w:pPr>
        <w:pStyle w:val="Normal"/>
        <w:ind w:hanging="720" w:start="2160" w:end="0"/>
        <w:jc w:val="both"/>
        <w:rPr/>
      </w:pPr>
      <w:r>
        <w:rPr/>
        <w:t>(b)</w:t>
        <w:tab/>
        <w:t>the Work shall be performed in accordance with GIP and the requirements of this Contract;</w:t>
      </w:r>
    </w:p>
    <w:p>
      <w:pPr>
        <w:pStyle w:val="Normal"/>
        <w:ind w:hanging="720" w:start="2160" w:end="0"/>
        <w:jc w:val="both"/>
        <w:rPr/>
      </w:pPr>
      <w:r>
        <w:rPr/>
      </w:r>
    </w:p>
    <w:p>
      <w:pPr>
        <w:pStyle w:val="Normal"/>
        <w:ind w:hanging="720" w:start="2160" w:end="0"/>
        <w:jc w:val="both"/>
        <w:rPr/>
      </w:pPr>
      <w:r>
        <w:rPr/>
        <w:t>(c)</w:t>
        <w:tab/>
        <w:t xml:space="preserve">each Phase and the Facility, as designed, engineered and constructed at Substantial Completion and Final Completion thereof, shall conform in all material respects to the Specifications, Scope of Work, World Bank Standards, PPA specifications set forth in </w:t>
      </w:r>
      <w:r>
        <w:rPr>
          <w:u w:val="single"/>
        </w:rPr>
        <w:t>Exhibit "Q"</w:t>
      </w:r>
      <w:r>
        <w:rPr/>
        <w:t xml:space="preserve"> (subject to any exceptions noted in </w:t>
      </w:r>
      <w:r>
        <w:rPr>
          <w:u w:val="single"/>
        </w:rPr>
        <w:t>Exhibit "B-2"</w:t>
      </w:r>
      <w:r>
        <w:rPr/>
        <w:t xml:space="preserve">), all applicable Laws and Governmental Authorizations (subject to Section 3.10.1) in effect at Substantial Completion and all other requirements of this Contract; </w:t>
      </w:r>
    </w:p>
    <w:p>
      <w:pPr>
        <w:pStyle w:val="Normal"/>
        <w:ind w:hanging="2160" w:start="2160" w:end="0"/>
        <w:rPr/>
      </w:pPr>
      <w:r>
        <w:rPr/>
      </w:r>
    </w:p>
    <w:p>
      <w:pPr>
        <w:pStyle w:val="Normal"/>
        <w:jc w:val="both"/>
        <w:rPr/>
      </w:pPr>
      <w:r>
        <w:rPr>
          <w:u w:val="single"/>
        </w:rPr>
        <w:t>provided</w:t>
      </w:r>
      <w:r>
        <w:rPr/>
        <w:t xml:space="preserve">, </w:t>
      </w:r>
      <w:r>
        <w:rPr>
          <w:u w:val="single"/>
        </w:rPr>
        <w:t>however</w:t>
      </w:r>
      <w:r>
        <w:rPr/>
        <w:t>, that the warranty provided by Contractor pursuant to this Article 12 shall not extend to any Free Issue Equipment, other than with respect to the installation thereof performed by Contractor pursuant to this Contract, and except to the extent that any supplier (including the supplier of the GE Units) of any such Free Issue Equipment fails to honor its warranty obligation of such Free Issue Equipment due to any installation or operation thereof by Contractor or any Subcontractor which does not comply with the written specifications, manuals or other written instructions of such supplier with respect to installation or operation thereof.</w:t>
      </w:r>
    </w:p>
    <w:p>
      <w:pPr>
        <w:pStyle w:val="Heading2"/>
        <w:ind w:hanging="0" w:start="0"/>
        <w:rPr/>
      </w:pPr>
      <w:bookmarkStart w:id="110" w:name="__RefHeading___Toc496435212"/>
      <w:bookmarkEnd w:id="110"/>
      <w:r>
        <w:rPr/>
        <w:t>Section 12.2</w:t>
        <w:tab/>
        <w:t>Warranty Period.</w:t>
      </w:r>
    </w:p>
    <w:p>
      <w:pPr>
        <w:pStyle w:val="Normal"/>
        <w:widowControl w:val="false"/>
        <w:jc w:val="both"/>
        <w:rPr/>
      </w:pPr>
      <w:r>
        <w:rPr/>
        <w:t>The warranty set forth in Section 12.1 shall extend for a period of 12 months following Substantial Completion of the Facility (, the "</w:t>
      </w:r>
      <w:r>
        <w:rPr>
          <w:u w:val="single"/>
        </w:rPr>
        <w:t>Warranty Period</w:t>
      </w:r>
      <w:r>
        <w:rPr/>
        <w:t xml:space="preserve">").  The Warranty Period with respect to any Work or Equipment that is repaired, replaced, modified or otherwise altered or corrected after Substantial Completion of shall extend for 12 months from the date of completion of such repair, replacement, modification, correction or alteration; </w:t>
      </w:r>
      <w:r>
        <w:rPr>
          <w:u w:val="single"/>
        </w:rPr>
        <w:t>provided,</w:t>
      </w:r>
      <w:r>
        <w:rPr/>
        <w:t xml:space="preserve"> </w:t>
      </w:r>
      <w:r>
        <w:rPr>
          <w:u w:val="single"/>
        </w:rPr>
        <w:t>however</w:t>
      </w:r>
      <w:r>
        <w:rPr>
          <w:b/>
          <w:bCs/>
        </w:rPr>
        <w:t>,</w:t>
      </w:r>
      <w:r>
        <w:rPr/>
        <w:t xml:space="preserve"> that in no event shall the Warranty Period extend beyond 24 months following Substantial Completion of the Facility.</w:t>
      </w:r>
    </w:p>
    <w:p>
      <w:pPr>
        <w:pStyle w:val="Heading2"/>
        <w:ind w:hanging="0" w:start="0"/>
        <w:rPr/>
      </w:pPr>
      <w:bookmarkStart w:id="111" w:name="__RefHeading___Toc496435213"/>
      <w:bookmarkEnd w:id="111"/>
      <w:r>
        <w:rPr/>
        <w:t>Section 12.3</w:t>
        <w:tab/>
        <w:t>Remedy.</w:t>
      </w:r>
    </w:p>
    <w:p>
      <w:pPr>
        <w:pStyle w:val="Normal"/>
        <w:widowControl w:val="false"/>
        <w:jc w:val="both"/>
        <w:rPr/>
      </w:pPr>
      <w:r>
        <w:rPr/>
        <w:t>Notice shall be given to Contractor promptly upon the discovery during the Warranty Period with respect to any Phase of any defect which may constitute a breach of any of Contractor’s warranties under Section 12.1.  Contractor, on an expedited basis if so requested by Construction Agent or Owner, shall correct or replace the applicable Work or Equipment at no cost to Construction Agent or Owner.  Promptly after receipt by Contractor of any such warranty notice, Contractor and Construction Agent or Owner shall agree upon a schedule for Contractor’s performance of its warranty obligations that will allow Contractor to complete such work within a reasonable period of time without unreasonably interfering with the operation of the Facility.  Contractor shall be provided with full and free access to the Facility to perform such warranty obligations in accordance with such schedule.  Any change to the Work that would alter the Scope of Work or the Specifications may be made only in accordance with the terms of Article 6.  If, after notification of any such defect, Contractor shall unreasonably delay in commencing, continuing or completing the remediation of such defect in accordance with the agreed schedule, then Construction Agent or Owner may correct such defect and Contractor shall be liable for all reasonable costs, charges and expenses incurred by Construction Agent or Owner in connection with such repair or replacement and shall pay to Owner an amount equal to such costs, charges and expenses upon receipt of invoices from Construction Agent or Owner.  The remedies of Construction Agent and Owner under Sections 12.3 and 21.2 are the exclusive remedies of Construction Agent and Owner arising out of the warranties set forth in this Contract and any remedies to which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Owner.</w:t>
      </w:r>
    </w:p>
    <w:p>
      <w:pPr>
        <w:pStyle w:val="Heading2"/>
        <w:ind w:hanging="0" w:start="0"/>
        <w:rPr/>
      </w:pPr>
      <w:bookmarkStart w:id="112" w:name="__RefHeading___Toc496435214"/>
      <w:bookmarkEnd w:id="112"/>
      <w:r>
        <w:rPr/>
        <w:t>Section 12.4</w:t>
        <w:tab/>
        <w:t>Subcontractor Warranties.</w:t>
      </w:r>
    </w:p>
    <w:p>
      <w:pPr>
        <w:pStyle w:val="Normal"/>
        <w:widowControl w:val="false"/>
        <w:jc w:val="both"/>
        <w:rPr/>
      </w:pPr>
      <w:r>
        <w:rPr/>
        <w:t xml:space="preserve">Contractor shall use reasonable efforts to obtain standard vendor warranties for the benefit of Contractor, Construction Agent and Owner for all Equipment with warranty periods equal to or longer than the Warranty Period.  If such warranties extend beyond the Warranty Period, then Contractor shall transfer any balance of such warranties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 </w:t>
      </w:r>
      <w:r>
        <w:rPr>
          <w:u w:val="single"/>
        </w:rPr>
        <w:t>provided,</w:t>
      </w:r>
      <w:r>
        <w:rPr/>
        <w:t xml:space="preserve"> </w:t>
      </w:r>
      <w:r>
        <w:rPr>
          <w:u w:val="single"/>
        </w:rPr>
        <w:t>however</w:t>
      </w:r>
      <w:r>
        <w:rPr/>
        <w:t>, that Contractor shall not be obligated to provide any warranties beyond the Warranty Period.</w:t>
      </w:r>
    </w:p>
    <w:p>
      <w:pPr>
        <w:pStyle w:val="Heading2"/>
        <w:ind w:hanging="0" w:start="0"/>
        <w:rPr/>
      </w:pPr>
      <w:bookmarkStart w:id="113" w:name="__RefHeading___Toc496435215"/>
      <w:bookmarkEnd w:id="113"/>
      <w:r>
        <w:rPr/>
        <w:t>Section 12.5</w:t>
        <w:tab/>
        <w:t>Warranty Exclusions.</w:t>
      </w:r>
    </w:p>
    <w:p>
      <w:pPr>
        <w:pStyle w:val="Normal"/>
        <w:jc w:val="both"/>
        <w:rPr/>
      </w:pPr>
      <w:r>
        <w:rPr/>
        <w:t>The duties, liabilities and obligations of Contractor under this Article 12 or otherwise do not extend to any repairs, adjustments, alterations, replacements or maintenance that may be required as a result of normal wear and tear in the operation of the Facility, normal degradation in the performance of Equipment, or as a result of (a) improper repair or alteration by Construction Agent or Owner or Persons under the control of Construction Agent or Owner; (b) misuse, negligence or damage by Construction Agent or Owner or Persons under the control of Construction Agent or Owner; or (c) operation, maintenance or repair by Construction Agent or Owner or Persons under the control of Construction Agent or Owner inconsistent with the Specifications, Technical Limits, Job Books, Facility Operations Manuals, Vendor O&amp;M Manuals or GIP.</w:t>
      </w:r>
    </w:p>
    <w:p>
      <w:pPr>
        <w:pStyle w:val="Heading2"/>
        <w:ind w:hanging="0" w:start="0"/>
        <w:rPr/>
      </w:pPr>
      <w:bookmarkStart w:id="114" w:name="__RefHeading___Toc496435216"/>
      <w:bookmarkEnd w:id="114"/>
      <w:r>
        <w:rPr/>
        <w:t>Section 12.6</w:t>
        <w:tab/>
        <w:t>No Implied Warranties.</w:t>
      </w:r>
    </w:p>
    <w:p>
      <w:pPr>
        <w:pStyle w:val="Normal"/>
        <w:jc w:val="both"/>
        <w:rPr>
          <w:b/>
          <w:bCs/>
        </w:rPr>
      </w:pPr>
      <w:r>
        <w:rPr>
          <w:b/>
          <w:bCs/>
        </w:rPr>
        <w:t>THE EXPRESS WARRANTIES SET FORTH IN THIS CONTRACT ARE EXCLUSIVE AND NO OTHER WARRANTIES OF ANY KIND, WHETHER STATUTORY, WRITTEN, ORAL, EXPRESS OR IMPLIED (INCLUDING WARRANTIES OF FITNESS FOR A PARTICULAR PURPOSE OR MERCHANTABILITY AND IMPLIED WARRANTIES OF CUSTOM OR USAGE) SHALL APPLY. THE OWNER’S REMEDIES SET FORTH IN THIS CONTRACT WITH RESPECT TO WARRANTIES ARE THE EXCLUSIVE REMEDIES OF OWNER WITH RESPECT TO BREACH OF THE WARRANTIES WITH RESPECT TO THE QUALITY OF THE WORK AFTER SUBSTANTIAL COMPLETION OF EACH PHASE.</w:t>
      </w:r>
    </w:p>
    <w:p>
      <w:pPr>
        <w:pStyle w:val="Normal"/>
        <w:jc w:val="both"/>
        <w:rPr>
          <w:b/>
          <w:bCs/>
        </w:rPr>
      </w:pPr>
      <w:r>
        <w:rPr>
          <w:b/>
          <w:bCs/>
        </w:rPr>
      </w:r>
    </w:p>
    <w:p>
      <w:pPr>
        <w:pStyle w:val="Heading1"/>
        <w:ind w:hanging="0" w:start="0"/>
        <w:rPr/>
      </w:pPr>
      <w:bookmarkStart w:id="115" w:name="__RefHeading___Toc496435217"/>
      <w:bookmarkEnd w:id="115"/>
      <w:r>
        <w:rPr/>
        <w:t>ARTICLE XIII</w:t>
      </w:r>
    </w:p>
    <w:p>
      <w:pPr>
        <w:pStyle w:val="Heading1"/>
        <w:ind w:hanging="0" w:start="0"/>
        <w:rPr/>
      </w:pPr>
      <w:bookmarkStart w:id="116" w:name="__RefHeading___Toc496435218"/>
      <w:bookmarkEnd w:id="116"/>
      <w:r>
        <w:rPr/>
        <w:t>SCHEDULE; PERFORMANCE TESTS</w:t>
      </w:r>
    </w:p>
    <w:p>
      <w:pPr>
        <w:pStyle w:val="Heading2"/>
        <w:ind w:hanging="0" w:start="0"/>
        <w:rPr/>
      </w:pPr>
      <w:bookmarkStart w:id="117" w:name="__RefHeading___Toc496435219"/>
      <w:bookmarkEnd w:id="117"/>
      <w:r>
        <w:rPr/>
        <w:t>Section 13.1</w:t>
        <w:tab/>
        <w:t>Schedule.</w:t>
      </w:r>
    </w:p>
    <w:p>
      <w:pPr>
        <w:pStyle w:val="Normal"/>
        <w:ind w:firstLine="720" w:end="0"/>
        <w:jc w:val="both"/>
        <w:rPr/>
      </w:pPr>
      <w:r>
        <w:rPr/>
        <w:t>13.1.1.</w:t>
        <w:tab/>
      </w:r>
      <w:r>
        <w:rPr>
          <w:u w:val="single"/>
        </w:rPr>
        <w:t>Target Completion Date</w:t>
      </w:r>
      <w:r>
        <w:rPr/>
        <w:t>.  The "</w:t>
      </w:r>
      <w:r>
        <w:rPr>
          <w:u w:val="single"/>
        </w:rPr>
        <w:t>Target Completion Date"</w:t>
      </w:r>
      <w:r>
        <w:rPr/>
        <w:t xml:space="preserve"> shall be the date which is 213 days after the NTP Effective Date, subject to adjustment for any delay in construction of the Facility or any Phase which is not within the reasonable control of Contractor or any Contractor Affiliate.  Contractor shall diligently and expeditiously administer and perform the Work in accordance with the Project Schedule so that Substantial Completion of the Facility shall occur by the Target Completion Date.  </w:t>
      </w:r>
    </w:p>
    <w:p>
      <w:pPr>
        <w:pStyle w:val="Normal"/>
        <w:ind w:firstLine="720" w:end="0"/>
        <w:jc w:val="both"/>
        <w:rPr/>
      </w:pPr>
      <w:r>
        <w:rPr/>
      </w:r>
    </w:p>
    <w:p>
      <w:pPr>
        <w:pStyle w:val="Normal"/>
        <w:jc w:val="both"/>
        <w:rPr/>
      </w:pPr>
      <w:r>
        <w:rPr/>
        <w:tab/>
        <w:t>13.1.2</w:t>
        <w:tab/>
      </w:r>
      <w:r>
        <w:rPr>
          <w:u w:val="single"/>
        </w:rPr>
        <w:t>Schedule Improvement</w:t>
      </w:r>
      <w:r>
        <w:rPr/>
        <w:t>.  Contractor shall not incur any extraordinary cost or expense to improve, or to overcome any delay (including any Construction Agent Delay, delay on account of Force Majeure, Contractor or Subcontractor caused delay, or otherwise) affecting, the Project Schedule, without the prior written consent of Construction Agent, which consent may be granted, delayed or withheld in Construction Agent's sole discretion.</w:t>
      </w:r>
    </w:p>
    <w:p>
      <w:pPr>
        <w:pStyle w:val="Heading2"/>
        <w:ind w:hanging="0" w:start="0"/>
        <w:rPr/>
      </w:pPr>
      <w:bookmarkStart w:id="118" w:name="__RefHeading___Toc496435220"/>
      <w:bookmarkEnd w:id="118"/>
      <w:r>
        <w:rPr/>
        <w:t>Section 13.2</w:t>
        <w:tab/>
      </w:r>
      <w:r>
        <w:rPr>
          <w:lang w:val="en-CA"/>
        </w:rPr>
      </w:r>
      <w:r>
        <w:rPr>
          <w:color w:val="000000"/>
        </w:rPr>
        <w:t>Performance Tests.</w:t>
      </w:r>
    </w:p>
    <w:p>
      <w:pPr>
        <w:pStyle w:val="Normal"/>
        <w:jc w:val="both"/>
        <w:rPr/>
      </w:pPr>
      <w:r>
        <w:rPr/>
        <w:t xml:space="preserve">Contractor is responsible for managing and directing, and coordinating with GE regarding, the Performance Tests before Substantial Completion of any Phase as part of the Work.  Such tests shall be performed by Construction Agent's operating personnel in accordance with Section 4.7.2, and Construction Agent, Owner and their designated representatives shall have the right to witness such tests and approve the results thereof.  The notices required, the procedures to be followed and the method of evaluation of the results of such tests shall be as provided in </w:t>
      </w:r>
      <w:r>
        <w:rPr>
          <w:u w:val="single"/>
        </w:rPr>
        <w:t>Exhibit "E-3"</w:t>
      </w:r>
      <w:r>
        <w:rPr/>
        <w:t xml:space="preserve"> and consistent with the terms and conditions of the GE Contract.  </w:t>
      </w:r>
      <w:r>
        <w:rPr>
          <w:szCs w:val="24"/>
          <w:lang w:val="en-CA"/>
        </w:rPr>
      </w:r>
      <w:r>
        <w:rPr>
          <w:color w:val="000000"/>
          <w:szCs w:val="24"/>
        </w:rPr>
        <w:t xml:space="preserve">Contractor shall develop formal, detailed test procedures to be delivered to </w:t>
      </w:r>
      <w:r>
        <w:rPr/>
        <w:t>Construction Agent</w:t>
      </w:r>
      <w:r>
        <w:rPr>
          <w:color w:val="000000"/>
          <w:szCs w:val="24"/>
        </w:rPr>
        <w:t xml:space="preserve"> for </w:t>
      </w:r>
      <w:r>
        <w:rPr/>
        <w:t>Construction Agent</w:t>
      </w:r>
      <w:r>
        <w:rPr>
          <w:color w:val="000000"/>
          <w:szCs w:val="24"/>
        </w:rPr>
        <w:t xml:space="preserve">'s review and approval not later than 180 days before scheduled commissioning of any Phase.  Construction Agent shall provide comments thereto to Contractor within forty-five (45) days following the receipt thereof, and </w:t>
      </w:r>
      <w:r>
        <w:rPr/>
        <w:t>Construction Agent</w:t>
      </w:r>
      <w:r>
        <w:rPr>
          <w:color w:val="000000"/>
          <w:szCs w:val="24"/>
        </w:rPr>
        <w:t xml:space="preserve"> and Contractor shall agree upon final test procedures not later than ninety (90) days prior to scheduled commissioning of such Phase.  Instruments to be used for measurement of any aspect of any Performance Test shall be calibrated to the mutual satisfaction of the Parties prior to use thereof during the relevant test.  </w:t>
      </w:r>
    </w:p>
    <w:p>
      <w:pPr>
        <w:pStyle w:val="Normal"/>
        <w:jc w:val="both"/>
        <w:rPr/>
      </w:pPr>
      <w:r>
        <w:rPr/>
      </w:r>
    </w:p>
    <w:p>
      <w:pPr>
        <w:pStyle w:val="Heading1"/>
        <w:ind w:hanging="0" w:start="0"/>
        <w:rPr>
          <w:rStyle w:val="Hidden"/>
        </w:rPr>
      </w:pPr>
      <w:bookmarkStart w:id="119" w:name="__RefHeading___Toc496435221"/>
      <w:bookmarkEnd w:id="119"/>
      <w:r>
        <w:rPr/>
        <w:t>ARTICLE XIV</w:t>
      </w:r>
    </w:p>
    <w:p>
      <w:pPr>
        <w:pStyle w:val="Heading1"/>
        <w:ind w:hanging="0" w:start="0"/>
        <w:rPr/>
      </w:pPr>
      <w:bookmarkStart w:id="120" w:name="__RefHeading___Toc496435222"/>
      <w:bookmarkEnd w:id="120"/>
      <w:r>
        <w:rPr/>
        <w:t>LIMITATION OF LIABILITY</w:t>
      </w:r>
    </w:p>
    <w:p>
      <w:pPr>
        <w:pStyle w:val="Heading2"/>
        <w:ind w:hanging="0" w:start="0"/>
        <w:rPr/>
      </w:pPr>
      <w:bookmarkStart w:id="121" w:name="__RefHeading___Toc496435223"/>
      <w:bookmarkEnd w:id="121"/>
      <w:r>
        <w:rPr/>
        <w:t>Section 14.1</w:t>
        <w:tab/>
        <w:t>Maximum Liability.</w:t>
      </w:r>
    </w:p>
    <w:p>
      <w:pPr>
        <w:pStyle w:val="Normal"/>
        <w:ind w:firstLine="1440" w:end="0"/>
        <w:jc w:val="both"/>
        <w:rPr/>
      </w:pPr>
      <w:r>
        <w:rPr/>
        <w:t>Notwithstanding any provision of this Contract to the contrary, Contractor’s maximum aggregate liability to Construction Agent and Owner arising out of or related to the Work, the Facility or any Phase thereof, or this Contract, and the performance, nonperformance and/or defective performance hereunder shall be an amount equal to 100% of the Contract Price (the "</w:t>
      </w:r>
      <w:r>
        <w:rPr>
          <w:u w:val="single"/>
        </w:rPr>
        <w:t>Aggregate Limit</w:t>
      </w:r>
      <w:r>
        <w:rPr/>
        <w:t>"), which limit applies to any and all liabilities of Contractor to Construction Agent and Owner under or in connection with this Contract, including liability for warranty and indemnity obligations, tort (including negligence and strict liability) and breach of contract (including any breach resulting in termination), and any and all other liabilities based on any legal or equitable theory or basis of recovery.</w:t>
      </w:r>
    </w:p>
    <w:p>
      <w:pPr>
        <w:pStyle w:val="Normal"/>
        <w:jc w:val="both"/>
        <w:rPr/>
      </w:pPr>
      <w:r>
        <w:rPr/>
      </w:r>
    </w:p>
    <w:p>
      <w:pPr>
        <w:pStyle w:val="Normal"/>
        <w:jc w:val="both"/>
        <w:rPr/>
      </w:pPr>
      <w:r>
        <w:rPr/>
        <w:t>The foregoing limitation of liability shall not apply to Contractor’s liability for breach of its obligations under Sections 3.10 (Compliance with Applicable Laws), 3.16 (No Liens), and Section 18.1(b) (Contractor Indemnity).  Any liability of Contractor provided for by the proceeds of the insurance required to be maintained pursuant to Article 9 shall reduce such liability, but shall not reduce or be applied against the Aggregate Limit with respect to the remainder of such liability for gross negligence, willful misconduct, and interest due on unpaid amounts.</w:t>
      </w:r>
    </w:p>
    <w:p>
      <w:pPr>
        <w:pStyle w:val="Heading2"/>
        <w:ind w:hanging="0" w:start="0"/>
        <w:rPr/>
      </w:pPr>
      <w:bookmarkStart w:id="122" w:name="__RefHeading___Toc496435224"/>
      <w:bookmarkEnd w:id="122"/>
      <w:r>
        <w:rPr/>
        <w:t>Section 14.2</w:t>
        <w:tab/>
        <w:t>Consequential Damages.</w:t>
      </w:r>
    </w:p>
    <w:p>
      <w:pPr>
        <w:pStyle w:val="Normal"/>
        <w:jc w:val="both"/>
        <w:rPr/>
      </w:pPr>
      <w:r>
        <w:rPr>
          <w:color w:val="000000"/>
          <w:szCs w:val="24"/>
        </w:rPr>
        <w:t>Except as may be required by Sections 18.1, 18.2 and 18.3 with respect to indemnification obligations for third party losses, in</w:t>
      </w:r>
      <w:r>
        <w:rPr/>
        <w:t xml:space="preserve"> no event shall Contractor or Construction Agent be liable to the other, nor shall Contractor be liable to any of the Construction Agent Indemnitees or Construction Agent be liable to any of the Contractor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Construction Agent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Construction Agent’s customers. </w:t>
      </w:r>
    </w:p>
    <w:p>
      <w:pPr>
        <w:pStyle w:val="Heading2"/>
        <w:ind w:hanging="0" w:start="0"/>
        <w:rPr/>
      </w:pPr>
      <w:bookmarkStart w:id="123" w:name="__RefHeading___Toc496435225"/>
      <w:bookmarkEnd w:id="123"/>
      <w:r>
        <w:rPr/>
        <w:t>Section 14.3</w:t>
        <w:tab/>
        <w:t>Releases Valid in All Events.</w:t>
      </w:r>
    </w:p>
    <w:p>
      <w:pPr>
        <w:pStyle w:val="Normal"/>
        <w:widowControl w:val="false"/>
        <w:jc w:val="both"/>
        <w:rPr/>
      </w:pPr>
      <w:r>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hanging="0" w:start="0"/>
        <w:rPr/>
      </w:pPr>
      <w:bookmarkStart w:id="124" w:name="__RefHeading___Toc496435226"/>
      <w:bookmarkEnd w:id="124"/>
      <w:r>
        <w:rPr/>
        <w:t>Section 14.4</w:t>
        <w:tab/>
        <w:t>Exclusive Remedies.</w:t>
      </w:r>
    </w:p>
    <w:p>
      <w:pPr>
        <w:pStyle w:val="Normal"/>
        <w:widowControl w:val="false"/>
        <w:jc w:val="both"/>
        <w:rPr/>
      </w:pPr>
      <w:r>
        <w:rPr>
          <w:b/>
        </w:rPr>
        <w:t xml:space="preserve">CONSTRUCTION AGENT AND CONTRACTOR INTEND THAT THEIR RESPECTIVE RIGHTS, OBLIGATIONS AND LIABILITIES AS PROVIDED FOR IN THIS CONTRACT SHALL BE EXHAUSTIVE OF THE RIGHTS, OBLIGATIONS AND LIABILITIES OF EACH OF THEM TO THE OTHER ARISING OUT OF, UNDER OR IN CONNECTION WITH THIS CONTRACT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caps/>
        </w:rPr>
        <w:t>by reason of any other legal or equitable theory</w:t>
      </w:r>
      <w:r>
        <w:rPr>
          <w:b/>
        </w:rPr>
        <w:t>.  ACCORDINGLY, THE REMEDIES EXPRESSLY STATED IN THIS CONTRACT ARE INTENDED TO BE AND SHALL CONSTITUTE THE SOLE AND EXCLUSIVE REMEDIES OF THE PARTIES TO THIS CONTRACT FOR THE LIABILITIES OF SUCH PARTIES ARISING OUT OF OR IN CONNECTION WITH THE WORK OR THIS CONTRACT, NOTWITHSTANDING ANY REMEDY OTHERWISE AVAILABLE AT LAW OR IN EQUITY.</w:t>
      </w:r>
    </w:p>
    <w:p>
      <w:pPr>
        <w:pStyle w:val="Heading2"/>
        <w:ind w:hanging="0" w:start="0"/>
        <w:rPr/>
      </w:pPr>
      <w:bookmarkStart w:id="125" w:name="__RefHeading___Toc496435227"/>
      <w:bookmarkEnd w:id="125"/>
      <w:r>
        <w:rPr/>
        <w:t>Section 14.5</w:t>
        <w:tab/>
        <w:t>Liability of Related Persons.</w:t>
      </w:r>
    </w:p>
    <w:p>
      <w:pPr>
        <w:pStyle w:val="Normal"/>
        <w:widowControl w:val="false"/>
        <w:jc w:val="both"/>
        <w:rPr/>
      </w:pPr>
      <w:r>
        <w:rPr/>
        <w:t>In the event either Construction Agent or Contractor asserts a claim or claims against any of the other Party's partners, shareholders, Affiliates, and/or their directors, officers, agents, employees or Subcontractors (collectively, "</w:t>
      </w:r>
      <w:r>
        <w:rPr>
          <w:u w:val="single"/>
        </w:rPr>
        <w:t>Related Persons</w:t>
      </w:r>
      <w:r>
        <w:rPr/>
        <w:t>"),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Contract, even in the event of the fault, negligence (in whole or in part), strict or absolute liability, or other basis of liability of any of the Related Persons.</w:t>
      </w:r>
    </w:p>
    <w:p>
      <w:pPr>
        <w:pStyle w:val="Normal"/>
        <w:jc w:val="both"/>
        <w:rPr/>
      </w:pPr>
      <w:r>
        <w:rPr/>
      </w:r>
    </w:p>
    <w:p>
      <w:pPr>
        <w:pStyle w:val="Heading1"/>
        <w:ind w:hanging="0" w:start="0"/>
        <w:rPr>
          <w:rStyle w:val="Hidden"/>
        </w:rPr>
      </w:pPr>
      <w:bookmarkStart w:id="126" w:name="__RefHeading___Toc496435228"/>
      <w:bookmarkEnd w:id="126"/>
      <w:r>
        <w:rPr/>
        <w:t>ARTICLE XV</w:t>
      </w:r>
    </w:p>
    <w:p>
      <w:pPr>
        <w:pStyle w:val="Heading1"/>
        <w:ind w:hanging="0" w:start="0"/>
        <w:rPr/>
      </w:pPr>
      <w:bookmarkStart w:id="127" w:name="__RefHeading___Toc496435229"/>
      <w:bookmarkEnd w:id="127"/>
      <w:r>
        <w:rPr/>
        <w:t>REPRESENTATIONS OF CONTRACTOR AND OWNER</w:t>
      </w:r>
    </w:p>
    <w:p>
      <w:pPr>
        <w:pStyle w:val="Heading2"/>
        <w:ind w:hanging="0" w:start="0"/>
        <w:rPr/>
      </w:pPr>
      <w:bookmarkStart w:id="128" w:name="__RefHeading___Toc496435230"/>
      <w:bookmarkEnd w:id="128"/>
      <w:r>
        <w:rPr/>
        <w:t>Section 15.1</w:t>
        <w:tab/>
        <w:t>Contractor Representations.</w:t>
      </w:r>
    </w:p>
    <w:p>
      <w:pPr>
        <w:pStyle w:val="Normal"/>
        <w:jc w:val="both"/>
        <w:rPr/>
      </w:pPr>
      <w:r>
        <w:rPr/>
        <w:t>Contractor represents and warrants that:</w:t>
      </w:r>
    </w:p>
    <w:p>
      <w:pPr>
        <w:pStyle w:val="Normal"/>
        <w:jc w:val="both"/>
        <w:rPr>
          <w:u w:val="single"/>
        </w:rPr>
      </w:pPr>
      <w:r>
        <w:rPr>
          <w:u w:val="single"/>
        </w:rPr>
      </w:r>
    </w:p>
    <w:p>
      <w:pPr>
        <w:pStyle w:val="Normal"/>
        <w:ind w:firstLine="720" w:end="0"/>
        <w:jc w:val="both"/>
        <w:rPr/>
      </w:pPr>
      <w:r>
        <w:rPr/>
        <w:t>15.1.1.</w:t>
        <w:tab/>
      </w: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jc w:val="both"/>
        <w:rPr>
          <w:u w:val="single"/>
        </w:rPr>
      </w:pPr>
      <w:r>
        <w:rPr>
          <w:u w:val="single"/>
        </w:rPr>
      </w:r>
    </w:p>
    <w:p>
      <w:pPr>
        <w:pStyle w:val="Normal"/>
        <w:ind w:firstLine="720" w:end="0"/>
        <w:jc w:val="both"/>
        <w:rPr/>
      </w:pPr>
      <w:r>
        <w:rPr/>
        <w:t>15.1.2.</w:t>
        <w:tab/>
      </w:r>
      <w:r>
        <w:rPr>
          <w:u w:val="single"/>
        </w:rPr>
        <w:t>No Violation of Law; Litigation</w:t>
      </w:r>
      <w:r>
        <w:rPr/>
        <w:t>.  It is not in violation of any applicable Law, which violations, individually or in the aggregate, would materially and adversely affect its performance under this Contract.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on its ability to perform all its obligations under this Contract.</w:t>
      </w:r>
    </w:p>
    <w:p>
      <w:pPr>
        <w:pStyle w:val="Normal"/>
        <w:jc w:val="both"/>
        <w:rPr>
          <w:u w:val="single"/>
        </w:rPr>
      </w:pPr>
      <w:r>
        <w:rPr>
          <w:u w:val="single"/>
        </w:rPr>
      </w:r>
    </w:p>
    <w:p>
      <w:pPr>
        <w:pStyle w:val="Normal"/>
        <w:ind w:firstLine="720" w:end="0"/>
        <w:jc w:val="both"/>
        <w:rPr/>
      </w:pPr>
      <w:r>
        <w:rPr/>
        <w:t>15.1.3.</w:t>
        <w:tab/>
      </w:r>
      <w:r>
        <w:rPr>
          <w:u w:val="single"/>
        </w:rPr>
        <w:t>Governmental Authorizations</w:t>
      </w:r>
      <w:r>
        <w:rPr/>
        <w:t>.  It is (or will be prior to performing any Work for which such Governmental Authorization is required) the holder of all Governmental Authorizations required to permit it to enter into and perform its obligations under this Contract.</w:t>
      </w:r>
    </w:p>
    <w:p>
      <w:pPr>
        <w:pStyle w:val="Normal"/>
        <w:ind w:firstLine="720" w:end="0"/>
        <w:jc w:val="both"/>
        <w:rPr/>
      </w:pPr>
      <w:r>
        <w:rPr/>
      </w:r>
    </w:p>
    <w:p>
      <w:pPr>
        <w:pStyle w:val="Normal"/>
        <w:ind w:firstLine="720" w:end="0"/>
        <w:jc w:val="both"/>
        <w:rPr/>
      </w:pPr>
      <w:r>
        <w:rPr/>
        <w:t>15.1.4.</w:t>
        <w:tab/>
      </w: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any of its respective assets are subject, or constitute a default under any such agreement or instrument.</w:t>
      </w:r>
    </w:p>
    <w:p>
      <w:pPr>
        <w:pStyle w:val="Normal"/>
        <w:jc w:val="both"/>
        <w:rPr>
          <w:u w:val="single"/>
        </w:rPr>
      </w:pPr>
      <w:r>
        <w:rPr>
          <w:u w:val="single"/>
        </w:rPr>
      </w:r>
    </w:p>
    <w:p>
      <w:pPr>
        <w:pStyle w:val="Normal"/>
        <w:ind w:firstLine="720" w:end="0"/>
        <w:jc w:val="both"/>
        <w:rPr/>
      </w:pPr>
      <w:r>
        <w:rPr/>
        <w:t>15.1.5.</w:t>
        <w:tab/>
      </w:r>
      <w:r>
        <w:rPr>
          <w:u w:val="single"/>
        </w:rPr>
        <w:t>Corporate Action</w:t>
      </w:r>
      <w:r>
        <w:rPr/>
        <w:t>.  It has all necessary corporate power and authority to execute, deliver and perform its obligations under this Contract; its execution, delivery and performance of this Contract has been duly authorized by all necessary action on its part; and this Contract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pPr>
      <w:r>
        <w:rPr/>
      </w:r>
    </w:p>
    <w:p>
      <w:pPr>
        <w:pStyle w:val="Normal"/>
        <w:ind w:firstLine="720" w:end="0"/>
        <w:jc w:val="both"/>
        <w:rPr/>
      </w:pPr>
      <w:r>
        <w:rPr/>
        <w:t>15.1.6</w:t>
        <w:tab/>
      </w:r>
      <w:r>
        <w:rPr>
          <w:u w:val="single"/>
        </w:rPr>
        <w:t>Investigation</w:t>
      </w:r>
      <w:r>
        <w:rPr/>
        <w:t>.</w:t>
        <w:tab/>
        <w:t>It has: (i) full experience and proper qualifications to perform the Work, and (ii) ascertained the nature and location of the Work, the general character and accessibility of the Site, the nature of the Site geotechnical and soil conditions (excluding underground manmade obstructions, other than the two concrete cisterns identified by Construction Agent and known to Contractor prior to the Effective Date), the existence of obstacles to construction, the location and character of existing or adjacent work or structures, and other general and local conditions and Laws (including labor Laws) which might affect its performance of the Work or the cost thereof and has performed such testing or examined the results of such testing as would normally be conducted by a contractor considering entering into an agreement such as this Contract and taking into account the available time for such examination.</w:t>
      </w:r>
    </w:p>
    <w:p>
      <w:pPr>
        <w:pStyle w:val="Heading2"/>
        <w:ind w:hanging="0" w:start="0"/>
        <w:rPr/>
      </w:pPr>
      <w:bookmarkStart w:id="129" w:name="__RefHeading___Toc496435231"/>
      <w:bookmarkEnd w:id="129"/>
      <w:r>
        <w:rPr/>
        <w:t>Section 15.2</w:t>
        <w:tab/>
        <w:t>Construction Agent Representations.</w:t>
      </w:r>
    </w:p>
    <w:p>
      <w:pPr>
        <w:pStyle w:val="Normal"/>
        <w:jc w:val="both"/>
        <w:rPr/>
      </w:pPr>
      <w:r>
        <w:rPr/>
        <w:t>Construction Agent represents and warrants that:</w:t>
      </w:r>
    </w:p>
    <w:p>
      <w:pPr>
        <w:pStyle w:val="Normal"/>
        <w:jc w:val="both"/>
        <w:rPr>
          <w:u w:val="single"/>
        </w:rPr>
      </w:pPr>
      <w:r>
        <w:rPr>
          <w:u w:val="single"/>
        </w:rPr>
      </w:r>
    </w:p>
    <w:p>
      <w:pPr>
        <w:pStyle w:val="Normal"/>
        <w:ind w:firstLine="720" w:end="0"/>
        <w:jc w:val="both"/>
        <w:rPr/>
      </w:pPr>
      <w:r>
        <w:rPr/>
        <w:t>15.2.1.</w:t>
        <w:tab/>
      </w:r>
      <w:r>
        <w:rPr>
          <w:u w:val="single"/>
        </w:rPr>
        <w:t>Business Organization</w:t>
      </w:r>
      <w:r>
        <w:rPr/>
        <w:t xml:space="preserve">.  It is a limited liability company duly organized and validly existing under the laws of </w:t>
      </w:r>
      <w:r>
        <w:rPr>
          <w:b/>
          <w:bCs/>
        </w:rPr>
        <w:t>[Delaware]</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 as whole, or on its ability to perform all its obligations under this Contract.</w:t>
      </w:r>
    </w:p>
    <w:p>
      <w:pPr>
        <w:pStyle w:val="Normal"/>
        <w:jc w:val="both"/>
        <w:rPr>
          <w:u w:val="single"/>
        </w:rPr>
      </w:pPr>
      <w:r>
        <w:rPr>
          <w:u w:val="single"/>
        </w:rPr>
      </w:r>
    </w:p>
    <w:p>
      <w:pPr>
        <w:pStyle w:val="Normal"/>
        <w:ind w:firstLine="720" w:end="0"/>
        <w:jc w:val="both"/>
        <w:rPr/>
      </w:pPr>
      <w:r>
        <w:rPr/>
        <w:t>15.2.2</w:t>
        <w:tab/>
      </w:r>
      <w:r>
        <w:rPr>
          <w:u w:val="single"/>
        </w:rPr>
        <w:t>No Violation of Law; Litigation</w:t>
      </w:r>
      <w:r>
        <w:rPr/>
        <w:t>.  It is not in violation of any applicable Law, which violations, individually or in the aggregate, would materially and adversely affect its performance under this Contract.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on its ability to perform all its obligations under this Contract.</w:t>
      </w:r>
    </w:p>
    <w:p>
      <w:pPr>
        <w:pStyle w:val="Normal"/>
        <w:jc w:val="both"/>
        <w:rPr>
          <w:u w:val="single"/>
        </w:rPr>
      </w:pPr>
      <w:r>
        <w:rPr>
          <w:u w:val="single"/>
        </w:rPr>
      </w:r>
    </w:p>
    <w:p>
      <w:pPr>
        <w:pStyle w:val="Normal"/>
        <w:ind w:firstLine="720" w:end="0"/>
        <w:jc w:val="both"/>
        <w:rPr/>
      </w:pPr>
      <w:r>
        <w:rPr/>
        <w:t>15.2.3.</w:t>
        <w:tab/>
      </w:r>
      <w:r>
        <w:rPr>
          <w:u w:val="single"/>
        </w:rPr>
        <w:t>Governmental Authorizations</w:t>
      </w:r>
      <w:r>
        <w:rPr/>
        <w:t>.  It is the holder of all Governmental Authorizations required to permit it to enter into and perform its obligations under this Contract.</w:t>
      </w:r>
    </w:p>
    <w:p>
      <w:pPr>
        <w:pStyle w:val="Normal"/>
        <w:jc w:val="both"/>
        <w:rPr>
          <w:u w:val="single"/>
        </w:rPr>
      </w:pPr>
      <w:r>
        <w:rPr>
          <w:u w:val="single"/>
        </w:rPr>
      </w:r>
    </w:p>
    <w:p>
      <w:pPr>
        <w:pStyle w:val="Normal"/>
        <w:ind w:firstLine="720" w:end="0"/>
        <w:jc w:val="both"/>
        <w:rPr/>
      </w:pPr>
      <w:r>
        <w:rPr/>
        <w:t>15.2.4.</w:t>
        <w:tab/>
      </w:r>
      <w:r>
        <w:rPr>
          <w:u w:val="single"/>
        </w:rPr>
        <w:t>No Breach</w:t>
      </w:r>
      <w:r>
        <w:rPr/>
        <w:t>.  None of the execution and delivery of this Contract, the consummation of the transactions herein contemplated or compliance with the terms and provisions hereof and thereof will conflict with or result in a breach of, or require any consent under, its charter, bylaws or any material agreement or material instrument to which it is a party or by which it is bound or to which it or its assets are subject, or constitute a default under any such agreement or instrument.</w:t>
      </w:r>
    </w:p>
    <w:p>
      <w:pPr>
        <w:pStyle w:val="Normal"/>
        <w:jc w:val="both"/>
        <w:rPr>
          <w:u w:val="single"/>
        </w:rPr>
      </w:pPr>
      <w:r>
        <w:rPr>
          <w:u w:val="single"/>
        </w:rPr>
      </w:r>
    </w:p>
    <w:p>
      <w:pPr>
        <w:pStyle w:val="Normal"/>
        <w:ind w:firstLine="720" w:end="0"/>
        <w:jc w:val="both"/>
        <w:rPr/>
      </w:pPr>
      <w:r>
        <w:rPr/>
        <w:t>15.2.5.</w:t>
        <w:tab/>
      </w:r>
      <w:r>
        <w:rPr>
          <w:u w:val="single"/>
        </w:rPr>
        <w:t>Corporate Action</w:t>
      </w:r>
      <w:r>
        <w:rPr/>
        <w:t>.  It has all necessary corporate power and authority to execute, deliver and perform its obligations under this Contract; the execution, delivery and performance by Owner of this Contract has been duly authorized by all necessary action on its part; and this Contract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pPr>
      <w:r>
        <w:rPr/>
      </w:r>
    </w:p>
    <w:p>
      <w:pPr>
        <w:pStyle w:val="Heading1"/>
        <w:ind w:hanging="0" w:start="0"/>
        <w:rPr>
          <w:b w:val="false"/>
          <w:bCs w:val="false"/>
        </w:rPr>
      </w:pPr>
      <w:bookmarkStart w:id="130" w:name="__RefHeading___Toc496435232"/>
      <w:bookmarkEnd w:id="130"/>
      <w:r>
        <w:rPr/>
        <w:t>ARTICLE XVI</w:t>
      </w:r>
    </w:p>
    <w:p>
      <w:pPr>
        <w:pStyle w:val="Heading1"/>
        <w:ind w:hanging="0" w:start="0"/>
        <w:rPr/>
      </w:pPr>
      <w:bookmarkStart w:id="131" w:name="__RefHeading___Toc496435233"/>
      <w:bookmarkEnd w:id="131"/>
      <w:r>
        <w:rPr/>
        <w:t>DEFAULT, TERMINATION AND SUSPENSION</w:t>
      </w:r>
    </w:p>
    <w:p>
      <w:pPr>
        <w:pStyle w:val="Heading2"/>
        <w:ind w:hanging="0" w:start="0"/>
        <w:rPr/>
      </w:pPr>
      <w:bookmarkStart w:id="132" w:name="__RefHeading___Toc496435234"/>
      <w:bookmarkEnd w:id="132"/>
      <w:r>
        <w:rPr/>
        <w:t>Section 16.1</w:t>
        <w:tab/>
        <w:t>Default by Contractor.</w:t>
      </w:r>
    </w:p>
    <w:p>
      <w:pPr>
        <w:pStyle w:val="Normal"/>
        <w:widowControl w:val="false"/>
        <w:ind w:firstLine="720" w:end="0"/>
        <w:jc w:val="both"/>
        <w:rPr/>
      </w:pPr>
      <w:r>
        <w:rPr/>
        <w:t>16.1.1.</w:t>
        <w:tab/>
      </w:r>
      <w:r>
        <w:rPr>
          <w:u w:val="single"/>
        </w:rPr>
        <w:t>Termination for Contractor’s Inability to Perform</w:t>
      </w:r>
      <w:r>
        <w:rPr/>
        <w:t xml:space="preserve">.  If any proceeding is instituted against Contractor seeking to adjudicate Contractor as a bankrupt or insolvent and such proceeding is not dismissed within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Construction Agent may, without prejudice to any other right or remedy Construction Agent may have, terminate this Contract effective immediately upon giving written notice of such termination to Contractor. </w:t>
      </w:r>
    </w:p>
    <w:p>
      <w:pPr>
        <w:pStyle w:val="Normal"/>
        <w:jc w:val="both"/>
        <w:rPr>
          <w:u w:val="single"/>
        </w:rPr>
      </w:pPr>
      <w:r>
        <w:rPr>
          <w:u w:val="single"/>
        </w:rPr>
      </w:r>
    </w:p>
    <w:p>
      <w:pPr>
        <w:pStyle w:val="Normal"/>
        <w:ind w:firstLine="720" w:end="0"/>
        <w:jc w:val="both"/>
        <w:rPr/>
      </w:pPr>
      <w:r>
        <w:rPr/>
        <w:t>16.1.2.</w:t>
        <w:tab/>
      </w:r>
      <w:r>
        <w:rPr>
          <w:u w:val="single"/>
        </w:rPr>
        <w:t>Termination for Contractor’s Failure to Perform</w:t>
      </w:r>
      <w:r>
        <w:rPr/>
        <w:t>.  If:</w:t>
      </w:r>
    </w:p>
    <w:p>
      <w:pPr>
        <w:pStyle w:val="Normal"/>
        <w:jc w:val="both"/>
        <w:rPr>
          <w:bCs/>
          <w:iCs/>
        </w:rPr>
      </w:pPr>
      <w:r>
        <w:rPr>
          <w:bCs/>
          <w:iCs/>
        </w:rPr>
      </w:r>
    </w:p>
    <w:p>
      <w:pPr>
        <w:pStyle w:val="Normal"/>
        <w:ind w:hanging="720" w:start="2160" w:end="0"/>
        <w:jc w:val="both"/>
        <w:rPr>
          <w:bCs/>
          <w:iCs/>
        </w:rPr>
      </w:pPr>
      <w:r>
        <w:rPr>
          <w:bCs/>
          <w:iCs/>
        </w:rPr>
        <w:t>(a)</w:t>
        <w:tab/>
        <w:t>Contractor abandons the Work following at any time after the date hereof;</w:t>
      </w:r>
    </w:p>
    <w:p>
      <w:pPr>
        <w:pStyle w:val="Normal"/>
        <w:ind w:hanging="720" w:start="2160" w:end="0"/>
        <w:jc w:val="both"/>
        <w:rPr>
          <w:bCs/>
          <w:iCs/>
        </w:rPr>
      </w:pPr>
      <w:r>
        <w:rPr>
          <w:bCs/>
          <w:iCs/>
        </w:rPr>
      </w:r>
    </w:p>
    <w:p>
      <w:pPr>
        <w:pStyle w:val="Normal"/>
        <w:ind w:hanging="720" w:start="2160" w:end="0"/>
        <w:jc w:val="both"/>
        <w:rPr>
          <w:bCs/>
          <w:iCs/>
        </w:rPr>
      </w:pPr>
      <w:r>
        <w:rPr>
          <w:bCs/>
          <w:iCs/>
        </w:rPr>
        <w:t>(b)</w:t>
        <w:tab/>
        <w:t xml:space="preserve">Contractor has wrongfully refused or materially failed or neglected at any time to execute the Work or any material portion thereof in accordance with this Contract, or is failing to proceed with the Work or any material portion thereof with due diligence or is neglecting to perform fully any other obligation under this Contract (including any obligation with respect to the payment of any amount due hereunder, the payment of Subcontractors, warranty repairs of Equipment, invalid assignments, failure to maintain financial security instruments, and compliance with Laws), in each case so as to materially and adversely affect the performance of the Work, including warranty obligations, or Construction Agent's or Owner's rights or remedies under this Contract; </w:t>
      </w:r>
    </w:p>
    <w:p>
      <w:pPr>
        <w:pStyle w:val="Normal"/>
        <w:ind w:hanging="720" w:start="2160" w:end="0"/>
        <w:jc w:val="both"/>
        <w:rPr>
          <w:bCs/>
          <w:iCs/>
        </w:rPr>
      </w:pPr>
      <w:r>
        <w:rPr>
          <w:bCs/>
          <w:iCs/>
        </w:rPr>
      </w:r>
    </w:p>
    <w:p>
      <w:pPr>
        <w:pStyle w:val="Normal"/>
        <w:ind w:hanging="720" w:start="2160" w:end="0"/>
        <w:jc w:val="both"/>
        <w:rPr>
          <w:bCs/>
          <w:iCs/>
        </w:rPr>
      </w:pPr>
      <w:r>
        <w:rPr>
          <w:bCs/>
          <w:iCs/>
        </w:rPr>
        <w:t>(c)</w:t>
        <w:tab/>
        <w:t>Contractor has persistently failed to timely achieve Milestones in accordance with the Project Schedule (without excusable delay), or has otherwise failed to complete the Work (without excusable delay) at a rate sufficient to give Construction Agent reasonable assurance that Contractor can cause the Facility to achieve Substantial Completion by the End Date;</w:t>
      </w:r>
    </w:p>
    <w:p>
      <w:pPr>
        <w:pStyle w:val="Normal"/>
        <w:ind w:hanging="720" w:start="2160" w:end="0"/>
        <w:jc w:val="both"/>
        <w:rPr>
          <w:bCs/>
          <w:iCs/>
        </w:rPr>
      </w:pPr>
      <w:r>
        <w:rPr>
          <w:bCs/>
          <w:iCs/>
        </w:rPr>
      </w:r>
    </w:p>
    <w:p>
      <w:pPr>
        <w:pStyle w:val="Normal"/>
        <w:ind w:hanging="720" w:start="2160" w:end="0"/>
        <w:jc w:val="both"/>
        <w:rPr>
          <w:bCs/>
          <w:iCs/>
        </w:rPr>
      </w:pPr>
      <w:r>
        <w:rPr>
          <w:bCs/>
          <w:iCs/>
        </w:rPr>
        <w:t>(d)</w:t>
        <w:tab/>
        <w:t>Contractor has failed to cause the Facility to achieve Substantial Completion on or before the End Date; or</w:t>
      </w:r>
    </w:p>
    <w:p>
      <w:pPr>
        <w:pStyle w:val="Normal"/>
        <w:ind w:hanging="720" w:start="2160" w:end="0"/>
        <w:jc w:val="both"/>
        <w:rPr>
          <w:bCs/>
          <w:iCs/>
        </w:rPr>
      </w:pPr>
      <w:r>
        <w:rPr>
          <w:bCs/>
          <w:iCs/>
        </w:rPr>
      </w:r>
    </w:p>
    <w:p>
      <w:pPr>
        <w:pStyle w:val="Normal"/>
        <w:ind w:hanging="720" w:start="2160" w:end="0"/>
        <w:jc w:val="both"/>
        <w:rPr>
          <w:bCs/>
          <w:iCs/>
        </w:rPr>
      </w:pPr>
      <w:r>
        <w:rPr>
          <w:bCs/>
          <w:iCs/>
        </w:rPr>
        <w:t>(e)</w:t>
        <w:tab/>
      </w:r>
      <w:r>
        <w:rPr/>
        <w:t xml:space="preserve">any material representation or warranty of </w:t>
      </w:r>
      <w:r>
        <w:rPr>
          <w:bCs/>
          <w:iCs/>
        </w:rPr>
        <w:t>Contractor</w:t>
      </w:r>
      <w:r>
        <w:rPr/>
        <w:t xml:space="preserve"> shall have been incorrect as of the date made or be incorrect at the time in question, </w:t>
      </w:r>
    </w:p>
    <w:p>
      <w:pPr>
        <w:pStyle w:val="Normal"/>
        <w:ind w:hanging="2160" w:start="2160" w:end="0"/>
        <w:jc w:val="both"/>
        <w:rPr>
          <w:bCs/>
          <w:iCs/>
        </w:rPr>
      </w:pPr>
      <w:r>
        <w:rPr>
          <w:bCs/>
          <w:iCs/>
        </w:rPr>
      </w:r>
    </w:p>
    <w:p>
      <w:pPr>
        <w:pStyle w:val="Normal"/>
        <w:ind w:hanging="2160" w:start="2160" w:end="0"/>
        <w:jc w:val="both"/>
        <w:rPr>
          <w:bCs/>
          <w:iCs/>
        </w:rPr>
      </w:pPr>
      <w:r>
        <w:rPr>
          <w:bCs/>
          <w:iCs/>
        </w:rPr>
        <w:t>then,</w:t>
      </w:r>
    </w:p>
    <w:p>
      <w:pPr>
        <w:pStyle w:val="Normal"/>
        <w:jc w:val="both"/>
        <w:rPr>
          <w:bCs/>
          <w:iCs/>
        </w:rPr>
      </w:pPr>
      <w:r>
        <w:rPr>
          <w:bCs/>
          <w:iCs/>
        </w:rPr>
      </w:r>
    </w:p>
    <w:p>
      <w:pPr>
        <w:pStyle w:val="Normal"/>
        <w:ind w:hanging="720" w:start="2880" w:end="0"/>
        <w:jc w:val="both"/>
        <w:rPr>
          <w:bCs/>
          <w:iCs/>
        </w:rPr>
      </w:pPr>
      <w:r>
        <w:rPr>
          <w:bCs/>
          <w:iCs/>
        </w:rPr>
        <w:t>(i)</w:t>
        <w:tab/>
        <w:t>in the case of a default under Sections 16.1.2(a), (b), (d) or (e), provided Contractor fails to correct such condition within 30 days (or 15 days with respect to any payment of money) after receipt of written notice from Construction Agent stating the nature of the condition and requiring Contractor to remedy the same or, if such default is not capable of being remedied within the time prescribed, to diligently commence through the exercise of reasonable efforts to correct such condition within 30 days of receipt of such written notice and to complete such correction within 60 days after receipt of such notice, or</w:t>
      </w:r>
    </w:p>
    <w:p>
      <w:pPr>
        <w:pStyle w:val="Normal"/>
        <w:ind w:hanging="720" w:start="2880" w:end="0"/>
        <w:jc w:val="both"/>
        <w:rPr>
          <w:bCs/>
          <w:iCs/>
        </w:rPr>
      </w:pPr>
      <w:r>
        <w:rPr>
          <w:bCs/>
          <w:iCs/>
        </w:rPr>
      </w:r>
    </w:p>
    <w:p>
      <w:pPr>
        <w:pStyle w:val="Normal"/>
        <w:ind w:hanging="720" w:start="2880" w:end="0"/>
        <w:jc w:val="both"/>
        <w:rPr>
          <w:bCs/>
          <w:iCs/>
        </w:rPr>
      </w:pPr>
      <w:r>
        <w:rPr>
          <w:bCs/>
          <w:iCs/>
        </w:rPr>
        <w:t>(ii)</w:t>
        <w:tab/>
        <w:t xml:space="preserve">in the case of a default under Section 16.1.2(c), at any time before Substantial Completion has occurred, </w:t>
      </w:r>
    </w:p>
    <w:p>
      <w:pPr>
        <w:pStyle w:val="Normal"/>
        <w:jc w:val="both"/>
        <w:rPr>
          <w:bCs/>
          <w:iCs/>
        </w:rPr>
      </w:pPr>
      <w:r>
        <w:rPr>
          <w:bCs/>
          <w:iCs/>
        </w:rPr>
      </w:r>
    </w:p>
    <w:p>
      <w:pPr>
        <w:pStyle w:val="Normal"/>
        <w:jc w:val="both"/>
        <w:rPr/>
      </w:pPr>
      <w:r>
        <w:rPr>
          <w:bCs/>
          <w:iCs/>
        </w:rPr>
        <w:t>Construction Agent may, after giving Contractor five Business Days’ notice thereof, so long as such default remains uncured, terminate this Contract, enter the Site, expel the Contractor therefrom, and complete the Work or employ any other contractor (the "</w:t>
      </w:r>
      <w:r>
        <w:rPr>
          <w:bCs/>
          <w:iCs/>
          <w:u w:val="single"/>
        </w:rPr>
        <w:t>Replacement Contractor</w:t>
      </w:r>
      <w:r>
        <w:rPr>
          <w:bCs/>
          <w:iCs/>
        </w:rPr>
        <w:t>") to complete the Work.</w:t>
      </w:r>
    </w:p>
    <w:p>
      <w:pPr>
        <w:pStyle w:val="Normal"/>
        <w:jc w:val="both"/>
        <w:rPr>
          <w:bCs/>
          <w:iCs/>
        </w:rPr>
      </w:pPr>
      <w:r>
        <w:rPr>
          <w:bCs/>
          <w:iCs/>
        </w:rPr>
      </w:r>
    </w:p>
    <w:p>
      <w:pPr>
        <w:pStyle w:val="Normal"/>
        <w:ind w:firstLine="720" w:end="0"/>
        <w:jc w:val="both"/>
        <w:rPr/>
      </w:pPr>
      <w:r>
        <w:rPr/>
        <w:t>16.1.3.</w:t>
        <w:tab/>
      </w:r>
      <w:r>
        <w:rPr>
          <w:u w:val="single"/>
        </w:rPr>
        <w:t>Contractor Continuing Obligations</w:t>
      </w:r>
      <w:r>
        <w:rPr/>
        <w:t xml:space="preserve">.  If </w:t>
      </w:r>
      <w:r>
        <w:rPr>
          <w:bCs/>
          <w:iCs/>
        </w:rPr>
        <w:t>Construction Agent</w:t>
      </w:r>
      <w:r>
        <w:rPr/>
        <w:t xml:space="preserve"> terminates this Contract pursuant to this Section 16.1, then as of the effective date of such termination, Contractor shall be released from any further obligation to perform the Work under this Contract, other than as expressly set forth in this Section 16.1.3, and Contractor shall thereupon:</w:t>
      </w:r>
    </w:p>
    <w:p>
      <w:pPr>
        <w:pStyle w:val="Normal"/>
        <w:jc w:val="both"/>
        <w:rPr>
          <w:bCs/>
          <w:iCs/>
        </w:rPr>
      </w:pPr>
      <w:r>
        <w:rPr>
          <w:bCs/>
          <w:iCs/>
        </w:rPr>
      </w:r>
    </w:p>
    <w:p>
      <w:pPr>
        <w:pStyle w:val="Normal"/>
        <w:ind w:hanging="720" w:start="2160" w:end="0"/>
        <w:jc w:val="both"/>
        <w:rPr>
          <w:bCs/>
          <w:iCs/>
        </w:rPr>
      </w:pPr>
      <w:r>
        <w:rPr>
          <w:bCs/>
          <w:iCs/>
        </w:rPr>
        <w:t>(a)</w:t>
        <w:tab/>
        <w:t>immediately discontinue the Work except for such Work as Construction Agent may specify in the termination notice as may be reasonably necessary to preserve and protect Work already in progress and to protect Equipment at the Site or in transit thereto and for which Construction Agent shall remain liable to Contractor subject to the provisions of Section 16.1.4;</w:t>
      </w:r>
    </w:p>
    <w:p>
      <w:pPr>
        <w:pStyle w:val="Normal"/>
        <w:ind w:hanging="720" w:start="2160" w:end="0"/>
        <w:jc w:val="both"/>
        <w:rPr>
          <w:bCs/>
          <w:iCs/>
        </w:rPr>
      </w:pPr>
      <w:r>
        <w:rPr>
          <w:bCs/>
          <w:iCs/>
        </w:rPr>
      </w:r>
    </w:p>
    <w:p>
      <w:pPr>
        <w:pStyle w:val="Normal"/>
        <w:ind w:hanging="720" w:start="2160" w:end="0"/>
        <w:jc w:val="both"/>
        <w:rPr>
          <w:bCs/>
          <w:iCs/>
        </w:rPr>
      </w:pPr>
      <w:r>
        <w:rPr>
          <w:bCs/>
          <w:iCs/>
        </w:rPr>
        <w:t>(b)</w:t>
        <w:tab/>
        <w:t>place no further orders or enter into Subcontracts for Work or Equipment;</w:t>
      </w:r>
    </w:p>
    <w:p>
      <w:pPr>
        <w:pStyle w:val="Normal"/>
        <w:ind w:hanging="720" w:start="2160" w:end="0"/>
        <w:jc w:val="both"/>
        <w:rPr>
          <w:bCs/>
          <w:iCs/>
        </w:rPr>
      </w:pPr>
      <w:r>
        <w:rPr>
          <w:bCs/>
          <w:iCs/>
        </w:rPr>
      </w:r>
    </w:p>
    <w:p>
      <w:pPr>
        <w:pStyle w:val="Normal"/>
        <w:ind w:hanging="720" w:start="2160" w:end="0"/>
        <w:jc w:val="both"/>
        <w:rPr>
          <w:bCs/>
          <w:iCs/>
        </w:rPr>
      </w:pPr>
      <w:r>
        <w:rPr>
          <w:bCs/>
          <w:iCs/>
        </w:rPr>
        <w:t>(c)</w:t>
        <w:tab/>
        <w:t>assist Construction Agent in preparing an inventory of all Equipment in use or in storage at the Site;</w:t>
      </w:r>
    </w:p>
    <w:p>
      <w:pPr>
        <w:pStyle w:val="Normal"/>
        <w:ind w:hanging="720" w:start="2160" w:end="0"/>
        <w:jc w:val="both"/>
        <w:rPr>
          <w:bCs/>
          <w:iCs/>
        </w:rPr>
      </w:pPr>
      <w:r>
        <w:rPr>
          <w:bCs/>
          <w:iCs/>
        </w:rPr>
      </w:r>
    </w:p>
    <w:p>
      <w:pPr>
        <w:pStyle w:val="Normal"/>
        <w:ind w:hanging="720" w:start="2160" w:end="0"/>
        <w:jc w:val="both"/>
        <w:rPr>
          <w:bCs/>
          <w:iCs/>
        </w:rPr>
      </w:pPr>
      <w:r>
        <w:rPr>
          <w:bCs/>
          <w:iCs/>
        </w:rPr>
        <w:t>(d)</w:t>
        <w:tab/>
        <w:t>terminate all Subcontracts, except those Construction Agent has designated to be assigned pursuant to Section 16.1.3(e);</w:t>
      </w:r>
    </w:p>
    <w:p>
      <w:pPr>
        <w:pStyle w:val="Normal"/>
        <w:ind w:hanging="720" w:start="2160" w:end="0"/>
        <w:jc w:val="both"/>
        <w:rPr>
          <w:bCs/>
          <w:iCs/>
        </w:rPr>
      </w:pPr>
      <w:r>
        <w:rPr>
          <w:bCs/>
          <w:iCs/>
        </w:rPr>
      </w:r>
    </w:p>
    <w:p>
      <w:pPr>
        <w:pStyle w:val="Normal"/>
        <w:ind w:hanging="720" w:start="2160" w:end="0"/>
        <w:jc w:val="both"/>
        <w:rPr>
          <w:bCs/>
          <w:iCs/>
        </w:rPr>
      </w:pPr>
      <w:r>
        <w:rPr>
          <w:bCs/>
          <w:iCs/>
        </w:rPr>
        <w:t>(e)</w:t>
        <w:tab/>
        <w:t>assign to Construction Agent, Owner, any Replacement Contractor or Lender, as designated by Construction Agent, without right to further compensation therefore, title to all Work not already owned by Owner, together with all Subcontracts and other contractual agreements (including warranties) as may be designated by Owner;</w:t>
      </w:r>
    </w:p>
    <w:p>
      <w:pPr>
        <w:pStyle w:val="Normal"/>
        <w:ind w:hanging="720" w:start="2160" w:end="0"/>
        <w:jc w:val="both"/>
        <w:rPr>
          <w:bCs/>
          <w:iCs/>
        </w:rPr>
      </w:pPr>
      <w:r>
        <w:rPr>
          <w:bCs/>
          <w:iCs/>
        </w:rPr>
      </w:r>
    </w:p>
    <w:p>
      <w:pPr>
        <w:pStyle w:val="Normal"/>
        <w:ind w:hanging="720" w:start="2160" w:end="0"/>
        <w:jc w:val="both"/>
        <w:rPr>
          <w:bCs/>
          <w:iCs/>
        </w:rPr>
      </w:pPr>
      <w:r>
        <w:rPr>
          <w:bCs/>
          <w:iCs/>
        </w:rPr>
        <w:t>(f)</w:t>
        <w:tab/>
        <w:t>assign to Construction Agent, Owner, any Replacement Contractor or Lender, as designated by Construction Agent, without right to further compensation therefore, to the extent assignable and subject to Sections 8.1.3 and 8.1.4 and Article 20, all issued Governmental Authorizations, patents and other proprietary rights, if any, then held by Contractor pertaining to the Facility;</w:t>
      </w:r>
    </w:p>
    <w:p>
      <w:pPr>
        <w:pStyle w:val="Normal"/>
        <w:ind w:hanging="720" w:start="2160" w:end="0"/>
        <w:jc w:val="both"/>
        <w:rPr>
          <w:bCs/>
          <w:iCs/>
        </w:rPr>
      </w:pPr>
      <w:r>
        <w:rPr>
          <w:bCs/>
          <w:iCs/>
        </w:rPr>
      </w:r>
    </w:p>
    <w:p>
      <w:pPr>
        <w:pStyle w:val="Normal"/>
        <w:ind w:hanging="720" w:start="2160" w:end="0"/>
        <w:jc w:val="both"/>
        <w:rPr>
          <w:bCs/>
          <w:iCs/>
        </w:rPr>
      </w:pPr>
      <w:r>
        <w:rPr>
          <w:bCs/>
          <w:iCs/>
        </w:rPr>
        <w:t>(g)</w:t>
        <w:tab/>
        <w:t xml:space="preserve">remove from the Site all Contractor’s Equipment; </w:t>
      </w:r>
    </w:p>
    <w:p>
      <w:pPr>
        <w:pStyle w:val="Normal"/>
        <w:ind w:hanging="720" w:start="2160" w:end="0"/>
        <w:jc w:val="both"/>
        <w:rPr>
          <w:bCs/>
          <w:iCs/>
        </w:rPr>
      </w:pPr>
      <w:r>
        <w:rPr>
          <w:bCs/>
          <w:iCs/>
        </w:rPr>
      </w:r>
    </w:p>
    <w:p>
      <w:pPr>
        <w:pStyle w:val="Normal"/>
        <w:ind w:hanging="720" w:start="2160" w:end="0"/>
        <w:jc w:val="both"/>
        <w:rPr>
          <w:bCs/>
          <w:iCs/>
        </w:rPr>
      </w:pPr>
      <w:r>
        <w:rPr>
          <w:bCs/>
          <w:iCs/>
        </w:rPr>
        <w:t>(h)</w:t>
        <w:tab/>
        <w:t>deliver to Construction Agent all information prepared hereunder with respect to the Facility as may be reasonably requested by Construction Agent and which has been paid for by Construction Agent or Owner, including all drawings, plans, specifications, studies, reports and other information prepared hereunder as of the date of termination for the completion and operation of the Facility; and</w:t>
      </w:r>
    </w:p>
    <w:p>
      <w:pPr>
        <w:pStyle w:val="Normal"/>
        <w:ind w:hanging="720" w:start="2160" w:end="0"/>
        <w:jc w:val="both"/>
        <w:rPr>
          <w:bCs/>
          <w:iCs/>
        </w:rPr>
      </w:pPr>
      <w:r>
        <w:rPr>
          <w:bCs/>
          <w:iCs/>
        </w:rPr>
      </w:r>
    </w:p>
    <w:p>
      <w:pPr>
        <w:pStyle w:val="Normal"/>
        <w:ind w:hanging="720" w:start="2160" w:end="0"/>
        <w:jc w:val="both"/>
        <w:rPr>
          <w:bCs/>
          <w:iCs/>
        </w:rPr>
      </w:pPr>
      <w:r>
        <w:rPr>
          <w:bCs/>
          <w:iCs/>
        </w:rPr>
        <w:t>(i)</w:t>
        <w:tab/>
        <w:t>supply any components or Equipment proprietary to Contractor which may be necessary for the completion and operation of the Facility and is not available to Construction Agent or Owner from other Persons on reasonable terms.</w:t>
      </w:r>
    </w:p>
    <w:p>
      <w:pPr>
        <w:pStyle w:val="Normal"/>
        <w:jc w:val="both"/>
        <w:rPr>
          <w:bCs/>
          <w:iCs/>
          <w:u w:val="single"/>
        </w:rPr>
      </w:pPr>
      <w:r>
        <w:rPr>
          <w:bCs/>
          <w:iCs/>
          <w:u w:val="single"/>
        </w:rPr>
      </w:r>
    </w:p>
    <w:p>
      <w:pPr>
        <w:pStyle w:val="Normal"/>
        <w:keepNext w:val="true"/>
        <w:ind w:firstLine="720" w:end="0"/>
        <w:jc w:val="both"/>
        <w:rPr/>
      </w:pPr>
      <w:r>
        <w:rPr/>
        <w:t>16.1.4.</w:t>
        <w:tab/>
      </w:r>
      <w:r>
        <w:rPr>
          <w:bCs/>
          <w:iCs/>
          <w:u w:val="single"/>
        </w:rPr>
        <w:t xml:space="preserve">Contractor's </w:t>
      </w:r>
      <w:r>
        <w:rPr>
          <w:u w:val="single"/>
        </w:rPr>
        <w:t>Payment Obligations upon Termination</w:t>
      </w:r>
      <w:r>
        <w:rPr/>
        <w:t>.</w:t>
      </w:r>
    </w:p>
    <w:p>
      <w:pPr>
        <w:pStyle w:val="Normal"/>
        <w:keepNext w:val="true"/>
        <w:ind w:firstLine="720" w:end="0"/>
        <w:jc w:val="both"/>
        <w:rPr/>
      </w:pPr>
      <w:r>
        <w:rPr/>
      </w:r>
    </w:p>
    <w:p>
      <w:pPr>
        <w:pStyle w:val="Normal"/>
        <w:ind w:hanging="720" w:start="2160" w:end="0"/>
        <w:jc w:val="both"/>
        <w:rPr/>
      </w:pPr>
      <w:r>
        <w:rPr/>
        <w:t>(a)</w:t>
        <w:tab/>
        <w:t xml:space="preserve">As soon as practicable after </w:t>
      </w:r>
      <w:r>
        <w:rPr>
          <w:bCs/>
          <w:iCs/>
        </w:rPr>
        <w:t>Construction Agent</w:t>
      </w:r>
      <w:r>
        <w:rPr/>
        <w:t xml:space="preserve"> has terminated this Contract pursuant to this Section 16.1, </w:t>
      </w:r>
      <w:r>
        <w:rPr>
          <w:bCs/>
          <w:iCs/>
        </w:rPr>
        <w:t>Construction Agent</w:t>
      </w:r>
      <w:r>
        <w:rPr/>
        <w:t xml:space="preserve"> shall deliver to Contractor a certificate setting forth all sums due to </w:t>
      </w:r>
      <w:r>
        <w:rPr>
          <w:bCs/>
          <w:iCs/>
        </w:rPr>
        <w:t>Construction Agent</w:t>
      </w:r>
      <w:r>
        <w:rPr/>
        <w:t xml:space="preserve"> or Owner by Contractor as of the date of termination and the value of the Work satisfactorily completed and in place, and Equipment and materials on Site, all of which has not been paid for by prior payments to Contractor.  Any dispute with respect to amounts set forth in such certificate shall be resolved pursuant to Article 19.  If </w:t>
      </w:r>
      <w:r>
        <w:rPr>
          <w:bCs/>
          <w:iCs/>
        </w:rPr>
        <w:t>Construction Agent</w:t>
      </w:r>
      <w:r>
        <w:rPr/>
        <w:t xml:space="preserve"> terminates this Contract pursuant to this Section 16.1, </w:t>
      </w:r>
      <w:r>
        <w:rPr>
          <w:bCs/>
          <w:iCs/>
        </w:rPr>
        <w:t>Construction Agent</w:t>
      </w:r>
      <w:r>
        <w:rPr/>
        <w:t xml:space="preserve"> shall not be liable to make any further payment to Contractor until after reaching the equivalent of Final Completion, whereupon </w:t>
      </w:r>
      <w:r>
        <w:rPr>
          <w:bCs/>
          <w:iCs/>
        </w:rPr>
        <w:t>Construction Agent</w:t>
      </w:r>
      <w:r>
        <w:rPr/>
        <w:t xml:space="preserve"> shall determine the total reasonable and necessary expenses incurred by </w:t>
      </w:r>
      <w:r>
        <w:rPr>
          <w:bCs/>
          <w:iCs/>
        </w:rPr>
        <w:t>Construction Agent</w:t>
      </w:r>
      <w:r>
        <w:rPr/>
        <w:t xml:space="preserve"> in connection with the termination of this Contract (including reasonable legal fees and expenses) and the completion of the Facility (together the "</w:t>
      </w:r>
      <w:r>
        <w:rPr>
          <w:u w:val="single"/>
        </w:rPr>
        <w:t>Costs of Completion</w:t>
      </w:r>
      <w:r>
        <w:rPr/>
        <w:t xml:space="preserve">"), including (a) all amounts charged by any Replacement Contractor to complete the Facility in accordance with the Scope of Work and the Specifications, including, without duplication, amounts paid under any of Contractor’s Subcontracts or other contractual agreement(s) that </w:t>
      </w:r>
      <w:r>
        <w:rPr>
          <w:bCs/>
          <w:iCs/>
        </w:rPr>
        <w:t>Construction Agent</w:t>
      </w:r>
      <w:r>
        <w:rPr/>
        <w:t xml:space="preserve"> elects to have assigned to such Replacement Contractor pursuant to Section 16.1.3(e), and (b) additional reasonable and necessary overhead incurred and accrued by </w:t>
      </w:r>
      <w:r>
        <w:rPr>
          <w:bCs/>
          <w:iCs/>
        </w:rPr>
        <w:t>Construction Agent</w:t>
      </w:r>
      <w:r>
        <w:rPr/>
        <w:t xml:space="preserve"> to effect such takeover and to complete the Facility.</w:t>
      </w:r>
    </w:p>
    <w:p>
      <w:pPr>
        <w:pStyle w:val="Normal"/>
        <w:ind w:hanging="720" w:start="2160" w:end="0"/>
        <w:jc w:val="both"/>
        <w:rPr/>
      </w:pPr>
      <w:r>
        <w:rPr/>
      </w:r>
    </w:p>
    <w:p>
      <w:pPr>
        <w:pStyle w:val="Normal"/>
        <w:ind w:hanging="720" w:start="2160" w:end="0"/>
        <w:jc w:val="both"/>
        <w:rPr/>
      </w:pPr>
      <w:r>
        <w:rPr/>
        <w:t>(b)</w:t>
        <w:tab/>
        <w:t xml:space="preserve">Contractor shall be entitled to be paid for, and Construction Agent shall pay Contractor, any unpaid portion of the Contract Price attributable to the Work satisfactorily completed by Contractor prior to the date of termination, the value of any Equipment and any unused or partially used materials on the Site furnished by Contractor which are taken over by </w:t>
      </w:r>
      <w:r>
        <w:rPr>
          <w:bCs/>
          <w:iCs/>
        </w:rPr>
        <w:t>Construction Agent</w:t>
      </w:r>
      <w:r>
        <w:rPr/>
        <w:t xml:space="preserve"> and have not already been paid for as part of the Contract Price previously paid to Contractor, and the actual reasonable costs, if any, incurred by Contractor in protecting the Work pursuant to Section 16.1.3(a), </w:t>
      </w:r>
      <w:r>
        <w:rPr>
          <w:u w:val="single"/>
        </w:rPr>
        <w:t>provided</w:t>
      </w:r>
      <w:r>
        <w:rPr/>
        <w:t xml:space="preserve"> that any amounts due to </w:t>
      </w:r>
      <w:r>
        <w:rPr>
          <w:bCs/>
          <w:iCs/>
        </w:rPr>
        <w:t>Construction Agent</w:t>
      </w:r>
      <w:r>
        <w:rPr/>
        <w:t xml:space="preserve"> from Contractor accruing prior to the date of termination shall be deducted from the amount to be paid to Contractor pursuant to the foregoing.  If the Costs of Completion exceed the balance of the Contract Price unpaid at the date of termination, then Contractor shall be liable for and shall pay to </w:t>
      </w:r>
      <w:r>
        <w:rPr>
          <w:bCs/>
          <w:iCs/>
        </w:rPr>
        <w:t>Construction Agent</w:t>
      </w:r>
      <w:r>
        <w:rPr/>
        <w:t xml:space="preserve"> upon written demand therefore the amount of such excess, which shall constitute </w:t>
      </w:r>
      <w:r>
        <w:rPr>
          <w:bCs/>
          <w:iCs/>
        </w:rPr>
        <w:t>Construction Agent</w:t>
      </w:r>
      <w:r>
        <w:rPr/>
        <w:t>’s sole and exclusive remedy for all damages associated with such termination pursuant to Section 16.1 and shall be subject to the Aggregate Limit.  Any such amount payable by Contractor may be deducted by Owner from any portion of the Contract Price or other amounts due to Contractor under this Section 16.1.4.</w:t>
      </w:r>
    </w:p>
    <w:p>
      <w:pPr>
        <w:pStyle w:val="Heading2"/>
        <w:ind w:hanging="0" w:start="0"/>
        <w:rPr/>
      </w:pPr>
      <w:bookmarkStart w:id="133" w:name="__RefHeading___Toc496435235"/>
      <w:bookmarkEnd w:id="133"/>
      <w:r>
        <w:rPr/>
        <w:t>Section 16.2</w:t>
        <w:tab/>
        <w:t>Default by Construction Agent.</w:t>
      </w:r>
    </w:p>
    <w:p>
      <w:pPr>
        <w:pStyle w:val="Normal"/>
        <w:ind w:firstLine="720" w:end="0"/>
        <w:jc w:val="both"/>
        <w:rPr/>
      </w:pPr>
      <w:r>
        <w:rPr>
          <w:iCs/>
        </w:rPr>
        <w:t>16.2.1.</w:t>
        <w:tab/>
      </w:r>
      <w:r>
        <w:rPr>
          <w:iCs/>
          <w:u w:val="single"/>
        </w:rPr>
        <w:t xml:space="preserve">Termination for </w:t>
      </w:r>
      <w:r>
        <w:rPr>
          <w:bCs/>
          <w:iCs/>
          <w:u w:val="single"/>
        </w:rPr>
        <w:t>Construction Agent's</w:t>
      </w:r>
      <w:r>
        <w:rPr>
          <w:iCs/>
          <w:u w:val="single"/>
        </w:rPr>
        <w:t xml:space="preserve"> Inability to Perform</w:t>
      </w:r>
      <w:r>
        <w:rPr>
          <w:iCs/>
        </w:rPr>
        <w:t xml:space="preserve">.  If any proceeding is instituted against </w:t>
      </w:r>
      <w:r>
        <w:rPr>
          <w:bCs/>
          <w:iCs/>
        </w:rPr>
        <w:t>Construction Agent</w:t>
      </w:r>
      <w:r>
        <w:rPr>
          <w:iCs/>
        </w:rPr>
        <w:t xml:space="preserve"> seeking to adjudicate </w:t>
      </w:r>
      <w:r>
        <w:rPr>
          <w:bCs/>
          <w:iCs/>
        </w:rPr>
        <w:t>Construction Agent</w:t>
      </w:r>
      <w:r>
        <w:rPr>
          <w:iCs/>
        </w:rPr>
        <w:t xml:space="preserve"> as a bankrupt or insolvent and such proceeding is not dismissed within 60 days of filing, or if </w:t>
      </w:r>
      <w:r>
        <w:rPr>
          <w:bCs/>
          <w:iCs/>
        </w:rPr>
        <w:t>Construction Agent</w:t>
      </w:r>
      <w:r>
        <w:rPr>
          <w:iCs/>
        </w:rPr>
        <w:t xml:space="preserve"> makes a general assignment for the benefit of its creditors, or if a receiver is appointed on account of the insolvency of </w:t>
      </w:r>
      <w:r>
        <w:rPr>
          <w:bCs/>
          <w:iCs/>
        </w:rPr>
        <w:t>Construction Agent</w:t>
      </w:r>
      <w:r>
        <w:rPr>
          <w:iCs/>
        </w:rPr>
        <w:t xml:space="preserve">, or if </w:t>
      </w:r>
      <w:r>
        <w:rPr>
          <w:bCs/>
          <w:iCs/>
        </w:rPr>
        <w:t>Construction Agent</w:t>
      </w:r>
      <w:r>
        <w:rPr>
          <w:iCs/>
        </w:rPr>
        <w:t xml:space="preserve"> files a petition seeking to take advantage of any other applicable law relating to bankruptcy, insolvency, reorganization, winding up or composition or readjustment of debts, or if </w:t>
      </w:r>
      <w:r>
        <w:rPr>
          <w:bCs/>
          <w:iCs/>
        </w:rPr>
        <w:t>Construction Agent</w:t>
      </w:r>
      <w:r>
        <w:rPr>
          <w:iCs/>
        </w:rPr>
        <w:t xml:space="preserve"> is unable to pay its debts when due or as they mature, then Contractor may terminate this Contract effective immediately upon giving written notice of such termination to </w:t>
      </w:r>
      <w:r>
        <w:rPr>
          <w:bCs/>
          <w:iCs/>
        </w:rPr>
        <w:t>Construction Agent</w:t>
      </w:r>
      <w:r>
        <w:rPr>
          <w:iCs/>
        </w:rPr>
        <w:t>.  Any such termination shall be without prejudice to any accrued rights, powers or remedies of either Party under this Contract.</w:t>
      </w:r>
    </w:p>
    <w:p>
      <w:pPr>
        <w:pStyle w:val="Normal"/>
        <w:ind w:firstLine="720" w:end="0"/>
        <w:jc w:val="both"/>
        <w:rPr>
          <w:iCs/>
        </w:rPr>
      </w:pPr>
      <w:r>
        <w:rPr>
          <w:iCs/>
        </w:rPr>
      </w:r>
    </w:p>
    <w:p>
      <w:pPr>
        <w:pStyle w:val="Normal"/>
        <w:ind w:firstLine="720" w:end="0"/>
        <w:jc w:val="both"/>
        <w:rPr/>
      </w:pPr>
      <w:r>
        <w:rPr>
          <w:iCs/>
        </w:rPr>
        <w:t>16.2.2.</w:t>
        <w:tab/>
      </w:r>
      <w:r>
        <w:rPr>
          <w:iCs/>
          <w:u w:val="single"/>
        </w:rPr>
        <w:t xml:space="preserve">Termination for </w:t>
      </w:r>
      <w:r>
        <w:rPr>
          <w:bCs/>
          <w:iCs/>
          <w:u w:val="single"/>
        </w:rPr>
        <w:t>Construction Agent</w:t>
      </w:r>
      <w:r>
        <w:rPr>
          <w:iCs/>
          <w:u w:val="single"/>
        </w:rPr>
        <w:t>’s Failure to Perform</w:t>
      </w:r>
      <w:r>
        <w:rPr>
          <w:iCs/>
        </w:rPr>
        <w:t>.  If:</w:t>
      </w:r>
    </w:p>
    <w:p>
      <w:pPr>
        <w:pStyle w:val="Normal"/>
        <w:jc w:val="both"/>
        <w:rPr>
          <w:iCs/>
        </w:rPr>
      </w:pPr>
      <w:r>
        <w:rPr>
          <w:iCs/>
        </w:rPr>
      </w:r>
    </w:p>
    <w:p>
      <w:pPr>
        <w:pStyle w:val="Normal"/>
        <w:ind w:hanging="720" w:start="2160" w:end="0"/>
        <w:jc w:val="both"/>
        <w:rPr/>
      </w:pPr>
      <w:r>
        <w:rPr/>
        <w:t>(a)</w:t>
        <w:tab/>
      </w:r>
      <w:r>
        <w:rPr>
          <w:bCs/>
          <w:iCs/>
        </w:rPr>
        <w:t>Construction Agent</w:t>
      </w:r>
      <w:r>
        <w:rPr/>
        <w:t xml:space="preserve"> fails to pay Contractor any undisputed amount due under any invoice within 30 days after the amount became due and payable,</w:t>
      </w:r>
    </w:p>
    <w:p>
      <w:pPr>
        <w:pStyle w:val="Normal"/>
        <w:ind w:hanging="720" w:start="2160" w:end="0"/>
        <w:jc w:val="both"/>
        <w:rPr/>
      </w:pPr>
      <w:r>
        <w:rPr/>
      </w:r>
    </w:p>
    <w:p>
      <w:pPr>
        <w:pStyle w:val="Normal"/>
        <w:ind w:hanging="720" w:start="2160" w:end="0"/>
        <w:jc w:val="both"/>
        <w:rPr/>
      </w:pPr>
      <w:r>
        <w:rPr/>
        <w:t>(b)</w:t>
        <w:tab/>
      </w:r>
      <w:r>
        <w:rPr>
          <w:bCs/>
          <w:iCs/>
        </w:rPr>
        <w:t>Construction Agent</w:t>
      </w:r>
      <w:r>
        <w:rPr/>
        <w:t xml:space="preserve"> fails to observe or perform any of its material covenants or agreements contained in this Contract (other than for payments to Contractor), or</w:t>
      </w:r>
    </w:p>
    <w:p>
      <w:pPr>
        <w:pStyle w:val="Normal"/>
        <w:ind w:hanging="720" w:start="2160" w:end="0"/>
        <w:jc w:val="both"/>
        <w:rPr/>
      </w:pPr>
      <w:r>
        <w:rPr/>
      </w:r>
    </w:p>
    <w:p>
      <w:pPr>
        <w:pStyle w:val="Normal"/>
        <w:ind w:hanging="720" w:start="2160" w:end="0"/>
        <w:jc w:val="both"/>
        <w:rPr/>
      </w:pPr>
      <w:r>
        <w:rPr/>
        <w:t>(c)</w:t>
        <w:tab/>
        <w:t xml:space="preserve">any material representation or warranty of </w:t>
      </w:r>
      <w:r>
        <w:rPr>
          <w:bCs/>
          <w:iCs/>
        </w:rPr>
        <w:t>Construction Agent</w:t>
      </w:r>
      <w:r>
        <w:rPr/>
        <w:t xml:space="preserve"> shall have been incorrect as of the date made and shall remain incorrect at the time in question, </w:t>
      </w:r>
    </w:p>
    <w:p>
      <w:pPr>
        <w:pStyle w:val="Normal"/>
        <w:ind w:hanging="720" w:start="2160" w:end="0"/>
        <w:jc w:val="both"/>
        <w:rPr/>
      </w:pPr>
      <w:r>
        <w:rPr/>
      </w:r>
    </w:p>
    <w:p>
      <w:pPr>
        <w:pStyle w:val="Normal"/>
        <w:jc w:val="both"/>
        <w:rPr/>
      </w:pPr>
      <w:r>
        <w:rPr/>
        <w:t>then,</w:t>
      </w:r>
    </w:p>
    <w:p>
      <w:pPr>
        <w:pStyle w:val="Normal"/>
        <w:jc w:val="both"/>
        <w:rPr/>
      </w:pPr>
      <w:r>
        <w:rPr/>
      </w:r>
    </w:p>
    <w:p>
      <w:pPr>
        <w:pStyle w:val="Normal"/>
        <w:ind w:hanging="720" w:start="2880" w:end="0"/>
        <w:jc w:val="both"/>
        <w:rPr/>
      </w:pPr>
      <w:r>
        <w:rPr/>
        <w:t>(i)</w:t>
        <w:tab/>
        <w:t>immediately, upon such failure to pay described in Section 16.2.2(a), or</w:t>
      </w:r>
    </w:p>
    <w:p>
      <w:pPr>
        <w:pStyle w:val="Normal"/>
        <w:ind w:hanging="720" w:start="2880" w:end="0"/>
        <w:jc w:val="both"/>
        <w:rPr/>
      </w:pPr>
      <w:r>
        <w:rPr/>
      </w:r>
    </w:p>
    <w:p>
      <w:pPr>
        <w:pStyle w:val="Normal"/>
        <w:ind w:hanging="720" w:start="2880" w:end="0"/>
        <w:jc w:val="both"/>
        <w:rPr/>
      </w:pPr>
      <w:r>
        <w:rPr/>
        <w:t>(ii)</w:t>
        <w:tab/>
        <w:t xml:space="preserve">upon the occurrence of an event or condition described in Section 16.2.2(b) or (c), provided Construction Agent fails to correct such condition within 30 days of receipt of written notice from Contractor stating the nature of the condition and requiring Construction Agent to remedy the same or, if such default is a default not capable of being remedied within such 30 days, to diligently commence </w:t>
      </w:r>
      <w:r>
        <w:rPr>
          <w:bCs/>
          <w:iCs/>
        </w:rPr>
        <w:t>through the exercise of reasonable efforts to correct</w:t>
      </w:r>
      <w:r>
        <w:rPr/>
        <w:t xml:space="preserve"> within 30 days of receipt of such written notice and to complete the correction within 60 days after receipt of such notice,</w:t>
      </w:r>
    </w:p>
    <w:p>
      <w:pPr>
        <w:pStyle w:val="Normal"/>
        <w:jc w:val="both"/>
        <w:rPr/>
      </w:pPr>
      <w:r>
        <w:rPr/>
      </w:r>
    </w:p>
    <w:p>
      <w:pPr>
        <w:pStyle w:val="Normal"/>
        <w:jc w:val="both"/>
        <w:rPr/>
      </w:pPr>
      <w:r>
        <w:rPr/>
        <w:t xml:space="preserve">Contractor may, after giving </w:t>
      </w:r>
      <w:r>
        <w:rPr>
          <w:bCs/>
          <w:iCs/>
        </w:rPr>
        <w:t>Construction Agent</w:t>
      </w:r>
      <w:r>
        <w:rPr/>
        <w:t xml:space="preserve"> five Business Days’ notice thereof, so long as such default continues uncured, terminate this Contract.</w:t>
      </w:r>
    </w:p>
    <w:p>
      <w:pPr>
        <w:pStyle w:val="Normal"/>
        <w:rPr>
          <w:bCs/>
          <w:iCs/>
          <w:u w:val="single"/>
        </w:rPr>
      </w:pPr>
      <w:r>
        <w:rPr>
          <w:bCs/>
          <w:iCs/>
          <w:u w:val="single"/>
        </w:rPr>
      </w:r>
    </w:p>
    <w:p>
      <w:pPr>
        <w:pStyle w:val="Normal"/>
        <w:ind w:firstLine="720" w:end="0"/>
        <w:jc w:val="both"/>
        <w:rPr/>
      </w:pPr>
      <w:r>
        <w:rPr>
          <w:bCs/>
          <w:iCs/>
        </w:rPr>
        <w:t>16.2.3.</w:t>
        <w:tab/>
      </w:r>
      <w:r>
        <w:rPr>
          <w:bCs/>
          <w:iCs/>
          <w:u w:val="single"/>
        </w:rPr>
        <w:t>Contractor’s Remedies</w:t>
      </w:r>
      <w:r>
        <w:rPr>
          <w:bCs/>
          <w:iCs/>
        </w:rPr>
        <w:t xml:space="preserve">.  If this Contract is terminated pursuant to the provisions of this Section 16.2, then Contractor </w:t>
      </w:r>
      <w:r>
        <w:rPr>
          <w:color w:val="000000"/>
          <w:szCs w:val="24"/>
        </w:rPr>
        <w:t xml:space="preserve">waives any claims for consequential damages, including any loss of anticipated profits for uncompleted Work, and accepts as the aggregate liability of </w:t>
      </w:r>
      <w:r>
        <w:rPr>
          <w:bCs/>
          <w:iCs/>
        </w:rPr>
        <w:t>Construction Agent</w:t>
      </w:r>
      <w:r>
        <w:rPr>
          <w:color w:val="000000"/>
          <w:szCs w:val="24"/>
        </w:rPr>
        <w:t xml:space="preserve"> an amount equal to the total of all actual reasonable expenses incurred by Contractor pursuant to this Contract through the date of termination, together with profit at a rate of 10% thereon, for all Work (including any work in progress, components and other supplies specifically purchased, prepared or fabricated off the Site for the Facility and not returned to vendor's stock, or Equipment for subsequent incorporation into the Work at the Site, and </w:t>
      </w:r>
      <w:r>
        <w:rPr>
          <w:bCs/>
          <w:iCs/>
        </w:rPr>
        <w:t>any other expenditure reasonably incurred by Contractor in the expectation of the performance of this Contract to the extent not covered by the foregoing</w:t>
      </w:r>
      <w:r>
        <w:rPr>
          <w:iCs/>
          <w:color w:val="000000"/>
          <w:szCs w:val="24"/>
        </w:rPr>
        <w:t>)</w:t>
      </w:r>
      <w:r>
        <w:rPr>
          <w:color w:val="000000"/>
          <w:szCs w:val="24"/>
        </w:rPr>
        <w:t xml:space="preserve"> performed in accordance with the requirements of this Contract by Contractor and its Subcontractors as of the effective date of termination, 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w:t>
      </w:r>
      <w:r>
        <w:rPr>
          <w:bCs/>
          <w:iCs/>
        </w:rPr>
        <w:t>Construction Agent</w:t>
      </w:r>
      <w:r>
        <w:rPr>
          <w:color w:val="000000"/>
          <w:szCs w:val="24"/>
        </w:rPr>
        <w:t xml:space="preserve"> (or its representatives) of Contractor's claimed costs and expenses and less any amount owed by Contractor to Construction Agent as of the date of termination.  </w:t>
      </w:r>
      <w:r>
        <w:rPr>
          <w:bCs/>
          <w:iCs/>
        </w:rPr>
        <w:t xml:space="preserve">In no event shall the total of the amounts to which the Contractor shall become entitled under the preceding sentence of this Section 16.2.3 ever exceed the unpaid portion of the Contract Price.  </w:t>
      </w:r>
      <w:r>
        <w:rPr>
          <w:color w:val="000000"/>
          <w:szCs w:val="24"/>
        </w:rPr>
        <w:t xml:space="preserve">Contractor shall use reasonable efforts to minimize any such costs of termination.  </w:t>
      </w:r>
      <w:r>
        <w:rPr>
          <w:bCs/>
          <w:iCs/>
        </w:rPr>
        <w:t>Construction Agent</w:t>
      </w:r>
      <w:r>
        <w:rPr>
          <w:color w:val="000000"/>
          <w:szCs w:val="24"/>
        </w:rPr>
        <w:t xml:space="preserve"> shall have the option of having all or any Work delivered to the Site or, at </w:t>
      </w:r>
      <w:r>
        <w:rPr>
          <w:bCs/>
          <w:iCs/>
        </w:rPr>
        <w:t>Construction Agent</w:t>
      </w:r>
      <w:r>
        <w:rPr>
          <w:color w:val="000000"/>
          <w:szCs w:val="24"/>
        </w:rPr>
        <w:t xml:space="preserve">'s expense, to such other place as </w:t>
      </w:r>
      <w:r>
        <w:rPr>
          <w:bCs/>
          <w:iCs/>
        </w:rPr>
        <w:t>Construction Agent</w:t>
      </w:r>
      <w:r>
        <w:rPr>
          <w:color w:val="000000"/>
          <w:szCs w:val="24"/>
        </w:rPr>
        <w:t xml:space="preserve"> shall</w:t>
      </w:r>
      <w:r>
        <w:rPr>
          <w:b/>
          <w:bCs/>
          <w:color w:val="000000"/>
          <w:szCs w:val="24"/>
        </w:rPr>
        <w:t xml:space="preserve"> </w:t>
      </w:r>
      <w:r>
        <w:rPr>
          <w:color w:val="000000"/>
          <w:szCs w:val="24"/>
        </w:rPr>
        <w:t xml:space="preserve">reasonably direct.  Payments for termination under Section 16.2 shall be due Contractor within fifteen (15) days of Owner's receipt and acceptance of a substantiated, itemized invoice and the delivery of any </w:t>
      </w:r>
      <w:r>
        <w:rPr>
          <w:bCs/>
          <w:iCs/>
        </w:rPr>
        <w:t>Work executed as of the date of termination.</w:t>
      </w:r>
    </w:p>
    <w:p>
      <w:pPr>
        <w:pStyle w:val="Normal"/>
        <w:ind w:firstLine="720" w:end="0"/>
        <w:jc w:val="both"/>
        <w:rPr>
          <w:bCs/>
          <w:iCs/>
        </w:rPr>
      </w:pPr>
      <w:r>
        <w:rPr>
          <w:bCs/>
          <w:iCs/>
        </w:rPr>
      </w:r>
    </w:p>
    <w:p>
      <w:pPr>
        <w:pStyle w:val="Normal"/>
        <w:ind w:firstLine="720" w:end="0"/>
        <w:jc w:val="both"/>
        <w:rPr/>
      </w:pPr>
      <w:r>
        <w:rPr>
          <w:bCs/>
          <w:iCs/>
        </w:rPr>
        <w:t>16.2.4.</w:t>
        <w:tab/>
      </w:r>
      <w:r>
        <w:rPr>
          <w:bCs/>
          <w:iCs/>
          <w:u w:val="single"/>
        </w:rPr>
        <w:t>Removal of Contractor’s Equipment</w:t>
      </w:r>
      <w:r>
        <w:rPr>
          <w:bCs/>
          <w:iCs/>
        </w:rPr>
        <w:t>.  If this Contract is terminated pursuant to the provisions of Section 16.2.1 or 16.2.2, Contractor shall be entitled to remove immediately Contractor’s Equipment and any temporary work on the Site.</w:t>
      </w:r>
    </w:p>
    <w:p>
      <w:pPr>
        <w:pStyle w:val="Heading2"/>
        <w:ind w:hanging="0" w:start="0"/>
        <w:rPr/>
      </w:pPr>
      <w:bookmarkStart w:id="134" w:name="__RefHeading___Toc496435236"/>
      <w:bookmarkEnd w:id="134"/>
      <w:r>
        <w:rPr/>
        <w:t>Section 16.3</w:t>
        <w:tab/>
        <w:t>Suspension of Work.</w:t>
      </w:r>
    </w:p>
    <w:p>
      <w:pPr>
        <w:pStyle w:val="Normal"/>
        <w:ind w:firstLine="720" w:end="0"/>
        <w:rPr/>
      </w:pPr>
      <w:r>
        <w:rPr>
          <w:bCs/>
          <w:iCs/>
        </w:rPr>
        <w:t>16.3.1.</w:t>
        <w:tab/>
      </w:r>
      <w:r>
        <w:rPr>
          <w:bCs/>
          <w:iCs/>
          <w:u w:val="single"/>
        </w:rPr>
        <w:t>Suspension of Work by Construction Agent</w:t>
      </w:r>
      <w:r>
        <w:rPr>
          <w:bCs/>
          <w:iCs/>
        </w:rPr>
        <w:t>.</w:t>
      </w:r>
    </w:p>
    <w:p>
      <w:pPr>
        <w:pStyle w:val="Normal"/>
        <w:rPr>
          <w:bCs/>
          <w:iCs/>
        </w:rPr>
      </w:pPr>
      <w:r>
        <w:rPr>
          <w:bCs/>
          <w:iCs/>
        </w:rPr>
      </w:r>
    </w:p>
    <w:p>
      <w:pPr>
        <w:pStyle w:val="Normal"/>
        <w:ind w:hanging="720" w:start="2160" w:end="0"/>
        <w:jc w:val="both"/>
        <w:rPr>
          <w:bCs/>
          <w:iCs/>
        </w:rPr>
      </w:pPr>
      <w:r>
        <w:rPr>
          <w:bCs/>
          <w:iCs/>
        </w:rPr>
        <w:t>(a)</w:t>
        <w:tab/>
        <w:t>Construction Agent may, at any time and from time to time and for any reason, by written notice to Contractor, suspend the carrying out of the Work or any part thereof.  Contractor shall, on such written notice of Construction Agent, suspend the carrying out of the Work or any part thereof for such time and in such manner as Construction Agent may require and shall during any such suspension properly protect and secure the Work in accordance with GIP.</w:t>
      </w:r>
    </w:p>
    <w:p>
      <w:pPr>
        <w:pStyle w:val="Normal"/>
        <w:ind w:hanging="720" w:start="2160" w:end="0"/>
        <w:rPr>
          <w:bCs/>
          <w:iCs/>
        </w:rPr>
      </w:pPr>
      <w:r>
        <w:rPr>
          <w:bCs/>
          <w:iCs/>
        </w:rPr>
      </w:r>
    </w:p>
    <w:p>
      <w:pPr>
        <w:pStyle w:val="Normal"/>
        <w:ind w:hanging="720" w:start="2160" w:end="0"/>
        <w:jc w:val="both"/>
        <w:rPr>
          <w:bCs/>
          <w:iCs/>
        </w:rPr>
      </w:pPr>
      <w:r>
        <w:rPr>
          <w:bCs/>
          <w:iCs/>
        </w:rPr>
        <w:t>(b)</w:t>
        <w:tab/>
        <w:t>Construction Agent may at any time following a suspension give notice to Contractor to proceed with the Work previously suspended.</w:t>
      </w:r>
    </w:p>
    <w:p>
      <w:pPr>
        <w:pStyle w:val="Normal"/>
        <w:ind w:hanging="720" w:start="2160" w:end="0"/>
        <w:jc w:val="both"/>
        <w:rPr>
          <w:bCs/>
          <w:iCs/>
        </w:rPr>
      </w:pPr>
      <w:r>
        <w:rPr>
          <w:bCs/>
          <w:iCs/>
        </w:rPr>
      </w:r>
    </w:p>
    <w:p>
      <w:pPr>
        <w:pStyle w:val="Normal"/>
        <w:ind w:hanging="720" w:start="2160" w:end="0"/>
        <w:jc w:val="both"/>
        <w:rPr>
          <w:bCs/>
          <w:iCs/>
        </w:rPr>
      </w:pPr>
      <w:r>
        <w:rPr>
          <w:bCs/>
          <w:iCs/>
        </w:rPr>
        <w:t>(c)</w:t>
        <w:tab/>
        <w:t>Upon receipt of any such notice to proceed, Contractor shall examine any Equipment delivered to Contractor that was adversely affected by the suspension and shall, at Construction Agent’s expense, make good any deterioration of or damage to such Equipment that may have occurred during the suspension (unless resulting from any breach by Contractor of its obligations to protect and secure the Work) and, subject to Section 16.3.3, shall proceed with the Work previously suspended.</w:t>
      </w:r>
    </w:p>
    <w:p>
      <w:pPr>
        <w:pStyle w:val="Normal"/>
        <w:rPr>
          <w:bCs/>
          <w:iCs/>
          <w:u w:val="single"/>
        </w:rPr>
      </w:pPr>
      <w:r>
        <w:rPr>
          <w:bCs/>
          <w:iCs/>
          <w:u w:val="single"/>
        </w:rPr>
      </w:r>
    </w:p>
    <w:p>
      <w:pPr>
        <w:pStyle w:val="Normal"/>
        <w:ind w:firstLine="720" w:end="0"/>
        <w:rPr/>
      </w:pPr>
      <w:r>
        <w:rPr>
          <w:bCs/>
          <w:iCs/>
        </w:rPr>
        <w:t>16.3.2.</w:t>
        <w:tab/>
      </w:r>
      <w:r>
        <w:rPr>
          <w:bCs/>
          <w:iCs/>
          <w:u w:val="single"/>
        </w:rPr>
        <w:t>Suspension of Work by Contractor</w:t>
      </w:r>
      <w:r>
        <w:rPr>
          <w:bCs/>
          <w:iCs/>
        </w:rPr>
        <w:t>.</w:t>
      </w:r>
    </w:p>
    <w:p>
      <w:pPr>
        <w:pStyle w:val="Normal"/>
        <w:rPr>
          <w:bCs/>
          <w:iCs/>
        </w:rPr>
      </w:pPr>
      <w:r>
        <w:rPr>
          <w:bCs/>
          <w:iCs/>
        </w:rPr>
      </w:r>
    </w:p>
    <w:p>
      <w:pPr>
        <w:pStyle w:val="Normal"/>
        <w:ind w:hanging="720" w:start="2160" w:end="0"/>
        <w:jc w:val="both"/>
        <w:rPr/>
      </w:pPr>
      <w:r>
        <w:rPr>
          <w:iCs/>
        </w:rPr>
        <w:t>(a)</w:t>
        <w:tab/>
        <w:t xml:space="preserve">Contractor may, by giving 15 days notice in writing to </w:t>
      </w:r>
      <w:r>
        <w:rPr>
          <w:bCs/>
          <w:iCs/>
        </w:rPr>
        <w:t>Construction Agent</w:t>
      </w:r>
      <w:r>
        <w:rPr>
          <w:iCs/>
        </w:rPr>
        <w:t xml:space="preserve">, suspend the carrying out of the Work or any part thereof if </w:t>
      </w:r>
      <w:r>
        <w:rPr>
          <w:bCs/>
          <w:iCs/>
        </w:rPr>
        <w:t>Construction Agent</w:t>
      </w:r>
      <w:r>
        <w:rPr>
          <w:iCs/>
        </w:rPr>
        <w:t xml:space="preserve"> or Owner fails to pay Contractor any undisputed amount due under any invoice within 30 days after the amount becomes payable under this Contract, unless prior to the end of the 15 day notice period </w:t>
      </w:r>
      <w:r>
        <w:rPr>
          <w:bCs/>
          <w:iCs/>
        </w:rPr>
        <w:t>Construction Agent</w:t>
      </w:r>
      <w:r>
        <w:rPr>
          <w:iCs/>
        </w:rPr>
        <w:t xml:space="preserve"> or Owner has paid the overdue amount.  During any such suspension, Contractor shall properly protect and secure the Work in accordance with GIP.</w:t>
      </w:r>
    </w:p>
    <w:p>
      <w:pPr>
        <w:pStyle w:val="Normal"/>
        <w:ind w:hanging="720" w:start="2160" w:end="0"/>
        <w:jc w:val="both"/>
        <w:rPr>
          <w:iCs/>
        </w:rPr>
      </w:pPr>
      <w:r>
        <w:rPr>
          <w:iCs/>
        </w:rPr>
      </w:r>
    </w:p>
    <w:p>
      <w:pPr>
        <w:pStyle w:val="Normal"/>
        <w:ind w:hanging="720" w:start="2160" w:end="0"/>
        <w:jc w:val="both"/>
        <w:rPr/>
      </w:pPr>
      <w:r>
        <w:rPr>
          <w:iCs/>
        </w:rPr>
        <w:t>(b)</w:t>
        <w:tab/>
        <w:t xml:space="preserve">Upon payment by </w:t>
      </w:r>
      <w:r>
        <w:rPr>
          <w:bCs/>
          <w:iCs/>
        </w:rPr>
        <w:t>Construction Agent</w:t>
      </w:r>
      <w:r>
        <w:rPr>
          <w:iCs/>
        </w:rPr>
        <w:t xml:space="preserve"> or Owner of such overdue amount, Contractor shall examine the Equipment delivered to Contractor affected by the suspension and shall, at </w:t>
      </w:r>
      <w:r>
        <w:rPr>
          <w:bCs/>
          <w:iCs/>
        </w:rPr>
        <w:t>Construction Agent</w:t>
      </w:r>
      <w:r>
        <w:rPr>
          <w:iCs/>
        </w:rPr>
        <w:t>’s expense, make good any deterioration or damage to or of such Equipment that may have occurred during the suspension (unless resulting from any breach by Contractor of its obligations to protect and secure the Work) and, subject to Section 16.3.3, shall proceed with the Work previously suspended.</w:t>
      </w:r>
    </w:p>
    <w:p>
      <w:pPr>
        <w:pStyle w:val="Normal"/>
        <w:jc w:val="both"/>
        <w:rPr>
          <w:iCs/>
          <w:u w:val="single"/>
        </w:rPr>
      </w:pPr>
      <w:r>
        <w:rPr>
          <w:iCs/>
          <w:u w:val="single"/>
        </w:rPr>
      </w:r>
    </w:p>
    <w:p>
      <w:pPr>
        <w:pStyle w:val="Normal"/>
        <w:ind w:firstLine="720" w:end="0"/>
        <w:jc w:val="both"/>
        <w:rPr/>
      </w:pPr>
      <w:r>
        <w:rPr>
          <w:iCs/>
        </w:rPr>
        <w:t>16.3.3.</w:t>
        <w:tab/>
      </w:r>
      <w:r>
        <w:rPr>
          <w:iCs/>
          <w:u w:val="single"/>
        </w:rPr>
        <w:t>Adjustment and Compensation for Suspension</w:t>
      </w:r>
      <w:r>
        <w:rPr>
          <w:iCs/>
        </w:rPr>
        <w:t xml:space="preserve">.  In the event of a suspension of the Work pursuant to this Section 16.3, Contractor and </w:t>
      </w:r>
      <w:r>
        <w:rPr>
          <w:bCs/>
          <w:iCs/>
        </w:rPr>
        <w:t>Construction Agent</w:t>
      </w:r>
      <w:r>
        <w:rPr>
          <w:iCs/>
        </w:rPr>
        <w:t xml:space="preserve"> shall negotiate in good faith to agree upon reasonable staffing, including laborers, to be retained by Contractor at or near the Site and a reasonable monthly suspension fee to be paid to Contractor by </w:t>
      </w:r>
      <w:r>
        <w:rPr>
          <w:bCs/>
          <w:iCs/>
        </w:rPr>
        <w:t>Construction Agent</w:t>
      </w:r>
      <w:r>
        <w:rPr>
          <w:iCs/>
        </w:rPr>
        <w:t xml:space="preserve"> to cover such staffing expense during the period of any such suspension.  In the event that the Parties do not agree upon such terms and conditions within 30 days following such suspension, the notice of suspension shall be treated as a Change Order Direction delivered by Owner to Contractor pursuant to Section 6.2.1 and Contractor shall proceed to maintain reasonable staffing, including laborers, at or near the Site as deemed requested by </w:t>
      </w:r>
      <w:r>
        <w:rPr>
          <w:bCs/>
          <w:iCs/>
        </w:rPr>
        <w:t>Construction Agent,</w:t>
      </w:r>
      <w:r>
        <w:rPr>
          <w:iCs/>
        </w:rPr>
        <w:t xml:space="preserve"> and such deemed Change Order Direction shall be subject to dispute resolution in accordance with the provisions of Article 19.  Upon receipt of notice to proceed pursuant to Section 16.3.1(b) or upon receipt of payment by </w:t>
      </w:r>
      <w:r>
        <w:rPr>
          <w:bCs/>
          <w:iCs/>
        </w:rPr>
        <w:t>Construction Agent</w:t>
      </w:r>
      <w:r>
        <w:rPr>
          <w:iCs/>
        </w:rPr>
        <w:t xml:space="preserve"> or Owner of any overdue amount pursuant to Section 16.3.2(b), as a condition to resuming the Work, Contractor shall be entitled to a Change Order pursuant to Section 6.3.1 to reflect any Changes appropriate in respect of such suspension (without duplication of any suspension fee or other compensation provided by this Section 16.3.3).</w:t>
      </w:r>
    </w:p>
    <w:p>
      <w:pPr>
        <w:pStyle w:val="Normal"/>
        <w:jc w:val="both"/>
        <w:rPr>
          <w:iCs/>
          <w:u w:val="single"/>
        </w:rPr>
      </w:pPr>
      <w:r>
        <w:rPr>
          <w:iCs/>
          <w:u w:val="single"/>
        </w:rPr>
      </w:r>
    </w:p>
    <w:p>
      <w:pPr>
        <w:pStyle w:val="Normal"/>
        <w:ind w:firstLine="720" w:end="0"/>
        <w:jc w:val="both"/>
        <w:rPr/>
      </w:pPr>
      <w:r>
        <w:rPr>
          <w:iCs/>
        </w:rPr>
        <w:t>16.3.4.</w:t>
        <w:tab/>
      </w:r>
      <w:r>
        <w:rPr>
          <w:iCs/>
          <w:u w:val="single"/>
        </w:rPr>
        <w:t>Termination for Continuing Suspension</w:t>
      </w:r>
      <w:r>
        <w:rPr>
          <w:iCs/>
        </w:rPr>
        <w:t xml:space="preserve">.  Notwithstanding that Contractor may have become entitled to appropriate Changes in respect of a suspension or suspensions pursuant to Section 16.3.3, if, at any time after the NTP Effective Date, pursuant to Section 16.3.1 or Section 16.3.2 suspension of the Work under this Contract shall have extended for a continuous period of 12 months, then Contractor may at any time thereafter, provided such suspension continues, upon five Business Days' written notice to </w:t>
      </w:r>
      <w:r>
        <w:rPr>
          <w:bCs/>
          <w:iCs/>
        </w:rPr>
        <w:t>Construction Agent</w:t>
      </w:r>
      <w:r>
        <w:rPr>
          <w:iCs/>
        </w:rPr>
        <w:t>, terminate this Contract.  In the event of a termination of this Contract pursuant to this Section 16.3.4, Contractor shall be entitled to payment of the same</w:t>
      </w:r>
      <w:r>
        <w:rPr/>
        <w:t xml:space="preserve"> amounts as if the performance of the Work had been terminated by </w:t>
      </w:r>
      <w:r>
        <w:rPr>
          <w:bCs/>
          <w:iCs/>
        </w:rPr>
        <w:t>Construction Agent</w:t>
      </w:r>
      <w:r>
        <w:rPr/>
        <w:t xml:space="preserve"> under Section 16.4.</w:t>
      </w:r>
    </w:p>
    <w:p>
      <w:pPr>
        <w:pStyle w:val="Heading2"/>
        <w:ind w:hanging="0" w:start="0"/>
        <w:rPr/>
      </w:pPr>
      <w:bookmarkStart w:id="135" w:name="__RefHeading___Toc496435237"/>
      <w:bookmarkEnd w:id="135"/>
      <w:r>
        <w:rPr/>
        <w:t>Section 16.4.</w:t>
        <w:tab/>
        <w:t>Other Termination.</w:t>
      </w:r>
    </w:p>
    <w:p>
      <w:pPr>
        <w:pStyle w:val="Normal"/>
        <w:ind w:firstLine="720" w:end="0"/>
        <w:jc w:val="both"/>
        <w:rPr/>
      </w:pPr>
      <w:r>
        <w:rPr/>
        <w:t>16.4.1.</w:t>
        <w:tab/>
      </w:r>
      <w:r>
        <w:rPr>
          <w:u w:val="single"/>
        </w:rPr>
        <w:t xml:space="preserve">Optional Termination by </w:t>
      </w:r>
      <w:r>
        <w:rPr>
          <w:bCs/>
          <w:iCs/>
          <w:u w:val="single"/>
        </w:rPr>
        <w:t>Construction Agent</w:t>
      </w:r>
      <w:r>
        <w:rPr/>
        <w:t xml:space="preserve">.  </w:t>
      </w:r>
      <w:r>
        <w:rPr>
          <w:bCs/>
          <w:iCs/>
        </w:rPr>
        <w:t>Construction Agent</w:t>
      </w:r>
      <w:r>
        <w:rPr/>
        <w:t xml:space="preserve"> may terminate this Contract at any time by written notice to Contractor.  Upon receipt of any such notice, Contractor shall, unless the notice directs otherwise:</w:t>
      </w:r>
    </w:p>
    <w:p>
      <w:pPr>
        <w:pStyle w:val="Normal"/>
        <w:jc w:val="both"/>
        <w:rPr/>
      </w:pPr>
      <w:r>
        <w:rPr/>
      </w:r>
    </w:p>
    <w:p>
      <w:pPr>
        <w:pStyle w:val="Normal"/>
        <w:ind w:hanging="720" w:start="2160" w:end="0"/>
        <w:jc w:val="both"/>
        <w:rPr/>
      </w:pPr>
      <w:r>
        <w:rPr/>
        <w:t>(a)</w:t>
        <w:tab/>
      </w:r>
      <w:r>
        <w:rPr>
          <w:bCs/>
          <w:iCs/>
        </w:rPr>
        <w:t xml:space="preserve">immediately discontinue the Work </w:t>
      </w:r>
      <w:r>
        <w:rPr/>
        <w:t>on the date and to the extent specified in such notice,</w:t>
      </w:r>
      <w:r>
        <w:rPr>
          <w:bCs/>
          <w:iCs/>
        </w:rPr>
        <w:t xml:space="preserve"> except for such Work as Construction Agent may specify in the termination notice as may be reasonably necessary to preserve and protect Work already in progress and to protect Equipment and Free Issue Equipment at the Site or in transit thereto and for which Construction Agent shall remain liable to Contractor subject to the provisions of Section 16.4.2; </w:t>
      </w:r>
    </w:p>
    <w:p>
      <w:pPr>
        <w:pStyle w:val="Normal"/>
        <w:ind w:hanging="720" w:start="2160" w:end="0"/>
        <w:jc w:val="both"/>
        <w:rPr/>
      </w:pPr>
      <w:r>
        <w:rPr/>
      </w:r>
    </w:p>
    <w:p>
      <w:pPr>
        <w:pStyle w:val="Normal"/>
        <w:ind w:hanging="720" w:start="2160" w:end="0"/>
        <w:jc w:val="both"/>
        <w:rPr/>
      </w:pPr>
      <w:r>
        <w:rPr/>
        <w:t>(b)</w:t>
        <w:tab/>
        <w:t>place no further orders or enter into Subcontracts for Work or Equipment;</w:t>
      </w:r>
    </w:p>
    <w:p>
      <w:pPr>
        <w:pStyle w:val="Normal"/>
        <w:ind w:hanging="720" w:start="2160" w:end="0"/>
        <w:jc w:val="both"/>
        <w:rPr/>
      </w:pPr>
      <w:r>
        <w:rPr/>
      </w:r>
    </w:p>
    <w:p>
      <w:pPr>
        <w:pStyle w:val="Normal"/>
        <w:ind w:hanging="720" w:start="2160" w:end="0"/>
        <w:jc w:val="both"/>
        <w:rPr/>
      </w:pPr>
      <w:r>
        <w:rPr/>
        <w:t>(c)</w:t>
        <w:tab/>
      </w:r>
      <w:r>
        <w:rPr>
          <w:bCs/>
          <w:iCs/>
        </w:rPr>
        <w:t xml:space="preserve">except those Construction Agent has designated to be assigned pursuant to subsection (d) below, </w:t>
      </w:r>
      <w:r>
        <w:rPr/>
        <w:t xml:space="preserve">promptly make every reasonable effort to procure cancellation of all orders, Subcontracts and rental agreements upon commercially reasonable terms given all the facts and circumstances, including the amount of notice and reasons, if any, given by the </w:t>
      </w:r>
      <w:r>
        <w:rPr>
          <w:bCs/>
          <w:iCs/>
        </w:rPr>
        <w:t>Construction Agent</w:t>
      </w:r>
      <w:r>
        <w:rPr/>
        <w:t xml:space="preserve"> for such termination;</w:t>
      </w:r>
    </w:p>
    <w:p>
      <w:pPr>
        <w:pStyle w:val="Normal"/>
        <w:ind w:hanging="720" w:start="2160" w:end="0"/>
        <w:jc w:val="both"/>
        <w:rPr>
          <w:bCs/>
          <w:iCs/>
        </w:rPr>
      </w:pPr>
      <w:r>
        <w:rPr>
          <w:bCs/>
          <w:iCs/>
        </w:rPr>
      </w:r>
    </w:p>
    <w:p>
      <w:pPr>
        <w:pStyle w:val="Normal"/>
        <w:ind w:hanging="720" w:start="2160" w:end="0"/>
        <w:jc w:val="both"/>
        <w:rPr>
          <w:bCs/>
          <w:iCs/>
        </w:rPr>
      </w:pPr>
      <w:r>
        <w:rPr>
          <w:bCs/>
          <w:iCs/>
        </w:rPr>
        <w:t>(d)</w:t>
        <w:tab/>
        <w:t>assign to Construction Agent, Owner, or Lender, as designated by Construction Agent, without right to further compensation therefore, title to all Work not already owned by Owner, together with all Subcontracts and other contractual agreements (including warranties) as may be designated by Owner;</w:t>
      </w:r>
    </w:p>
    <w:p>
      <w:pPr>
        <w:pStyle w:val="Normal"/>
        <w:ind w:hanging="720" w:start="2160" w:end="0"/>
        <w:jc w:val="both"/>
        <w:rPr>
          <w:bCs/>
          <w:iCs/>
        </w:rPr>
      </w:pPr>
      <w:r>
        <w:rPr>
          <w:bCs/>
          <w:iCs/>
        </w:rPr>
      </w:r>
    </w:p>
    <w:p>
      <w:pPr>
        <w:pStyle w:val="Normal"/>
        <w:ind w:hanging="720" w:start="2160" w:end="0"/>
        <w:jc w:val="both"/>
        <w:rPr>
          <w:bCs/>
          <w:iCs/>
        </w:rPr>
      </w:pPr>
      <w:r>
        <w:rPr>
          <w:bCs/>
          <w:iCs/>
        </w:rPr>
        <w:t>(e)</w:t>
        <w:tab/>
        <w:t>assign to Construction Agent, Owner, or Lender, as designated by Construction Agent, without right to further compensation therefore, to the extent assignable and subject to Sections 8.1.3 and 8.1.4 and Article 20, all issued Governmental Authorizations, patents and other proprietary rights, if any, then held by Contractor pertaining to the Facility; and</w:t>
      </w:r>
    </w:p>
    <w:p>
      <w:pPr>
        <w:pStyle w:val="Normal"/>
        <w:ind w:hanging="720" w:start="2160" w:end="0"/>
        <w:jc w:val="both"/>
        <w:rPr>
          <w:bCs/>
          <w:iCs/>
        </w:rPr>
      </w:pPr>
      <w:r>
        <w:rPr>
          <w:bCs/>
          <w:iCs/>
        </w:rPr>
      </w:r>
    </w:p>
    <w:p>
      <w:pPr>
        <w:pStyle w:val="Normal"/>
        <w:ind w:hanging="720" w:start="2160" w:end="0"/>
        <w:jc w:val="both"/>
        <w:rPr/>
      </w:pPr>
      <w:r>
        <w:rPr/>
        <w:t>(f)</w:t>
        <w:tab/>
        <w:t xml:space="preserve">to the extent not provided for in subsections (d) and (e) above, deliver to </w:t>
      </w:r>
      <w:r>
        <w:rPr>
          <w:bCs/>
          <w:iCs/>
        </w:rPr>
        <w:t>Construction Agent</w:t>
      </w:r>
      <w:r>
        <w:rPr/>
        <w:t xml:space="preserve"> all information prepared hereunder with respect to the Facility as may be reasonably requested by </w:t>
      </w:r>
      <w:r>
        <w:rPr>
          <w:bCs/>
          <w:iCs/>
        </w:rPr>
        <w:t>Construction Agent</w:t>
      </w:r>
      <w:r>
        <w:rPr/>
        <w:t xml:space="preserve"> and which has been paid for by </w:t>
      </w:r>
      <w:r>
        <w:rPr>
          <w:bCs/>
          <w:iCs/>
        </w:rPr>
        <w:t>Construction Agent</w:t>
      </w:r>
      <w:r>
        <w:rPr/>
        <w:t>, including all drawings, plans, specifications, studies, reports and other information prepared hereunder as of the date of termination</w:t>
      </w:r>
      <w:r>
        <w:rPr>
          <w:bCs/>
          <w:iCs/>
        </w:rPr>
        <w:t xml:space="preserve"> for the completion and operation of the Facility</w:t>
      </w:r>
      <w:r>
        <w:rPr/>
        <w:t>.</w:t>
      </w:r>
    </w:p>
    <w:p>
      <w:pPr>
        <w:pStyle w:val="Normal"/>
        <w:rPr>
          <w:u w:val="single"/>
        </w:rPr>
      </w:pPr>
      <w:r>
        <w:rPr>
          <w:u w:val="single"/>
        </w:rPr>
      </w:r>
    </w:p>
    <w:p>
      <w:pPr>
        <w:pStyle w:val="Normal"/>
        <w:ind w:firstLine="720" w:end="0"/>
        <w:rPr/>
      </w:pPr>
      <w:r>
        <w:rPr/>
        <w:t>16.4.2.</w:t>
        <w:tab/>
      </w:r>
      <w:r>
        <w:rPr>
          <w:u w:val="single"/>
        </w:rPr>
        <w:t>Termination for Extended Force Majeure</w:t>
      </w:r>
      <w:r>
        <w:rPr/>
        <w:t xml:space="preserve">.  </w:t>
      </w:r>
      <w:r>
        <w:rPr>
          <w:szCs w:val="24"/>
          <w:lang w:val="en-CA"/>
        </w:rPr>
      </w:r>
      <w:r>
        <w:rPr>
          <w:bCs/>
          <w:iCs/>
        </w:rPr>
        <w:t xml:space="preserve"> If either Party shall have been excused </w:t>
      </w:r>
      <w:r>
        <w:rPr>
          <w:iCs/>
        </w:rPr>
        <w:t xml:space="preserve">from the performance of its obligations under this Contract due pursuant to Section 17.2 for (a) a continuous period of 12 months, or (b) two or more non-continuous periods that in the aggregate exceed 24 months, then the other Party may, at any time thereafter and provided such performance continues to be excused due to such Force Majeure, upon five Business Days' written notice to </w:t>
      </w:r>
      <w:r>
        <w:rPr>
          <w:bCs/>
          <w:iCs/>
        </w:rPr>
        <w:t>the other Party</w:t>
      </w:r>
      <w:r>
        <w:rPr>
          <w:iCs/>
        </w:rPr>
        <w:t xml:space="preserve">, terminate this Contract.  Upon any such termination by either Party, </w:t>
      </w:r>
      <w:r>
        <w:rPr/>
        <w:t>Contractor shall be released from any further obligation to perform the Work under this Contract, other than, at the election of Construction Agent, those</w:t>
      </w:r>
      <w:r>
        <w:rPr>
          <w:iCs/>
        </w:rPr>
        <w:t xml:space="preserve"> actions described in Section 16.4.1(a) through (g) above</w:t>
      </w:r>
      <w:r>
        <w:rPr/>
        <w:t>.</w:t>
      </w:r>
    </w:p>
    <w:p>
      <w:pPr>
        <w:pStyle w:val="Normal"/>
        <w:ind w:firstLine="720" w:end="0"/>
        <w:rPr>
          <w:u w:val="single"/>
        </w:rPr>
      </w:pPr>
      <w:r>
        <w:rPr>
          <w:u w:val="single"/>
        </w:rPr>
      </w:r>
    </w:p>
    <w:p>
      <w:pPr>
        <w:pStyle w:val="Normal"/>
        <w:ind w:firstLine="720" w:end="0"/>
        <w:jc w:val="both"/>
        <w:rPr/>
      </w:pPr>
      <w:r>
        <w:rPr/>
        <w:t>16.4.3.</w:t>
        <w:tab/>
      </w:r>
      <w:r>
        <w:rPr>
          <w:u w:val="single"/>
        </w:rPr>
        <w:t>Payment Obligations upon Termination</w:t>
      </w:r>
      <w:r>
        <w:rPr/>
        <w:t>.  In the event this Contract is terminated pursuant to this Section 16.4, Contractor shall accept as its sole and exclusive remedy for all damages associated with such termination the following:</w:t>
      </w:r>
    </w:p>
    <w:p>
      <w:pPr>
        <w:pStyle w:val="Normal"/>
        <w:jc w:val="both"/>
        <w:rPr/>
      </w:pPr>
      <w:r>
        <w:rPr/>
      </w:r>
    </w:p>
    <w:p>
      <w:pPr>
        <w:pStyle w:val="Normal"/>
        <w:ind w:hanging="720" w:start="2160" w:end="0"/>
        <w:jc w:val="both"/>
        <w:rPr/>
      </w:pPr>
      <w:r>
        <w:rPr/>
        <w:t>(a)</w:t>
        <w:tab/>
        <w:t xml:space="preserve">In the event that Construction Agent terminates this Contract in accordance with Section 16.4 on or after the Effective Date but prior to the NTP Effective Date, Contractor shall become entitled to receive, and Construction Agent shall pay, an amount equal to Contractor's actual reasonable costs incurred through the date of termination together with engineering, reservation, termination or similar costs of any vendor or subcontractor, if any, for work performed pursuant any Early Works Agreement, plus, if Construction Agent terminates this Contract other than in connection with a cancellation of the Project, profit at a rate of 25% of the total of all costs described in this subsection (a); </w:t>
      </w:r>
      <w:r>
        <w:rPr>
          <w:u w:val="single"/>
        </w:rPr>
        <w:t>provided</w:t>
      </w:r>
      <w:r>
        <w:rPr/>
        <w:t xml:space="preserve">, </w:t>
      </w:r>
      <w:r>
        <w:rPr>
          <w:u w:val="single"/>
        </w:rPr>
        <w:t>however</w:t>
      </w:r>
      <w:r>
        <w:rPr/>
        <w:t xml:space="preserve">, that in no event shall Construction Agent's termination damages pursuant to this subsection (a) exceed the amount set forth in the Termination Schedule set forth as </w:t>
      </w:r>
      <w:r>
        <w:rPr>
          <w:u w:val="single"/>
        </w:rPr>
        <w:t>Exhibit "C-4"</w:t>
      </w:r>
      <w:r>
        <w:rPr/>
        <w:t>.</w:t>
      </w:r>
    </w:p>
    <w:p>
      <w:pPr>
        <w:pStyle w:val="Normal"/>
        <w:ind w:hanging="720" w:start="2160" w:end="0"/>
        <w:jc w:val="both"/>
        <w:rPr/>
      </w:pPr>
      <w:r>
        <w:rPr/>
      </w:r>
    </w:p>
    <w:p>
      <w:pPr>
        <w:pStyle w:val="Normal"/>
        <w:ind w:hanging="720" w:start="2160" w:end="0"/>
        <w:jc w:val="both"/>
        <w:rPr/>
      </w:pPr>
      <w:r>
        <w:rPr/>
        <w:t>(b)</w:t>
        <w:tab/>
        <w:t xml:space="preserve">In the event that Construction Agent terminates this Contract in accordance with Section 16.4 on or after the NTP Effective Date, then Contractor shall become entitled to receive, and Construction Agent shall pay, Contractor's actual reasonable costs incurred through the date of termination for all work performed pursuant to this Contract, plus profit at a rate of 10% thereon, </w:t>
      </w:r>
      <w:r>
        <w:rPr>
          <w:color w:val="000000"/>
          <w:szCs w:val="24"/>
        </w:rPr>
        <w:t xml:space="preserve">together with reimbursement of (i) all actual costs reasonably incurred by Contractor in removing Contractor's Equipment from the Site and in the repatriation of Contractor's and any Subcontractor's personnel, (ii) all actual costs reasonably incurred by Contractor in protecting the Work pursuant to Section 16.1.3(a), together with any Subcontractor termination costs, and (iii) and any other actual expenses (including reasonable legal fees and expenses and overheads) reasonably incurred by Contractor as a result of such termination which, under the circumstances, could not reasonably be avoided by Contractor and are a result of such termination, subject to the receipt of documentation supporting Contractor's claimed costs and expenses and the results of any audit by </w:t>
      </w:r>
      <w:r>
        <w:rPr>
          <w:bCs/>
          <w:iCs/>
        </w:rPr>
        <w:t>Construction Agent</w:t>
      </w:r>
      <w:r>
        <w:rPr>
          <w:color w:val="000000"/>
          <w:szCs w:val="24"/>
        </w:rPr>
        <w:t xml:space="preserve"> (or its representatives) of Contractor's claimed costs and expenses and less any amount owed by Contractor to Construction Agent as of the date of termination; </w:t>
      </w:r>
      <w:r>
        <w:rPr>
          <w:u w:val="single"/>
        </w:rPr>
        <w:t>provided</w:t>
      </w:r>
      <w:r>
        <w:rPr/>
        <w:t xml:space="preserve">, </w:t>
      </w:r>
      <w:r>
        <w:rPr>
          <w:u w:val="single"/>
        </w:rPr>
        <w:t>however</w:t>
      </w:r>
      <w:r>
        <w:rPr/>
        <w:t xml:space="preserve">, that in no event shall Construction Agent's termination damages pursuant to this subsection (b) exceed the amount set forth in the Termination Schedule set forth as </w:t>
      </w:r>
      <w:r>
        <w:rPr>
          <w:u w:val="single"/>
        </w:rPr>
        <w:t>Exhibit "C-4"</w:t>
      </w:r>
      <w:r>
        <w:rPr/>
        <w:t>.</w:t>
      </w:r>
      <w:r>
        <w:rPr>
          <w:color w:val="000000"/>
          <w:szCs w:val="24"/>
        </w:rPr>
        <w:t xml:space="preserve">  </w:t>
      </w:r>
      <w:r>
        <w:rPr>
          <w:bCs/>
          <w:iCs/>
        </w:rPr>
        <w:t xml:space="preserve">In no event shall the total of the amounts to which the Contractor shall become entitled under the preceding sentence of this Section 16.2.3 ever exceed the unpaid portion of the Contract Price.  </w:t>
      </w:r>
      <w:r>
        <w:rPr>
          <w:color w:val="000000"/>
          <w:szCs w:val="24"/>
        </w:rPr>
        <w:t xml:space="preserve">Contractor shall use reasonable efforts to minimize any such costs of termination.  </w:t>
      </w:r>
      <w:r>
        <w:rPr>
          <w:bCs/>
          <w:iCs/>
        </w:rPr>
        <w:t>Construction Agent</w:t>
      </w:r>
      <w:r>
        <w:rPr>
          <w:color w:val="000000"/>
          <w:szCs w:val="24"/>
        </w:rPr>
        <w:t xml:space="preserve"> shall have the option of having all or any Work delivered to the Site or, at </w:t>
      </w:r>
      <w:r>
        <w:rPr>
          <w:bCs/>
          <w:iCs/>
        </w:rPr>
        <w:t>Construction Agent</w:t>
      </w:r>
      <w:r>
        <w:rPr>
          <w:color w:val="000000"/>
          <w:szCs w:val="24"/>
        </w:rPr>
        <w:t xml:space="preserve">'s expense, to such other place as </w:t>
      </w:r>
      <w:r>
        <w:rPr>
          <w:bCs/>
          <w:iCs/>
        </w:rPr>
        <w:t>Construction Agent</w:t>
      </w:r>
      <w:r>
        <w:rPr>
          <w:color w:val="000000"/>
          <w:szCs w:val="24"/>
        </w:rPr>
        <w:t xml:space="preserve"> shall</w:t>
      </w:r>
      <w:r>
        <w:rPr>
          <w:b/>
          <w:bCs/>
          <w:color w:val="000000"/>
          <w:szCs w:val="24"/>
        </w:rPr>
        <w:t xml:space="preserve"> </w:t>
      </w:r>
      <w:r>
        <w:rPr>
          <w:color w:val="000000"/>
          <w:szCs w:val="24"/>
        </w:rPr>
        <w:t xml:space="preserve">reasonably direct.  </w:t>
      </w:r>
    </w:p>
    <w:p>
      <w:pPr>
        <w:pStyle w:val="Normal"/>
        <w:ind w:hanging="720" w:start="2160" w:end="0"/>
        <w:jc w:val="both"/>
        <w:rPr>
          <w:color w:val="000000"/>
          <w:szCs w:val="24"/>
        </w:rPr>
      </w:pPr>
      <w:r>
        <w:rPr>
          <w:color w:val="000000"/>
          <w:szCs w:val="24"/>
        </w:rPr>
      </w:r>
    </w:p>
    <w:p>
      <w:pPr>
        <w:pStyle w:val="Normal"/>
        <w:jc w:val="both"/>
        <w:rPr/>
      </w:pPr>
      <w:r>
        <w:rPr>
          <w:color w:val="000000"/>
          <w:szCs w:val="24"/>
        </w:rPr>
        <w:t xml:space="preserve">Payments for termination under Section 16.4 shall be due Contractor within fifteen (15) days of Construction Agent's receipt and acceptance of a substantiated, itemized invoice and the delivery of any </w:t>
      </w:r>
      <w:r>
        <w:rPr>
          <w:bCs/>
          <w:iCs/>
        </w:rPr>
        <w:t>Work executed as of the date of termination.</w:t>
      </w:r>
    </w:p>
    <w:p>
      <w:pPr>
        <w:pStyle w:val="Normal"/>
        <w:rPr/>
      </w:pPr>
      <w:r>
        <w:rPr/>
      </w:r>
    </w:p>
    <w:p>
      <w:pPr>
        <w:pStyle w:val="Heading1"/>
        <w:ind w:hanging="0" w:start="0"/>
        <w:rPr>
          <w:rStyle w:val="Hidden"/>
        </w:rPr>
      </w:pPr>
      <w:bookmarkStart w:id="136" w:name="__RefHeading___Toc496435238"/>
      <w:bookmarkEnd w:id="136"/>
      <w:r>
        <w:rPr/>
        <w:t>ARTICLE XVII</w:t>
      </w:r>
    </w:p>
    <w:p>
      <w:pPr>
        <w:pStyle w:val="Heading1"/>
        <w:ind w:hanging="0" w:start="0"/>
        <w:rPr>
          <w:b w:val="false"/>
          <w:bCs w:val="false"/>
        </w:rPr>
      </w:pPr>
      <w:bookmarkStart w:id="137" w:name="__RefHeading___Toc496435239"/>
      <w:bookmarkEnd w:id="137"/>
      <w:r>
        <w:rPr/>
        <w:t>FORCE MAJEURE</w:t>
      </w:r>
    </w:p>
    <w:p>
      <w:pPr>
        <w:pStyle w:val="Heading2"/>
        <w:ind w:hanging="0" w:start="0"/>
        <w:rPr/>
      </w:pPr>
      <w:bookmarkStart w:id="138" w:name="__RefHeading___Toc496435240"/>
      <w:bookmarkEnd w:id="138"/>
      <w:r>
        <w:rPr/>
        <w:t>Section 17.1</w:t>
        <w:tab/>
        <w:t>Force Majeure.</w:t>
      </w:r>
    </w:p>
    <w:p>
      <w:pPr>
        <w:pStyle w:val="Normal"/>
        <w:jc w:val="both"/>
        <w:rPr/>
      </w:pPr>
      <w:r>
        <w:rPr>
          <w:lang w:val="en-CA"/>
        </w:rPr>
      </w:r>
      <w:r>
        <w:rPr>
          <w:color w:val="000000"/>
        </w:rPr>
        <w:t>"</w:t>
      </w:r>
      <w:r>
        <w:rPr>
          <w:color w:val="000000"/>
          <w:u w:val="single"/>
        </w:rPr>
        <w:t>Force Majeure</w:t>
      </w:r>
      <w:r>
        <w:rPr>
          <w:color w:val="000000"/>
        </w:rPr>
        <w:t xml:space="preserve">" shall mean any event or condition that prevents a Party from performing an obligation under this Contract, is beyond the reasonable control of such Party, and which could not, by the exercise of due diligence, have been prevented by such Party, including: </w:t>
      </w:r>
    </w:p>
    <w:p>
      <w:pPr>
        <w:pStyle w:val="Normal"/>
        <w:jc w:val="both"/>
        <w:rPr/>
      </w:pPr>
      <w:r>
        <w:rPr/>
      </w:r>
    </w:p>
    <w:p>
      <w:pPr>
        <w:pStyle w:val="Normal"/>
        <w:ind w:hanging="720" w:start="2160" w:end="0"/>
        <w:jc w:val="both"/>
        <w:rPr/>
      </w:pPr>
      <w:r>
        <w:rPr/>
        <w:t>(a)</w:t>
        <w:tab/>
        <w:t>Any act of war (whether declared or undeclared), invasion, armed conflict or act of foreign enemy, blockade, embargo, revolution, riot, religious strife or civil commotion;</w:t>
      </w:r>
    </w:p>
    <w:p>
      <w:pPr>
        <w:pStyle w:val="Normal"/>
        <w:ind w:hanging="720" w:start="2160" w:end="0"/>
        <w:jc w:val="both"/>
        <w:rPr/>
      </w:pPr>
      <w:r>
        <w:rPr/>
      </w:r>
    </w:p>
    <w:p>
      <w:pPr>
        <w:pStyle w:val="Normal"/>
        <w:ind w:hanging="720" w:start="2160" w:end="0"/>
        <w:jc w:val="both"/>
        <w:rPr/>
      </w:pPr>
      <w:r>
        <w:rPr/>
        <w:t>(b)</w:t>
        <w:tab/>
        <w:t>Any sabotage, terrorism, general or organized objections, protests or unrest or the threat of any such acts;</w:t>
      </w:r>
    </w:p>
    <w:p>
      <w:pPr>
        <w:pStyle w:val="Normal"/>
        <w:ind w:hanging="720" w:start="2160" w:end="0"/>
        <w:jc w:val="both"/>
        <w:rPr/>
      </w:pPr>
      <w:r>
        <w:rPr/>
      </w:r>
    </w:p>
    <w:p>
      <w:pPr>
        <w:pStyle w:val="Normal"/>
        <w:ind w:hanging="720" w:start="2160" w:end="0"/>
        <w:jc w:val="both"/>
        <w:rPr/>
      </w:pPr>
      <w:r>
        <w:rPr/>
        <w:t>(c)</w:t>
        <w:tab/>
        <w:t>Except to the extent that they constitute remedies or sanctions lawfully exercised by a Governmental Authority as a result of a breach by the affected party, its Subcontractors, servants or agents of applicable Laws, any act of state or other exercise of a sovereign or executive prerogative by any Governmental Authority, including expropriation, nationalization or compulsory acquisition and acts claimed to be justified by executive necessity;</w:t>
      </w:r>
    </w:p>
    <w:p>
      <w:pPr>
        <w:pStyle w:val="Normal"/>
        <w:ind w:hanging="720" w:start="2160" w:end="0"/>
        <w:jc w:val="both"/>
        <w:rPr/>
      </w:pPr>
      <w:r>
        <w:rPr/>
      </w:r>
    </w:p>
    <w:p>
      <w:pPr>
        <w:pStyle w:val="Normal"/>
        <w:ind w:hanging="720" w:start="2160" w:end="0"/>
        <w:jc w:val="both"/>
        <w:rPr/>
      </w:pPr>
      <w:r>
        <w:rPr/>
        <w:t>(d)</w:t>
        <w:tab/>
        <w:t>Any explosion, chemical or radioactive contamination or ionizing radiation;</w:t>
      </w:r>
    </w:p>
    <w:p>
      <w:pPr>
        <w:pStyle w:val="Normal"/>
        <w:ind w:hanging="720" w:start="2160" w:end="0"/>
        <w:jc w:val="both"/>
        <w:rPr/>
      </w:pPr>
      <w:r>
        <w:rPr/>
      </w:r>
    </w:p>
    <w:p>
      <w:pPr>
        <w:pStyle w:val="Normal"/>
        <w:ind w:hanging="720" w:start="2160" w:end="0"/>
        <w:jc w:val="both"/>
        <w:rPr/>
      </w:pPr>
      <w:r>
        <w:rPr/>
        <w:t>(e)</w:t>
        <w:tab/>
        <w:t>Any strike, work stoppage, slowdown or other industrial action or labor dispute, extending beyond the Site and any such actions that are not primarily motivated by the desire to influence the actions of the affected party so as to preserve or improve conditions of employment;</w:t>
      </w:r>
    </w:p>
    <w:p>
      <w:pPr>
        <w:pStyle w:val="Normal"/>
        <w:ind w:hanging="720" w:start="2160" w:end="0"/>
        <w:jc w:val="both"/>
        <w:rPr/>
      </w:pPr>
      <w:r>
        <w:rPr/>
      </w:r>
    </w:p>
    <w:p>
      <w:pPr>
        <w:pStyle w:val="Normal"/>
        <w:ind w:hanging="720" w:start="2160" w:end="0"/>
        <w:jc w:val="both"/>
        <w:rPr/>
      </w:pPr>
      <w:r>
        <w:rPr/>
        <w:t>(f)</w:t>
        <w:tab/>
        <w:t>Any 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traveling at supersonic speeds;</w:t>
      </w:r>
    </w:p>
    <w:p>
      <w:pPr>
        <w:pStyle w:val="Normal"/>
        <w:ind w:hanging="720" w:start="2160" w:end="0"/>
        <w:jc w:val="both"/>
        <w:rPr/>
      </w:pPr>
      <w:r>
        <w:rPr/>
      </w:r>
    </w:p>
    <w:p>
      <w:pPr>
        <w:pStyle w:val="Normal"/>
        <w:autoSpaceDE w:val="false"/>
        <w:ind w:hanging="720" w:start="2160" w:end="0"/>
        <w:rPr/>
      </w:pPr>
      <w:r>
        <w:rPr/>
        <w:t>(g)</w:t>
        <w:tab/>
        <w:t>epidemic or plague; and</w:t>
      </w:r>
    </w:p>
    <w:p>
      <w:pPr>
        <w:pStyle w:val="Normal"/>
        <w:ind w:hanging="720" w:start="2160" w:end="0"/>
        <w:jc w:val="both"/>
        <w:rPr/>
      </w:pPr>
      <w:r>
        <w:rPr/>
      </w:r>
    </w:p>
    <w:p>
      <w:pPr>
        <w:pStyle w:val="Normal"/>
        <w:autoSpaceDE w:val="false"/>
        <w:ind w:hanging="720" w:start="2160" w:end="0"/>
        <w:rPr>
          <w:color w:val="000000"/>
        </w:rPr>
      </w:pPr>
      <w:r>
        <w:rPr/>
        <w:t>(h)</w:t>
        <w:tab/>
        <w:t>act of God;</w:t>
      </w:r>
    </w:p>
    <w:p>
      <w:pPr>
        <w:pStyle w:val="Normal"/>
        <w:autoSpaceDE w:val="false"/>
        <w:ind w:hanging="720" w:start="2160" w:end="0"/>
        <w:rPr>
          <w:color w:val="000000"/>
        </w:rPr>
      </w:pPr>
      <w:r>
        <w:rPr>
          <w:color w:val="000000"/>
        </w:rPr>
      </w:r>
    </w:p>
    <w:p>
      <w:pPr>
        <w:pStyle w:val="Normal"/>
        <w:jc w:val="both"/>
        <w:rPr>
          <w:color w:val="000000"/>
        </w:rPr>
      </w:pPr>
      <w:r>
        <w:rPr>
          <w:color w:val="000000"/>
        </w:rPr>
        <w:t>but shall not include equipment failures or delays, except to the extent resulting from any of the foregoing causes, financial problems of the Party claiming the Force Majeure, and strikes affecting the Work or the Site which Contractor could have prevented through the exercise of reasonable care and diligence, which is deemed to include maintenance of good labor relations with Subcontractors and laborers at the Site and on the Work.</w:t>
      </w:r>
    </w:p>
    <w:p>
      <w:pPr>
        <w:pStyle w:val="Heading2"/>
        <w:ind w:hanging="0" w:start="0"/>
        <w:rPr/>
      </w:pPr>
      <w:bookmarkStart w:id="139" w:name="__RefHeading___Toc496435241"/>
      <w:bookmarkEnd w:id="139"/>
      <w:r>
        <w:rPr/>
        <w:t>Section 17.2</w:t>
        <w:tab/>
        <w:t>Excused Performance.</w:t>
      </w:r>
    </w:p>
    <w:p>
      <w:pPr>
        <w:pStyle w:val="Normal"/>
        <w:jc w:val="both"/>
        <w:rPr/>
      </w:pPr>
      <w:r>
        <w:rPr/>
        <w:t xml:space="preserve">Except for the obligation to timely pay money for Work actually performed or for other payment obligations or liabilities hereunder, either Party shall be excused from the performance or delay in performance of its obligations hereunder (and shall not be considered to be in default with respect thereto) if and to the extent that its failure to perform or the delay in the performance of each such obligation is due to Force Majeure, </w:t>
      </w:r>
      <w:r>
        <w:rPr>
          <w:u w:val="single"/>
        </w:rPr>
        <w:t>provided</w:t>
      </w:r>
      <w:r>
        <w:rPr/>
        <w:t xml:space="preserve"> that:</w:t>
      </w:r>
    </w:p>
    <w:p>
      <w:pPr>
        <w:pStyle w:val="Normal"/>
        <w:ind w:hanging="720" w:start="2160" w:end="0"/>
        <w:jc w:val="both"/>
        <w:rPr/>
      </w:pPr>
      <w:r>
        <w:rPr/>
      </w:r>
    </w:p>
    <w:p>
      <w:pPr>
        <w:pStyle w:val="Normal"/>
        <w:ind w:hanging="720" w:start="2160" w:end="0"/>
        <w:jc w:val="both"/>
        <w:rPr/>
      </w:pPr>
      <w:r>
        <w:rPr/>
        <w:t>(a)</w:t>
        <w:tab/>
        <w:t>the affected Party gives the other Party written notice describing in reasonable detail, to the extent then available, the Force Majeure as soon as is reasonably practicable, but in no event later than five (5) days after such Party first becomes aware of the occurrence or commencement of such Force Majeure;</w:t>
      </w:r>
    </w:p>
    <w:p>
      <w:pPr>
        <w:pStyle w:val="Normal"/>
        <w:ind w:hanging="720" w:start="2160" w:end="0"/>
        <w:rPr/>
      </w:pPr>
      <w:r>
        <w:rPr/>
      </w:r>
    </w:p>
    <w:p>
      <w:pPr>
        <w:pStyle w:val="Normal"/>
        <w:ind w:hanging="720" w:start="2160" w:end="0"/>
        <w:rPr/>
      </w:pPr>
      <w:r>
        <w:rPr/>
        <w:t>(b)</w:t>
        <w:tab/>
        <w:t>the suspension of performance is of no greater scope and of no longer duration than is reasonably required by the Force Majeure, including a reasonable recovery period within which to restart performance.</w:t>
      </w:r>
    </w:p>
    <w:p>
      <w:pPr>
        <w:pStyle w:val="Normal"/>
        <w:ind w:hanging="720" w:start="2160" w:end="0"/>
        <w:rPr/>
      </w:pPr>
      <w:r>
        <w:rPr/>
      </w:r>
    </w:p>
    <w:p>
      <w:pPr>
        <w:pStyle w:val="Normal"/>
        <w:ind w:hanging="720" w:start="2160" w:end="0"/>
        <w:jc w:val="both"/>
        <w:rPr/>
      </w:pPr>
      <w:r>
        <w:rPr/>
        <w:t>(c)</w:t>
        <w:tab/>
        <w:t>no obligations of the affected Party which arose before the Force Majeure causing the suspension of performance that remain unaffected by the Force Majeure shall be excused as a result of such Force Majeure;</w:t>
      </w:r>
    </w:p>
    <w:p>
      <w:pPr>
        <w:pStyle w:val="Normal"/>
        <w:ind w:hanging="720" w:start="2160" w:end="0"/>
        <w:jc w:val="both"/>
        <w:rPr/>
      </w:pPr>
      <w:r>
        <w:rPr/>
      </w:r>
    </w:p>
    <w:p>
      <w:pPr>
        <w:pStyle w:val="Normal"/>
        <w:ind w:hanging="720" w:start="2160" w:end="0"/>
        <w:rPr/>
      </w:pPr>
      <w:r>
        <w:rPr/>
        <w:t>(d)</w:t>
        <w:tab/>
        <w:t xml:space="preserve">the affected Party uses reasonable efforts to overcome or mitigate the effects of such Force Majeure, and notifies the other Party of the actions such Party proposes to take, including any reasonable alternative means for performance, to overcome or mitigate the effects of such Force Majeure;  </w:t>
      </w:r>
    </w:p>
    <w:p>
      <w:pPr>
        <w:pStyle w:val="Normal"/>
        <w:ind w:hanging="720" w:start="2160" w:end="0"/>
        <w:jc w:val="both"/>
        <w:rPr/>
      </w:pPr>
      <w:r>
        <w:rPr/>
      </w:r>
    </w:p>
    <w:p>
      <w:pPr>
        <w:pStyle w:val="Normal"/>
        <w:ind w:hanging="720" w:start="2160" w:end="0"/>
        <w:jc w:val="both"/>
        <w:rPr/>
      </w:pPr>
      <w:r>
        <w:rPr/>
        <w:t>(e)</w:t>
        <w:tab/>
        <w:t>when the affected Party is able to resume performance of its obligations under this Contract, such Party shall give the other party written notice to that effect and shall promptly resume performance hereunder.</w:t>
      </w:r>
    </w:p>
    <w:p>
      <w:pPr>
        <w:pStyle w:val="Heading2"/>
        <w:ind w:hanging="0" w:start="0"/>
        <w:rPr/>
      </w:pPr>
      <w:bookmarkStart w:id="140" w:name="__RefHeading___Toc496435242"/>
      <w:bookmarkEnd w:id="140"/>
      <w:r>
        <w:rPr/>
        <w:t>Section 17.3</w:t>
        <w:tab/>
        <w:t>Burden of Proof.</w:t>
      </w:r>
    </w:p>
    <w:p>
      <w:pPr>
        <w:pStyle w:val="Normaltext"/>
        <w:rPr/>
      </w:pPr>
      <w:r>
        <w:rPr/>
        <w:t>In the event that the Parties are unable in good faith to agree that Force Majeure has occurred, the Parties shall submit the dispute for resolution pursuant to Article 19 and the Party claiming Force Majeure shall have the burden of proof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hanging="0" w:start="0"/>
        <w:rPr/>
      </w:pPr>
      <w:bookmarkStart w:id="141" w:name="__RefHeading___Toc496435243"/>
      <w:bookmarkEnd w:id="141"/>
      <w:r>
        <w:rPr/>
        <w:t>Section 17.4</w:t>
        <w:tab/>
        <w:t>Construction Agent Self-Help.</w:t>
      </w:r>
    </w:p>
    <w:p>
      <w:pPr>
        <w:pStyle w:val="Normal"/>
        <w:jc w:val="both"/>
        <w:rPr/>
      </w:pPr>
      <w:r>
        <w:rPr/>
        <w:t>If, upon the occurrence of Force Majeure that has caused Contractor to suspend or delay performance of the Work, Construction Agent has notified Contractor in writing and has directed Contractor to take reasonable action that Contractor could lawfully and reasonably initiate to remove or relieve either the Force Majeure or its direct or indirect effects, and Contractor has failed to take such action, then within a reasonable time after Contractor's failure to take such action, Construction Agent may, in its sole discretion and after three (3) days’ written notice to Contractor, at Contractor’s expense, initiate such reasonable measures as will be designed to remove or relieve such Force Majeure or its direct or indirect effects, and thereafter require Contractor to resume full or partial performance of the Work in accordance with the provisions of this Contract.</w:t>
      </w:r>
    </w:p>
    <w:p>
      <w:pPr>
        <w:pStyle w:val="Normal"/>
        <w:rPr/>
      </w:pPr>
      <w:r>
        <w:rPr/>
      </w:r>
    </w:p>
    <w:p>
      <w:pPr>
        <w:pStyle w:val="Heading1"/>
        <w:ind w:hanging="0" w:start="0"/>
        <w:rPr>
          <w:rStyle w:val="Hidden"/>
        </w:rPr>
      </w:pPr>
      <w:bookmarkStart w:id="142" w:name="__RefHeading___Toc496435244"/>
      <w:bookmarkEnd w:id="142"/>
      <w:r>
        <w:rPr/>
        <w:t>ARTICLE XVIII</w:t>
      </w:r>
    </w:p>
    <w:p>
      <w:pPr>
        <w:pStyle w:val="Heading1"/>
        <w:ind w:hanging="0" w:start="0"/>
        <w:rPr/>
      </w:pPr>
      <w:bookmarkStart w:id="143" w:name="__RefHeading___Toc496435245"/>
      <w:bookmarkEnd w:id="143"/>
      <w:r>
        <w:rPr/>
        <w:t>INDEMNITIES</w:t>
      </w:r>
    </w:p>
    <w:p>
      <w:pPr>
        <w:pStyle w:val="Heading2"/>
        <w:ind w:hanging="0" w:start="0"/>
        <w:rPr/>
      </w:pPr>
      <w:bookmarkStart w:id="144" w:name="__RefHeading___Toc496435246"/>
      <w:bookmarkEnd w:id="144"/>
      <w:r>
        <w:rPr/>
        <w:t>Section 18.1</w:t>
        <w:tab/>
        <w:t>Contractor Indemnity.</w:t>
      </w:r>
    </w:p>
    <w:p>
      <w:pPr>
        <w:pStyle w:val="Normal"/>
        <w:jc w:val="both"/>
        <w:rPr/>
      </w:pPr>
      <w:r>
        <w:rPr/>
        <w:t>Contractor shall indemnify, defend and hold harmless Owner Indemnitees from and against any and all claims, demands, losses, damages, causes of action, suits, and liabilities (including all expenses of litigation, court costs and reasonable attorneys’ fees) (collectively, "</w:t>
      </w:r>
      <w:r>
        <w:rPr>
          <w:u w:val="single"/>
        </w:rPr>
        <w:t>Claims</w:t>
      </w:r>
      <w:r>
        <w:rPr/>
        <w:t>"):</w:t>
      </w:r>
    </w:p>
    <w:p>
      <w:pPr>
        <w:pStyle w:val="Normal"/>
        <w:jc w:val="both"/>
        <w:rPr/>
      </w:pPr>
      <w:r>
        <w:rPr/>
      </w:r>
    </w:p>
    <w:p>
      <w:pPr>
        <w:pStyle w:val="Normal"/>
        <w:ind w:hanging="720" w:start="2160" w:end="0"/>
        <w:jc w:val="both"/>
        <w:rPr/>
      </w:pPr>
      <w:r>
        <w:rPr/>
        <w:t>(a)</w:t>
        <w:tab/>
        <w:t>attributable to bodily injury (including death) of any person or property damage of third parties to the extent caused by the negligence or willful misconduct of any of the Contractor Indemnitees,</w:t>
      </w:r>
    </w:p>
    <w:p>
      <w:pPr>
        <w:pStyle w:val="Normal"/>
        <w:ind w:hanging="720" w:start="2160" w:end="0"/>
        <w:jc w:val="both"/>
        <w:rPr/>
      </w:pPr>
      <w:r>
        <w:rPr/>
      </w:r>
    </w:p>
    <w:p>
      <w:pPr>
        <w:pStyle w:val="Normal"/>
        <w:ind w:hanging="720" w:start="2160" w:end="0"/>
        <w:jc w:val="both"/>
        <w:rPr/>
      </w:pPr>
      <w:r>
        <w:rPr/>
        <w:t>(b)</w:t>
        <w:tab/>
        <w:t>attributable to any bodily injury (including death) or property damage (including property of Contractor, Owner and third parties) caused by any spill or release of Hazardous Substances for which Contractor is responsible under Section 3.17.2 other than any such spill or release caused by the gross negligence or willful misconduct of any Owner Indemnitee, or</w:t>
      </w:r>
    </w:p>
    <w:p>
      <w:pPr>
        <w:pStyle w:val="Normal"/>
        <w:ind w:hanging="720" w:start="2160" w:end="0"/>
        <w:rPr/>
      </w:pPr>
      <w:r>
        <w:rPr/>
      </w:r>
    </w:p>
    <w:p>
      <w:pPr>
        <w:pStyle w:val="Normal"/>
        <w:ind w:hanging="720" w:start="2160" w:end="0"/>
        <w:rPr/>
      </w:pPr>
      <w:r>
        <w:rPr/>
        <w:t>(c)</w:t>
        <w:tab/>
        <w:t xml:space="preserve">attributable to damage to the Work following Substantial Completion of any Phase  that is caused by the negligence or willful misconduct of any of the Contractor Indemnitees; </w:t>
      </w:r>
      <w:r>
        <w:rPr>
          <w:u w:val="single"/>
        </w:rPr>
        <w:t>provided</w:t>
      </w:r>
      <w:r>
        <w:rPr/>
        <w:t xml:space="preserve"> that the liability of the Contractor under this clause (c) shall be limited to the deductible under the insurances required to be carried by Owner under Article 9.</w:t>
      </w:r>
    </w:p>
    <w:p>
      <w:pPr>
        <w:pStyle w:val="Heading2"/>
        <w:ind w:hanging="0" w:start="0"/>
        <w:rPr/>
      </w:pPr>
      <w:bookmarkStart w:id="145" w:name="__RefHeading___Toc496435247"/>
      <w:bookmarkEnd w:id="145"/>
      <w:r>
        <w:rPr/>
        <w:t>Section 18.2</w:t>
        <w:tab/>
        <w:t>Construction Agent Indemnity.</w:t>
      </w:r>
    </w:p>
    <w:p>
      <w:pPr>
        <w:pStyle w:val="Normal"/>
        <w:jc w:val="both"/>
        <w:rPr/>
      </w:pPr>
      <w:r>
        <w:rPr/>
        <w:t>Construction Agent agrees to indemnify, defend and hold harmless Contractor Indemnitees from and against any and all Claims:</w:t>
      </w:r>
    </w:p>
    <w:p>
      <w:pPr>
        <w:pStyle w:val="Normal"/>
        <w:ind w:firstLine="720" w:end="0"/>
        <w:jc w:val="both"/>
        <w:rPr/>
      </w:pPr>
      <w:r>
        <w:rPr/>
      </w:r>
    </w:p>
    <w:p>
      <w:pPr>
        <w:pStyle w:val="Normal"/>
        <w:ind w:hanging="720" w:start="2160" w:end="0"/>
        <w:jc w:val="both"/>
        <w:rPr/>
      </w:pPr>
      <w:r>
        <w:rPr/>
        <w:t>(a)</w:t>
        <w:tab/>
        <w:t>attributable to bodily injury (including death) of any person or property damage of third parties to the extent caused by the gross negligence or willful misconduct of any of the Owner Indemnitees, or</w:t>
      </w:r>
    </w:p>
    <w:p>
      <w:pPr>
        <w:pStyle w:val="Normal"/>
        <w:ind w:hanging="720" w:start="2160" w:end="0"/>
        <w:jc w:val="both"/>
        <w:rPr/>
      </w:pPr>
      <w:r>
        <w:rPr/>
      </w:r>
    </w:p>
    <w:p>
      <w:pPr>
        <w:pStyle w:val="Normal"/>
        <w:ind w:hanging="720" w:start="2160" w:end="0"/>
        <w:jc w:val="both"/>
        <w:rPr/>
      </w:pPr>
      <w:r>
        <w:rPr/>
        <w:t>(b)</w:t>
        <w:tab/>
        <w:t>attributable to bodily injury (including death) or property damage (including property of any Contractor Indemnitee and of third parties) caused by any spill or release of Hazardous Substances for which Construction Agent is responsible under Section 3.17.1 unless such injury or damage is caused by the gross negligence or willful misconduct of any Contractor Indemnitee.</w:t>
      </w:r>
    </w:p>
    <w:p>
      <w:pPr>
        <w:pStyle w:val="Heading2"/>
        <w:ind w:hanging="0" w:start="0"/>
        <w:rPr/>
      </w:pPr>
      <w:bookmarkStart w:id="146" w:name="__RefHeading___Toc496435248"/>
      <w:bookmarkEnd w:id="146"/>
      <w:r>
        <w:rPr/>
        <w:t>Section 18.3</w:t>
        <w:tab/>
        <w:t>Patent Indemnity.</w:t>
      </w:r>
    </w:p>
    <w:p>
      <w:pPr>
        <w:pStyle w:val="Normal"/>
        <w:jc w:val="both"/>
        <w:rPr/>
      </w:pPr>
      <w:r>
        <w:rPr/>
        <w:t xml:space="preserve">Contractor expressly warrants and represents that it shall indemnify, defend and hold harmless Owner Indemnitees from and against any and all Claims whatsoever arising from or in any manner related to an infringement of letters patent or the improper use of any registered design, copyright, trademark, trade name or other proprietary rights which may occur in connection with Contractor’s or any Subcontractor’s performance of the Work pursuant to this Contract or the ownership or use by Construction Agent or Owner of the Facility or any part thereof provided by Contractor or any Subcontractor (including, without limitation, the use of any such part in conjunction with, or as modified, supplemented or otherwise affected by, any Equipment); </w:t>
      </w:r>
      <w:r>
        <w:rPr>
          <w:u w:val="single"/>
        </w:rPr>
        <w:t>provided</w:t>
      </w:r>
      <w:r>
        <w:rPr/>
        <w:t xml:space="preserve">, </w:t>
      </w:r>
      <w:r>
        <w:rPr>
          <w:u w:val="single"/>
        </w:rPr>
        <w:t>however</w:t>
      </w:r>
      <w:r>
        <w:rPr/>
        <w:t>, that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commercial continued operations of the Facility by Construction Agent or Owner, then Contractor shall, at its own expense, (x) timely procure the right to continue its performance of the Work so as not to materially impair the Project Schedule or such commercial operations of the Facility.  All liability of Contractor under this Section 18.3 shall terminate only upon the expiration of any applicable statute of limitations for infringement, provided such termination shall not occur with respect to legal proceedings commenced or claims notified to Contractor prior to the expiration of any such statute of limitations.  This Article 18 states the entire liability of Contractor for patent infringement in connection with the performance of the Work and the ownership and use of the Facility or any part thereof provided by Contractor or any Subcontractor.</w:t>
      </w:r>
    </w:p>
    <w:p>
      <w:pPr>
        <w:pStyle w:val="Heading2"/>
        <w:ind w:hanging="0" w:start="0"/>
        <w:rPr/>
      </w:pPr>
      <w:bookmarkStart w:id="147" w:name="__RefHeading___Toc496435249"/>
      <w:bookmarkEnd w:id="147"/>
      <w:r>
        <w:rPr/>
        <w:t>Section 18.4</w:t>
        <w:tab/>
        <w:t>Notice.</w:t>
      </w:r>
    </w:p>
    <w:p>
      <w:pPr>
        <w:pStyle w:val="Normal"/>
        <w:jc w:val="both"/>
        <w:rPr/>
      </w:pPr>
      <w:r>
        <w:rPr/>
        <w:t>Each Party shall promptly notify the other in writing of any claims which may be covered by the indemnities set forth in this Article 18.  Without limiting the generality of the foregoing, (a) Construction Agent shall notify Contractor in writing as soon as Construction Agent shall receive notice of any claims of infringement of patents or other proprietary rights occurring in connection with Contractor’s performance of the Work, and (b) Contractor shall timely notify Construction Agent and Owner in writing of any claims which Contractor may receive alleging infringement of patents or other proprietary rights which may affect Contractor’s performance of the Work.</w:t>
      </w:r>
    </w:p>
    <w:p>
      <w:pPr>
        <w:pStyle w:val="Heading2"/>
        <w:ind w:hanging="0" w:start="0"/>
        <w:rPr/>
      </w:pPr>
      <w:bookmarkStart w:id="148" w:name="__RefHeading___Toc496435250"/>
      <w:bookmarkEnd w:id="148"/>
      <w:r>
        <w:rPr/>
        <w:t>Section 18.5</w:t>
        <w:tab/>
        <w:t>Conduct and Administration of Claims.</w:t>
      </w:r>
    </w:p>
    <w:p>
      <w:pPr>
        <w:pStyle w:val="Normal"/>
        <w:jc w:val="both"/>
        <w:rPr/>
      </w:pPr>
      <w:r>
        <w:rPr/>
        <w:t>Any Party required to indemnify the other Party under this Contract (the "</w:t>
      </w:r>
      <w:r>
        <w:rPr>
          <w:u w:val="single"/>
        </w:rPr>
        <w:t>Indemnitor</w:t>
      </w:r>
      <w:r>
        <w:rPr/>
        <w:t>") shall have sole charge and direction of conduct of the prosecution, defense and settlement of any suit or proceeding based on any Claim for which Indemnitor is responsible under this Contract.  The indemnified Party (the "</w:t>
      </w:r>
      <w:r>
        <w:rPr>
          <w:u w:val="single"/>
        </w:rPr>
        <w:t>Indemnitee</w:t>
      </w:r>
      <w:r>
        <w:rPr/>
        <w:t xml:space="preserve">") shall provide such assistance as the Indemnitor may reasonably require in such defense, and shall have the right to be represented in such defense by counsel of its own choice at its own expense.  If the Indemnitor fails to defend any such suit or proceeding, then following 15 days prior written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any obligation under this Contract, and in either case the Indemnitor shall reimburse the Indemnitee for its expenses, costs and reasonable attorneys’ fees.  If any claim described in Section 18.3 is held to constitute an infringement of any patent or any registered design, copyright, trademark, trade name  other proprietary rights and use of any Equipment, component or process included in the Work is enjoined, Contractor shall at its own expense and at Construction Agent's or Owner's election (i) procure for Owner the right to continue to use the infringing Equipment, component or process, (ii) replace such Equipment, component or process with a non-infringing equipment, component or process of equivalent life expectancy, utility and efficiency, or (iii) modify such Equipment of the Facility or process so that it becomes non-infringing without affecting its life expectancy, utility or efficiency, </w:t>
      </w:r>
      <w:r>
        <w:rPr>
          <w:u w:val="single"/>
        </w:rPr>
        <w:t>provided</w:t>
      </w:r>
      <w:r>
        <w:rPr/>
        <w:t xml:space="preserve">, </w:t>
      </w:r>
      <w:r>
        <w:rPr>
          <w:u w:val="single"/>
        </w:rPr>
        <w:t>however</w:t>
      </w:r>
      <w:r>
        <w:rPr/>
        <w:t>, that in the event (y) or (z) is elected, then Contractor and Construction Agent or Owner shall agree upon a mutually satisfactory schedule for the accomplishment of such actions within a reasonable period of time following the identification of such Claim and without unreasonably interfering with the commercial operations of the Facility.</w:t>
      </w:r>
    </w:p>
    <w:p>
      <w:pPr>
        <w:pStyle w:val="Heading2"/>
        <w:keepLines/>
        <w:widowControl w:val="false"/>
        <w:ind w:hanging="0" w:start="0"/>
        <w:rPr/>
      </w:pPr>
      <w:bookmarkStart w:id="149" w:name="__RefHeading___Toc496435251"/>
      <w:bookmarkEnd w:id="149"/>
      <w:r>
        <w:rPr/>
        <w:t>Section 18.6</w:t>
        <w:tab/>
        <w:t>Insurance.</w:t>
      </w:r>
    </w:p>
    <w:p>
      <w:pPr>
        <w:pStyle w:val="Normal"/>
        <w:keepLines/>
        <w:widowControl w:val="false"/>
        <w:rPr/>
      </w:pPr>
      <w:r>
        <w:rPr/>
        <w:t>Notwithstanding any other term to the contrary herein, neither the liability of Contractor or Construction  Agent to the other pursuant to this Article 18 shall be eliminated, reduced or otherwise affected by the fact that the other Party has insurance coverage which may or does apply in respect of the liability for which indemnification is sought hereunder.</w:t>
      </w:r>
    </w:p>
    <w:p>
      <w:pPr>
        <w:pStyle w:val="Heading2"/>
        <w:ind w:hanging="0" w:start="0"/>
        <w:rPr/>
      </w:pPr>
      <w:bookmarkStart w:id="150" w:name="__RefHeading___Toc496435252"/>
      <w:bookmarkEnd w:id="150"/>
      <w:r>
        <w:rPr/>
        <w:t>Section 18.7</w:t>
        <w:tab/>
        <w:t>Limitation on Contractor Indemnities.</w:t>
      </w:r>
    </w:p>
    <w:p>
      <w:pPr>
        <w:pStyle w:val="Normaltext"/>
        <w:rPr/>
      </w:pPr>
      <w:r>
        <w:rPr/>
        <w:t>Contractor shall not provide any indemnity (other than any indemnity for third-party claims caused by or resulting from the Contractor's gross negligence, willful misconduct or fraud, and, solely with respect to any claim not related to construction completion of the Facility, negligence) to any Subcontractor in any Subcontract entered into by Contractor pursuant to this Contract or otherwise in respect of the Work or the Facility.</w:t>
      </w:r>
    </w:p>
    <w:p>
      <w:pPr>
        <w:pStyle w:val="Normal"/>
        <w:rPr/>
      </w:pPr>
      <w:r>
        <w:rPr/>
      </w:r>
    </w:p>
    <w:p>
      <w:pPr>
        <w:pStyle w:val="Heading1"/>
        <w:ind w:hanging="0" w:start="0"/>
        <w:rPr>
          <w:rStyle w:val="Hidden"/>
        </w:rPr>
      </w:pPr>
      <w:bookmarkStart w:id="151" w:name="__RefHeading___Toc496435253"/>
      <w:bookmarkEnd w:id="151"/>
      <w:r>
        <w:rPr/>
        <w:t>ARTICLE XIX</w:t>
      </w:r>
    </w:p>
    <w:p>
      <w:pPr>
        <w:pStyle w:val="Heading1"/>
        <w:ind w:hanging="0" w:start="0"/>
        <w:rPr/>
      </w:pPr>
      <w:bookmarkStart w:id="152" w:name="__RefHeading___Toc496435254"/>
      <w:bookmarkEnd w:id="152"/>
      <w:r>
        <w:rPr/>
        <w:t>DISPUTE RESOLUTION</w:t>
      </w:r>
    </w:p>
    <w:p>
      <w:pPr>
        <w:pStyle w:val="Heading2"/>
        <w:ind w:hanging="0" w:start="0"/>
        <w:rPr/>
      </w:pPr>
      <w:bookmarkStart w:id="153" w:name="__RefHeading___Toc496435255"/>
      <w:bookmarkEnd w:id="153"/>
      <w:r>
        <w:rPr/>
        <w:t>Section 19.1</w:t>
        <w:tab/>
        <w:t>Expert Determination Regarding Time or Price.</w:t>
      </w:r>
    </w:p>
    <w:p>
      <w:pPr>
        <w:pStyle w:val="Normal"/>
        <w:jc w:val="both"/>
        <w:rPr/>
      </w:pPr>
      <w:r>
        <w:rPr/>
        <w:t>If at any time before Substantial Completion of the Facility or the earlier termination of this Contract, Construction Agent and Contractor have a disagreement or dispute regarding either or both of (i) the effect of any Change Order upon the Project Schedule, including adjustments to the Target Completion Date, End Date or other timing requirements, or (ii) the effect of any Change Order upon the Contract Price or any other payment or compensation to which Construction Agent, Owner or Contractor may be entitled under this Contract, but excluding any disagreement or dispute involving in whole or in part a Change or adjustment that could affect Contractor’s ability to provide the Warranties, then either Contractor or Construction Agent (the "</w:t>
      </w:r>
      <w:r>
        <w:rPr>
          <w:u w:val="single"/>
        </w:rPr>
        <w:t>Applicant</w:t>
      </w:r>
      <w:r>
        <w:rPr/>
        <w:t>") may by written notice (an "</w:t>
      </w:r>
      <w:r>
        <w:rPr>
          <w:u w:val="single"/>
        </w:rPr>
        <w:t>Expert Reference Notice</w:t>
      </w:r>
      <w:r>
        <w:rPr/>
        <w:t>") to the other Party (the "</w:t>
      </w:r>
      <w:r>
        <w:rPr>
          <w:u w:val="single"/>
        </w:rPr>
        <w:t>Respondent</w:t>
      </w:r>
      <w:r>
        <w:rPr/>
        <w:t>") require their dispute to be resolved by an independent expert (the "</w:t>
      </w:r>
      <w:r>
        <w:rPr>
          <w:u w:val="single"/>
        </w:rPr>
        <w:t>Independent Expert</w:t>
      </w:r>
      <w:r>
        <w:rPr/>
        <w:t>") in accordance with the following procedures:</w:t>
      </w:r>
    </w:p>
    <w:p>
      <w:pPr>
        <w:pStyle w:val="Normal"/>
        <w:rPr/>
      </w:pPr>
      <w:r>
        <w:rPr/>
      </w:r>
    </w:p>
    <w:p>
      <w:pPr>
        <w:pStyle w:val="Normal"/>
        <w:ind w:hanging="720" w:start="2160" w:end="0"/>
        <w:jc w:val="both"/>
        <w:rPr/>
      </w:pPr>
      <w:r>
        <w:rPr/>
        <w:t>(a)</w:t>
        <w:tab/>
        <w:t>The Expert Reference Notice shall include a description of the dispute, the grounds on which the Applicant relies in seeking to have the dispute determined in its favor and a copy of any written materials that the Applicant wishes to submit to the Independent Expert.  The Respondent, within 10 days after delivery of the Expert Reference Notice, shall deliver to the Applicant a written response (the "</w:t>
      </w:r>
      <w:r>
        <w:rPr>
          <w:u w:val="single"/>
        </w:rPr>
        <w:t>Response</w:t>
      </w:r>
      <w:r>
        <w:rPr/>
        <w:t>") setting forth any additional matters related to the dispute, the grounds on which the Respondent relies in seeking to have the dispute determined in its favor and a copy of any written materials that the Respondent wishes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days, to respond thereto.</w:t>
      </w:r>
    </w:p>
    <w:p>
      <w:pPr>
        <w:pStyle w:val="Normal"/>
        <w:ind w:hanging="720" w:start="2160" w:end="0"/>
        <w:jc w:val="both"/>
        <w:rPr/>
      </w:pPr>
      <w:r>
        <w:rPr/>
      </w:r>
    </w:p>
    <w:p>
      <w:pPr>
        <w:pStyle w:val="Normal"/>
        <w:ind w:hanging="720" w:start="2160" w:end="0"/>
        <w:jc w:val="both"/>
        <w:rPr/>
      </w:pPr>
      <w:r>
        <w:rPr/>
        <w:t>(b)</w:t>
        <w:tab/>
        <w:t>The Applicant and the Respondent may appoint by agreement, or failing such agreement within 20 days following delivery of the Expert Reference Notice, The ICC International Centre for Expertise ("</w:t>
      </w:r>
      <w:r>
        <w:rPr>
          <w:u w:val="single"/>
        </w:rPr>
        <w:t>ICE</w:t>
      </w:r>
      <w:r>
        <w:rPr/>
        <w:t>"), 38 Cours Albert 1er, 75008 Paris, France, pursuant to the ICC Rules for Expertise, shall appoint, within 10 days after the application of either such Party, an independent expert experienced in the construction and engineering of power generation facilities similar to the Facility and Work in size and scope to act as an Independent Expert and to determine the matters set out in the Expert Reference Notice and the Response.  The application to the ICE shall include copies of this Contract, the Expert Reference Notice, the Response and any further written materials exchanged by the Parties with respect to their dispute.</w:t>
      </w:r>
    </w:p>
    <w:p>
      <w:pPr>
        <w:pStyle w:val="Normal"/>
        <w:ind w:hanging="720" w:start="2160" w:end="0"/>
        <w:jc w:val="both"/>
        <w:rPr/>
      </w:pPr>
      <w:r>
        <w:rPr/>
      </w:r>
    </w:p>
    <w:p>
      <w:pPr>
        <w:pStyle w:val="Normal"/>
        <w:ind w:hanging="720" w:start="2160" w:end="0"/>
        <w:jc w:val="both"/>
        <w:rPr/>
      </w:pPr>
      <w:r>
        <w:rPr/>
        <w:t>(c)</w:t>
        <w:tab/>
        <w:t>Within seven days following appointment of an Independent Expert, the Independent Expert shall designate a time and place for a hearing of the Parties on the dispute and shall designate procedures to be utilized at the hearing, which procedures shall provide for the examination and cross examination of witnesses.  The proceedings shall be in English language, and the hearing shall be held in the City of New York, unless otherwise agreed, and shall occur within 21 days after the appointment of the Independent Expert.</w:t>
      </w:r>
    </w:p>
    <w:p>
      <w:pPr>
        <w:pStyle w:val="Normal"/>
        <w:ind w:hanging="720" w:start="2160" w:end="0"/>
        <w:jc w:val="both"/>
        <w:rPr/>
      </w:pPr>
      <w:r>
        <w:rPr/>
      </w:r>
    </w:p>
    <w:p>
      <w:pPr>
        <w:pStyle w:val="Normal"/>
        <w:ind w:hanging="720" w:start="2160" w:end="0"/>
        <w:jc w:val="both"/>
        <w:rPr/>
      </w:pPr>
      <w:r>
        <w:rPr/>
        <w:t>(d)</w:t>
        <w:tab/>
        <w:t>The Parties shall not be entitled to apply for discovery of documents.  The Parties shall cooperate in good faith in providing to an Independent Expert any information he or she considers necessary to resolve the dispute.  All information provided to an Independent Expert shall be used only for the purpose of making his or her determination and shall remain confidential.</w:t>
      </w:r>
    </w:p>
    <w:p>
      <w:pPr>
        <w:pStyle w:val="Normal"/>
        <w:ind w:hanging="720" w:start="2160" w:end="0"/>
        <w:jc w:val="both"/>
        <w:rPr/>
      </w:pPr>
      <w:r>
        <w:rPr/>
      </w:r>
    </w:p>
    <w:p>
      <w:pPr>
        <w:pStyle w:val="Normal"/>
        <w:ind w:hanging="720" w:start="2160" w:end="0"/>
        <w:jc w:val="both"/>
        <w:rPr/>
      </w:pPr>
      <w:r>
        <w:rPr/>
        <w:t>(e)</w:t>
        <w:tab/>
        <w:t xml:space="preserve">At the time designated for the hearing, each Party shall appear before the Independent Expert and present its case.  The Parties may be assisted in such hearing by counsel or representatives of their choice. </w:t>
      </w:r>
    </w:p>
    <w:p>
      <w:pPr>
        <w:pStyle w:val="Normal"/>
        <w:ind w:hanging="720" w:start="2160" w:end="0"/>
        <w:jc w:val="both"/>
        <w:rPr/>
      </w:pPr>
      <w:r>
        <w:rPr/>
      </w:r>
    </w:p>
    <w:p>
      <w:pPr>
        <w:pStyle w:val="Normal"/>
        <w:ind w:hanging="720" w:start="2160" w:end="0"/>
        <w:jc w:val="both"/>
        <w:rPr/>
      </w:pPr>
      <w:r>
        <w:rPr/>
        <w:t>(f)</w:t>
        <w:tab/>
        <w:t xml:space="preserve">The Independent Expert shall render his or her decision on the dispute as soon as possible after the hearing as he or she considers in his or her expert opinion to be fair and reasonable, taking into consideration the relevant facts, the terms of the Contract and GIP, and shall forthwith advise the Parties in writing of such decision, including a concise statement of the facts and the basis and reasoning for such decision, no later than 15 days after completion of the hearing.  </w:t>
      </w:r>
    </w:p>
    <w:p>
      <w:pPr>
        <w:pStyle w:val="Normal"/>
        <w:ind w:hanging="720" w:start="2160" w:end="0"/>
        <w:jc w:val="both"/>
        <w:rPr/>
      </w:pPr>
      <w:r>
        <w:rPr/>
      </w:r>
    </w:p>
    <w:p>
      <w:pPr>
        <w:pStyle w:val="Normal"/>
        <w:ind w:hanging="720" w:start="2160" w:end="0"/>
        <w:jc w:val="both"/>
        <w:rPr/>
      </w:pPr>
      <w:r>
        <w:rPr/>
        <w:t>(g)</w:t>
        <w:tab/>
        <w:t>The Independent Expert need not be bound by strict rules of law when he considers the application thereof to particular matters to be inconsistent with the spirit of this Contract and the underlying intent of the Parties, and as to such matters his conclusions shall reflect his judgment of the correct interpretation of all relevant terms hereof and the correct and just enforcement of this Contract in accordance with such terms and the intent of the Parties.  The Independent Expert’s written decision or determination shall be admissible into evidence in any subsequent arbitration brought by either of the Parties.</w:t>
      </w:r>
    </w:p>
    <w:p>
      <w:pPr>
        <w:pStyle w:val="Normal"/>
        <w:ind w:hanging="720" w:start="2160" w:end="0"/>
        <w:jc w:val="both"/>
        <w:rPr/>
      </w:pPr>
      <w:r>
        <w:rPr/>
      </w:r>
    </w:p>
    <w:p>
      <w:pPr>
        <w:pStyle w:val="Normal"/>
        <w:ind w:hanging="720" w:start="2160" w:end="0"/>
        <w:jc w:val="both"/>
        <w:rPr/>
      </w:pPr>
      <w:r>
        <w:rPr/>
        <w:t>(h)</w:t>
        <w:tab/>
      </w:r>
      <w:r>
        <w:rPr>
          <w:b/>
          <w:bCs/>
        </w:rPr>
        <w:t>[ALTERNATIVE A:</w:t>
      </w:r>
      <w:r>
        <w:rPr/>
        <w:t xml:space="preserve">  The Independent Expert shall have the authority to make decisions to resolve disputes referred to the Independent Expert in accordance with these terms, and any decision made by the Independent Expert in relation to any individual dispute </w:t>
      </w:r>
      <w:r>
        <w:rPr>
          <w:szCs w:val="24"/>
          <w:lang w:val="en-CA"/>
        </w:rPr>
      </w:r>
      <w:r>
        <w:rPr>
          <w:color w:val="000000"/>
          <w:szCs w:val="24"/>
        </w:rPr>
        <w:t>resulting in an award of (i) a Value not exceeding U.S. [$1,000,000] shall be final and binding upon the parties; (ii) a Value exceeding U.S. $1,000,000 but not exceeding U.S. [$5,000,000] shall be binding on the parties up to the date of Substantial Completion, after which date such Adjustment Dispute may be referred to arbitration by either party pursuant to Section 19.2, so long as the arbitration is commenced within thirty (30) days after the date of Substantial Completion; and (iii) a value exceeding U.S. [$5,000,000] may be referred by either party to arbitration pursuant to Section 19.3 within sixty (60) days of the Expert's rendering a decision or, if the Expert's decision is rendered prior to the date of Substantial Completion,  within sixty (60) days of the Expert's rendering a decision or within thirty (30) days after the date of Substantial Completion, whichever period is longer.  If the Independent Expert's determination is not referred to arbitration within the time periods set forth in subsections (ii) and (iii) of this Section 19.2(h), the determination shall be final and binding upon the parties.  For the purposes of this Section 19.2(h), "</w:t>
      </w:r>
      <w:r>
        <w:rPr>
          <w:color w:val="000000"/>
          <w:szCs w:val="24"/>
          <w:u w:val="single"/>
        </w:rPr>
        <w:t>Value</w:t>
      </w:r>
      <w:r>
        <w:rPr>
          <w:color w:val="000000"/>
          <w:szCs w:val="24"/>
        </w:rPr>
        <w:t xml:space="preserve">" shall mean the aggregate monetary value of the award of the Independent Expert to the recipient thereof, excluding any amounts charged to such Party for fees and expenses, including attorneys' fees, and values of extensions of time (e.g., an extension of time to reach the Target Completion Date or the End Date) shall be calculated by multiplying the number of days in such extension by [______].  </w:t>
      </w:r>
      <w:r>
        <w:rPr>
          <w:b/>
          <w:bCs/>
          <w:color w:val="000000"/>
          <w:szCs w:val="24"/>
        </w:rPr>
        <w:t>[ALTERNATIVE B:</w:t>
      </w:r>
      <w:r>
        <w:rPr>
          <w:color w:val="000000"/>
          <w:szCs w:val="24"/>
        </w:rPr>
        <w:t xml:space="preserve"> </w:t>
      </w:r>
      <w:r>
        <w:rPr/>
        <w:t xml:space="preserve">The Independent Expert shall have the authority to make decisions to resolve disputes referred to the Independent Expert in accordance with these terms, and any decision made by the Independent Expert in relation to any individual dispute shall be binding on the Parties up to the date of Substantial Completion or earlier termination of this Contract, but thereafter may be referred </w:t>
      </w:r>
      <w:r>
        <w:rPr>
          <w:i/>
        </w:rPr>
        <w:t>de novo</w:t>
      </w:r>
      <w:r>
        <w:rPr/>
        <w:t xml:space="preserve"> to arbitration under Section 19.2 by either Party.]</w:t>
      </w:r>
    </w:p>
    <w:p>
      <w:pPr>
        <w:pStyle w:val="Normal"/>
        <w:ind w:hanging="720" w:start="2160" w:end="0"/>
        <w:jc w:val="both"/>
        <w:rPr/>
      </w:pPr>
      <w:r>
        <w:rPr/>
      </w:r>
    </w:p>
    <w:p>
      <w:pPr>
        <w:pStyle w:val="Normal"/>
        <w:ind w:hanging="720" w:start="2160" w:end="0"/>
        <w:jc w:val="both"/>
        <w:rPr/>
      </w:pPr>
      <w:r>
        <w:rPr/>
        <w:t>(i)</w:t>
        <w:tab/>
        <w:t>If the Independent Expert was appointed by the ICE, he or she shall be subject to replacement in accordance with the ICE Rules for Expertise.  In any event, if the Independent Expert fails to render a decision within 30 days after the hearing’s completion, or such longer or shorter period as the Parties may agree in writing, either Party may, upon giving notice to the other, terminate such appointment and apply to the ICE for the appointment of a new Independent Expert, who shall resolve the dispute in accordance with this Contract.</w:t>
      </w:r>
    </w:p>
    <w:p>
      <w:pPr>
        <w:pStyle w:val="Normal"/>
        <w:ind w:hanging="720" w:start="2160" w:end="0"/>
        <w:jc w:val="both"/>
        <w:rPr/>
      </w:pPr>
      <w:r>
        <w:rPr/>
      </w:r>
    </w:p>
    <w:p>
      <w:pPr>
        <w:pStyle w:val="Normal"/>
        <w:ind w:hanging="720" w:start="2160" w:end="0"/>
        <w:jc w:val="both"/>
        <w:rPr/>
      </w:pPr>
      <w:r>
        <w:rPr/>
        <w:t>(j)</w:t>
        <w:tab/>
        <w:t>Any fees and expenses charged by the Independent Expert and the ICE in connection with their responsibilities under this Section 19.1 shall be shared equally among the Parties.</w:t>
      </w:r>
    </w:p>
    <w:p>
      <w:pPr>
        <w:pStyle w:val="Normal"/>
        <w:ind w:hanging="720" w:start="2160" w:end="0"/>
        <w:jc w:val="both"/>
        <w:rPr/>
      </w:pPr>
      <w:r>
        <w:rPr/>
      </w:r>
    </w:p>
    <w:p>
      <w:pPr>
        <w:pStyle w:val="Normal"/>
        <w:ind w:hanging="720" w:start="2160" w:end="0"/>
        <w:jc w:val="both"/>
        <w:rPr/>
      </w:pPr>
      <w:r>
        <w:rPr/>
        <w:t>(k)</w:t>
        <w:tab/>
        <w:t>Delivery of the Expert Reference Notice shall toll the running of any applicable statute of limitations and any defenses based on the passage of time until the date of Substantial Completion or earlier termination of this Contract, and the Parties agree to take such action, if any, required to effectuate such tolling.</w:t>
      </w:r>
    </w:p>
    <w:p>
      <w:pPr>
        <w:pStyle w:val="Heading2"/>
        <w:ind w:hanging="0" w:start="0"/>
        <w:rPr/>
      </w:pPr>
      <w:bookmarkStart w:id="154" w:name="__RefHeading___Toc496435256"/>
      <w:bookmarkEnd w:id="154"/>
      <w:r>
        <w:rPr/>
        <w:t>Section 19.2</w:t>
        <w:tab/>
        <w:t>Senior Management Resolution.</w:t>
      </w:r>
    </w:p>
    <w:p>
      <w:pPr>
        <w:pStyle w:val="Normaltext"/>
        <w:jc w:val="both"/>
        <w:rPr/>
      </w:pPr>
      <w:r>
        <w:rPr/>
        <w:t>In the event of any dispute, claim or controversy arising out of or relating to this Contract or the breach, termination or validity thereof (a "</w:t>
      </w:r>
      <w:r>
        <w:rPr>
          <w:u w:val="single"/>
        </w:rPr>
        <w:t>Dispute</w:t>
      </w:r>
      <w:r>
        <w:rPr/>
        <w:t>") that the senior Project representatives of Construction Agent and Contractor have been unable to settle or agree upon within a period of fifteen (15) days after either party notifies the other in writing of the existence of the Dispute, Construction Agent and Contractor shall each nominate and commit a senior officer to meet at a mutually agreed time and place not later than thirty (30) days after receipt of written notice of the Dispute to attempt to resolve such Dispute.  Should a resolution of such Dispute not be obtained within fifteen (15) days after such meeting of senior officers for such purposes, or should such meeting of senior officers not occur within thirty days after the receipt of written notice of such Dispute, or such longer period as may be mutually agreed, then Construction Agent and Contractor  shall each have the right, by written notice to the other, to resolve the Dispute exclusively in accordance with the provisions of Section 19.3 hereof.</w:t>
      </w:r>
    </w:p>
    <w:p>
      <w:pPr>
        <w:pStyle w:val="Heading2"/>
        <w:ind w:hanging="0" w:start="0"/>
        <w:rPr/>
      </w:pPr>
      <w:bookmarkStart w:id="155" w:name="__RefHeading___Toc496435257"/>
      <w:bookmarkEnd w:id="155"/>
      <w:r>
        <w:rPr/>
        <w:t>Section 19.3</w:t>
        <w:tab/>
        <w:t>Arbitration.</w:t>
      </w:r>
    </w:p>
    <w:p>
      <w:pPr>
        <w:pStyle w:val="Normal"/>
        <w:jc w:val="both"/>
        <w:rPr/>
      </w:pPr>
      <w:r>
        <w:rPr/>
        <w:t>Except for remedies regarding Confidential Information under Section 20.4 and for Disputes that may be resolved by the Independent Expert under Section 19.1 before Substantial Completion or the earlier termination of this Contract, any Dispute not resolved pursuant to Section 19.2 shall be resolved exclusively by submission to binding arbitration in the Borough of Manhattan, New York,  in accordance with the Rules of Conciliation and Arbitration of the International Chamber of Commerce (the "</w:t>
      </w:r>
      <w:r>
        <w:rPr>
          <w:u w:val="single"/>
        </w:rPr>
        <w:t>ICC</w:t>
      </w:r>
      <w:r>
        <w:rPr/>
        <w:t>") then in effect, as modified herein, and the language of such arbitration shall be English.  There shall be three independent arbitrators, with each Party selecting one; the third arbitrator, who shall be the chairman of the panel and need not be a national of a country other than those of the Parties, shall be selected by the two arbitrators appointed by the Parties.  The claimant shall name its arbitrator in the demand for arbitration and the responding Party shall name its arbitrator within 30 days after receipt of the demand for arbitration.  The third arbitrator shall be named by the first two arbitrators within 30 days after the appointment of the second arbitrator.  Each arbitrator shall be qualified by at least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by the ICC.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hanging="0" w:start="0"/>
        <w:rPr/>
      </w:pPr>
      <w:bookmarkStart w:id="156" w:name="__RefHeading___Toc496435258"/>
      <w:bookmarkEnd w:id="156"/>
      <w:r>
        <w:rPr/>
        <w:t>Section 19.4</w:t>
        <w:tab/>
        <w:t>Submission to Jurisdiction and Service of Process.</w:t>
      </w:r>
    </w:p>
    <w:p>
      <w:pPr>
        <w:pStyle w:val="Normal"/>
        <w:jc w:val="both"/>
        <w:rPr/>
      </w:pPr>
      <w:r>
        <w:rPr/>
        <w:t>This Article 19, any decision by an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w:t>
      </w:r>
      <w:r>
        <w:rPr>
          <w:u w:val="single"/>
        </w:rPr>
        <w:t>Process Agent</w:t>
      </w:r>
      <w:r>
        <w:rPr/>
        <w:t>"), with an office currently at 111 Eighth Avenue,</w:t>
      </w:r>
      <w:r>
        <w:rPr>
          <w:spacing w:val="-3"/>
        </w:rPr>
        <w:t xml:space="preserve"> New York, New York 10011, </w:t>
      </w:r>
      <w:r>
        <w:rPr/>
        <w:t>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hanging="0" w:start="0"/>
        <w:rPr/>
      </w:pPr>
      <w:bookmarkStart w:id="157" w:name="__RefHeading___Toc496435259"/>
      <w:bookmarkEnd w:id="157"/>
      <w:r>
        <w:rPr/>
        <w:t>Section 19.5</w:t>
        <w:tab/>
        <w:t>Applicable Law and Arbitration Act; Waiver of Punitive Damages.</w:t>
      </w:r>
    </w:p>
    <w:p>
      <w:pPr>
        <w:pStyle w:val="Normal"/>
        <w:widowControl w:val="false"/>
        <w:jc w:val="both"/>
        <w:rPr/>
      </w:pPr>
      <w:r>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u w:val="single"/>
        </w:rPr>
        <w:t>provided</w:t>
      </w:r>
      <w:r>
        <w:rPr/>
        <w:t xml:space="preserve">, </w:t>
      </w:r>
      <w:r>
        <w:rPr>
          <w:u w:val="single"/>
        </w:rPr>
        <w:t>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pPr>
      <w:bookmarkStart w:id="158" w:name="__RefHeading___Toc496435260"/>
      <w:bookmarkEnd w:id="158"/>
      <w:r>
        <w:rPr/>
        <w:t>Section 19.6</w:t>
        <w:tab/>
        <w:t>Consolidation.</w:t>
      </w:r>
    </w:p>
    <w:p>
      <w:pPr>
        <w:pStyle w:val="Normal"/>
        <w:jc w:val="both"/>
        <w:rPr/>
      </w:pPr>
      <w:r>
        <w:rPr/>
        <w:t>The Parties agree to consolidation of related arbitrations between the Parties involving common issues of law or fact.</w:t>
      </w:r>
    </w:p>
    <w:p>
      <w:pPr>
        <w:pStyle w:val="Heading2"/>
        <w:ind w:hanging="0" w:start="0"/>
        <w:rPr/>
      </w:pPr>
      <w:bookmarkStart w:id="159" w:name="__RefHeading___Toc496435261"/>
      <w:bookmarkEnd w:id="159"/>
      <w:r>
        <w:rPr/>
        <w:t>Section 19.7</w:t>
        <w:tab/>
        <w:t>Continuation of Services.</w:t>
      </w:r>
    </w:p>
    <w:p>
      <w:pPr>
        <w:pStyle w:val="Normal"/>
        <w:jc w:val="both"/>
        <w:rPr/>
      </w:pPr>
      <w:r>
        <w:rPr/>
        <w:t>Except as otherwise provided hereunder, pending final resolution of any dispute, whether or not submitted to the Independent Expert or senior management for determination or to arbitration hereunder, the Parties shall continue to fulfill their respective obligations under this Contract.</w:t>
      </w:r>
    </w:p>
    <w:p>
      <w:pPr>
        <w:pStyle w:val="Normal"/>
        <w:jc w:val="both"/>
        <w:rPr/>
      </w:pPr>
      <w:r>
        <w:rPr/>
      </w:r>
    </w:p>
    <w:p>
      <w:pPr>
        <w:pStyle w:val="Heading1"/>
        <w:ind w:hanging="0" w:start="0"/>
        <w:rPr>
          <w:rStyle w:val="Hidden"/>
        </w:rPr>
      </w:pPr>
      <w:bookmarkStart w:id="160" w:name="__RefHeading___Toc496435262"/>
      <w:bookmarkEnd w:id="160"/>
      <w:r>
        <w:rPr/>
        <w:t>ARTICLE XX</w:t>
      </w:r>
    </w:p>
    <w:p>
      <w:pPr>
        <w:pStyle w:val="Heading1"/>
        <w:ind w:hanging="0" w:start="0"/>
        <w:rPr/>
      </w:pPr>
      <w:bookmarkStart w:id="161" w:name="__RefHeading___Toc496435263"/>
      <w:bookmarkEnd w:id="161"/>
      <w:r>
        <w:rPr/>
        <w:t>CONFIDENTIAL INFORMATION</w:t>
      </w:r>
    </w:p>
    <w:p>
      <w:pPr>
        <w:pStyle w:val="Heading2"/>
        <w:ind w:hanging="0" w:start="0"/>
        <w:rPr/>
      </w:pPr>
      <w:bookmarkStart w:id="162" w:name="__RefHeading___Toc496435264"/>
      <w:bookmarkEnd w:id="162"/>
      <w:r>
        <w:rPr/>
        <w:t>Section 20.1</w:t>
        <w:tab/>
        <w:t>Confidential Information.</w:t>
      </w:r>
    </w:p>
    <w:p>
      <w:pPr>
        <w:pStyle w:val="Normal"/>
        <w:widowControl w:val="false"/>
        <w:jc w:val="both"/>
        <w:rPr/>
      </w:pPr>
      <w:r>
        <w:rPr/>
        <w:t>From the Effective Date until two years following Substantial Completion of the Facility or the earlier termination of this Contract, neither Construction Agent, Contractor, Owner nor any licensee of Construction Agent or Owner pursuant to Section 8.1.4 shall disclose any Confidential Information other than to its Representatives, to the Independent Expert in any determination pursuant to Section 19.1, to the arbitrators in any arbitration pursuant to Section 19.3 and to any court (with an appropriate protective order) in any litigation pursuant to Section 19.4 or Section 20.4.  "</w:t>
      </w:r>
      <w:r>
        <w:rPr>
          <w:u w:val="single"/>
        </w:rPr>
        <w:t>Representatives</w:t>
      </w:r>
      <w:r>
        <w:rPr/>
        <w:t>," as used in this Contract, shall include Affiliates, Subcontractors, Lenders, and their respective directors, officers, employees, auditors, counsel and independent engineers. It is understood (a) that any Representative receiving Confidential Information shall be informed of the obligation of nondisclosure pursuant to this Contract and (b) Construction Agent and Contractor each shall be responsible for any breach of this Contract by its Representatives.</w:t>
      </w:r>
    </w:p>
    <w:p>
      <w:pPr>
        <w:pStyle w:val="Heading2"/>
        <w:ind w:hanging="0" w:start="0"/>
        <w:rPr/>
      </w:pPr>
      <w:bookmarkStart w:id="163" w:name="__RefHeading___Toc496435265"/>
      <w:bookmarkEnd w:id="163"/>
      <w:r>
        <w:rPr/>
        <w:t>Section 20.2</w:t>
        <w:tab/>
        <w:t>Notice Preceding Compelled Disclosure.</w:t>
      </w:r>
    </w:p>
    <w:p>
      <w:pPr>
        <w:pStyle w:val="Normal"/>
        <w:jc w:val="both"/>
        <w:rPr/>
      </w:pPr>
      <w:r>
        <w:rPr/>
        <w:t xml:space="preserve">If Contractor, Construction Agent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Contract.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u w:val="single"/>
        </w:rPr>
        <w:t>provided</w:t>
      </w:r>
      <w:r>
        <w:rPr/>
        <w:t xml:space="preserve"> that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164" w:name="__RefHeading___Toc496435266"/>
      <w:bookmarkEnd w:id="164"/>
      <w:r>
        <w:rPr/>
        <w:t>Section 20.3</w:t>
        <w:tab/>
        <w:t>Definition of "Confidential Information".</w:t>
      </w:r>
    </w:p>
    <w:p>
      <w:pPr>
        <w:pStyle w:val="Normal"/>
        <w:jc w:val="both"/>
        <w:rPr/>
      </w:pPr>
      <w:r>
        <w:rPr/>
        <w:t>The term "</w:t>
      </w:r>
      <w:r>
        <w:rPr>
          <w:u w:val="single"/>
        </w:rPr>
        <w:t>Confidential Information</w:t>
      </w:r>
      <w:r>
        <w:rPr/>
        <w:t>" shall mean all written information relating to the Facility marked "confidential" and furnished by one Party to the other after the Effective Date of this Contract. Confidential Information also shall include all written information generated by a Party or its Representatives that contains, reflects or is derived from furnished Confidential Information.  The term "</w:t>
      </w:r>
      <w:r>
        <w:rPr>
          <w:u w:val="single"/>
        </w:rPr>
        <w:t>written information</w:t>
      </w:r>
      <w:r>
        <w:rPr/>
        <w:t>" shall include information recorded or stored in a digital format on electronic, magnetic or optical media.  The following shall not constitute Confidential Information for purposes of this Contract: (a) information that is or becomes publicly available other than as a result of a disclosure in violation of this Contract, (b) information that already was known to the recipient prior to being furnished pursuant to this Contract, and (c) information that becomes available on a non-confidential basis from a source other than the disclosing Party if such source was not subject to any prohibition against transmitting the information to the recipient.</w:t>
      </w:r>
    </w:p>
    <w:p>
      <w:pPr>
        <w:pStyle w:val="Heading2"/>
        <w:ind w:hanging="0" w:start="0"/>
        <w:rPr/>
      </w:pPr>
      <w:bookmarkStart w:id="165" w:name="__RefHeading___Toc496435267"/>
      <w:bookmarkEnd w:id="165"/>
      <w:r>
        <w:rPr/>
        <w:t>Section 20.4</w:t>
        <w:tab/>
        <w:t>Remedies.</w:t>
      </w:r>
    </w:p>
    <w:p>
      <w:pPr>
        <w:pStyle w:val="Normal"/>
        <w:jc w:val="both"/>
        <w:rPr/>
      </w:pPr>
      <w:r>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the Process Agent</w:t>
      </w:r>
      <w:r>
        <w:rPr>
          <w:spacing w:val="-3"/>
        </w:rPr>
        <w:t xml:space="preserve">, </w:t>
      </w:r>
      <w:r>
        <w:rPr/>
        <w:t>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Contract.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Normal"/>
        <w:rPr/>
      </w:pPr>
      <w:r>
        <w:rPr/>
      </w:r>
    </w:p>
    <w:p>
      <w:pPr>
        <w:pStyle w:val="Heading1"/>
        <w:ind w:hanging="0" w:start="0"/>
        <w:rPr>
          <w:b w:val="false"/>
          <w:bCs w:val="false"/>
        </w:rPr>
      </w:pPr>
      <w:bookmarkStart w:id="166" w:name="__RefHeading___Toc496435268"/>
      <w:bookmarkEnd w:id="166"/>
      <w:r>
        <w:rPr/>
        <w:t>ARTICLE XXI</w:t>
      </w:r>
    </w:p>
    <w:p>
      <w:pPr>
        <w:pStyle w:val="Heading1"/>
        <w:ind w:hanging="0" w:start="0"/>
        <w:rPr>
          <w:rStyle w:val="Hidden"/>
        </w:rPr>
      </w:pPr>
      <w:bookmarkStart w:id="167" w:name="__RefHeading___Toc496435269"/>
      <w:bookmarkEnd w:id="167"/>
      <w:r>
        <w:rPr/>
        <w:t>SECURITY</w:t>
      </w:r>
    </w:p>
    <w:p>
      <w:pPr>
        <w:pStyle w:val="Heading2"/>
        <w:ind w:hanging="0" w:start="0"/>
        <w:rPr/>
      </w:pPr>
      <w:bookmarkStart w:id="168" w:name="__RefHeading___Toc496435270"/>
      <w:bookmarkEnd w:id="168"/>
      <w:r>
        <w:rPr/>
        <w:t>Section 21.1</w:t>
        <w:tab/>
        <w:t>Retention Bond.</w:t>
      </w:r>
    </w:p>
    <w:p>
      <w:pPr>
        <w:pStyle w:val="Normal"/>
        <w:jc w:val="both"/>
        <w:rPr/>
      </w:pPr>
      <w:r>
        <w:rPr/>
        <w:t>Contractor may provide Construction Agent one or more letters of credit or bank guarantees in a form reasonably acceptable to Construction Agent, issued by a financial institution rated at least "A" by Standard &amp; Poor’s and at least "A2" by Moody’s Investors Service (the "</w:t>
      </w:r>
      <w:r>
        <w:rPr>
          <w:u w:val="single"/>
        </w:rPr>
        <w:t>Retention Bond</w:t>
      </w:r>
      <w:r>
        <w:rPr/>
        <w:t>") in an amount equal to the Retention and/or any Punchlist Withholding.  The Retention Bond (or a replacement Retention Bond provided to Construction Agent prior to the expiration or termination of the Retention Bond) shall be in full force and effect from the date provided to Construction Agent and shall remain in full force and effect in respect of an amount equal to the Retention until Substantial Completion and thereafter in an amount equal to the Retention plus the Punchlist Withholding until Contractor’s completion of all Punchlist Items.  The Retention Bond may be drawn upon by Construction Agent in U.S. Dollars in the United States of America from time to time for Contractor’s failure to perform any of its material obligations under this Contract.</w:t>
      </w:r>
    </w:p>
    <w:p>
      <w:pPr>
        <w:pStyle w:val="Heading2"/>
        <w:ind w:hanging="0" w:start="0"/>
        <w:rPr/>
      </w:pPr>
      <w:bookmarkStart w:id="169" w:name="__RefHeading___Toc496435271"/>
      <w:bookmarkEnd w:id="169"/>
      <w:r>
        <w:rPr/>
        <w:t>Section 21.2</w:t>
        <w:tab/>
        <w:t>Warranty Bond.</w:t>
      </w:r>
    </w:p>
    <w:p>
      <w:pPr>
        <w:pStyle w:val="Normal"/>
        <w:keepNext w:val="true"/>
        <w:keepLines/>
        <w:widowControl w:val="false"/>
        <w:jc w:val="both"/>
        <w:rPr/>
      </w:pPr>
      <w:r>
        <w:rPr/>
        <w:t>At Substantial Completion Contractor shall provide a letter of credit or bank guarantee in a form reasonably acceptable to Construction Agent, issued by a financial institution rated at least "A2" by Standard &amp; Poor’s and at least "A+" by Moody’s Investors Service (the "Warranty Bond") in an amount equal to two and one-half percent (2½%) of the Contract Price, which Warranty Bond shall remain in full force and effect until the expiration of the Warranty Period.  The Warranty Bond may be drawn upon by Construction Agent in U.S. Dollars in the United States of America from time to time for Contractor’s failure to perform any of its material obligations pursuant to Article 12.</w:t>
      </w:r>
    </w:p>
    <w:p>
      <w:pPr>
        <w:pStyle w:val="Heading2"/>
        <w:ind w:hanging="0" w:start="0"/>
        <w:rPr/>
      </w:pPr>
      <w:bookmarkStart w:id="170" w:name="__RefHeading___Toc496435272"/>
      <w:bookmarkEnd w:id="170"/>
      <w:r>
        <w:rPr/>
        <w:t>Section 21.3</w:t>
        <w:tab/>
      </w:r>
      <w:r>
        <w:rPr>
          <w:lang w:val="en-CA"/>
        </w:rPr>
      </w:r>
      <w:r>
        <w:rPr>
          <w:color w:val="000000"/>
        </w:rPr>
        <w:t>Parent Guarantee.</w:t>
      </w:r>
    </w:p>
    <w:p>
      <w:pPr>
        <w:pStyle w:val="Normal"/>
        <w:jc w:val="both"/>
        <w:rPr/>
      </w:pPr>
      <w:r>
        <w:rPr>
          <w:color w:val="000000"/>
          <w:szCs w:val="24"/>
        </w:rPr>
        <w:t xml:space="preserve">Contractor shall provide to Construction Agent a parent guarantee issued by Enron Corp., in form and substance consistent with </w:t>
      </w:r>
      <w:r>
        <w:rPr>
          <w:color w:val="000000"/>
          <w:szCs w:val="24"/>
          <w:u w:val="single"/>
        </w:rPr>
        <w:t>Exhibit "F"</w:t>
      </w:r>
      <w:r>
        <w:rPr>
          <w:color w:val="000000"/>
          <w:szCs w:val="24"/>
        </w:rPr>
        <w:t xml:space="preserve"> (the "</w:t>
      </w:r>
      <w:r>
        <w:rPr>
          <w:color w:val="000000"/>
          <w:szCs w:val="24"/>
          <w:u w:val="single"/>
        </w:rPr>
        <w:t>Parent Guarantee</w:t>
      </w:r>
      <w:r>
        <w:rPr>
          <w:color w:val="000000"/>
          <w:szCs w:val="24"/>
        </w:rPr>
        <w:t>"), on or before Financial Close, and shall maintain such Parent Guarantee until Final Completion.  In the event Contractor shall be required but shall not have furnished the Parent Guarantee pursuant to this Section 21.3, then notwithstanding anything in this Contract to the contrary, Construction Agent shall be under no obligation to pay Contractor any amount otherwise payable to Contractor pursuant to the terms of this Contract until such time as Contractor furnishes such Parent Guarantee to Construction Agent.</w:t>
      </w:r>
    </w:p>
    <w:p>
      <w:pPr>
        <w:pStyle w:val="Normal"/>
        <w:rPr/>
      </w:pPr>
      <w:r>
        <w:rPr/>
      </w:r>
    </w:p>
    <w:p>
      <w:pPr>
        <w:pStyle w:val="Heading1"/>
        <w:ind w:hanging="0" w:start="0"/>
        <w:rPr/>
      </w:pPr>
      <w:bookmarkStart w:id="171" w:name="__RefHeading___Toc496435273"/>
      <w:bookmarkEnd w:id="171"/>
      <w:r>
        <w:rPr/>
        <w:t>ARTICLE XXII</w:t>
      </w:r>
    </w:p>
    <w:p>
      <w:pPr>
        <w:pStyle w:val="Heading1"/>
        <w:ind w:hanging="0" w:start="0"/>
        <w:rPr/>
      </w:pPr>
      <w:bookmarkStart w:id="172" w:name="__RefHeading___Toc496435274"/>
      <w:bookmarkEnd w:id="172"/>
      <w:r>
        <w:rPr/>
        <w:t>MISCELLANEOUS PROVISIONS</w:t>
      </w:r>
    </w:p>
    <w:p>
      <w:pPr>
        <w:pStyle w:val="Heading2"/>
        <w:ind w:hanging="0" w:start="0"/>
        <w:rPr/>
      </w:pPr>
      <w:bookmarkStart w:id="173" w:name="__RefHeading___Toc496435275"/>
      <w:bookmarkEnd w:id="173"/>
      <w:r>
        <w:rPr/>
        <w:t>Section 22.1</w:t>
        <w:tab/>
        <w:t>Governing Law.</w:t>
      </w:r>
    </w:p>
    <w:p>
      <w:pPr>
        <w:pStyle w:val="Normal"/>
        <w:jc w:val="both"/>
        <w:rPr/>
      </w:pPr>
      <w:r>
        <w:rPr/>
        <w:t>This Contract shall be governed by, construed and enforced in accordance with, the laws of the State of New York (without giving effect to the principles thereof relating to conflicts of laws except Section 5-1401 of the New York General Obligations Law).  The Parties disclaim any applicability of the United Nations Convention on the International Sale of Goods to this Contract.</w:t>
      </w:r>
    </w:p>
    <w:p>
      <w:pPr>
        <w:pStyle w:val="Heading2"/>
        <w:ind w:hanging="0" w:start="0"/>
        <w:rPr/>
      </w:pPr>
      <w:bookmarkStart w:id="174" w:name="__RefHeading___Toc496435276"/>
      <w:bookmarkEnd w:id="174"/>
      <w:r>
        <w:rPr/>
        <w:t>Section 22.2</w:t>
        <w:tab/>
        <w:t>Notice.</w:t>
      </w:r>
    </w:p>
    <w:p>
      <w:pPr>
        <w:pStyle w:val="Normal"/>
        <w:keepNext w:val="true"/>
        <w:keepLines/>
        <w:widowControl w:val="false"/>
        <w:jc w:val="both"/>
        <w:rPr/>
      </w:pPr>
      <w:r>
        <w:rPr/>
        <w:t>Any notice, demand, offer, or other written instrument required or permitted to be given pursuant to this Contract shall be in writing signed by the Party giving such notice and shall be in the English language and shall be hand delivered or sent by registered letter or telefax (subject to confirmation of receipt)or by internationally recognized overnight courier to the address or telefax number set forth below.</w:t>
      </w:r>
    </w:p>
    <w:p>
      <w:pPr>
        <w:pStyle w:val="Normal"/>
        <w:ind w:firstLine="720" w:end="0"/>
        <w:jc w:val="both"/>
        <w:rPr/>
      </w:pPr>
      <w:r>
        <w:rPr/>
      </w:r>
    </w:p>
    <w:p>
      <w:pPr>
        <w:pStyle w:val="Normal"/>
        <w:keepNext w:val="true"/>
        <w:ind w:firstLine="720" w:end="0"/>
        <w:jc w:val="both"/>
        <w:rPr/>
      </w:pPr>
      <w:r>
        <w:rPr/>
        <w:t>To Construction Agent and/or Owner:</w:t>
      </w:r>
    </w:p>
    <w:p>
      <w:pPr>
        <w:pStyle w:val="Normal"/>
        <w:keepNext w:val="true"/>
        <w:jc w:val="both"/>
        <w:rPr/>
      </w:pPr>
      <w:r>
        <w:rPr/>
      </w:r>
    </w:p>
    <w:p>
      <w:pPr>
        <w:pStyle w:val="Normal"/>
        <w:ind w:start="720" w:end="0"/>
        <w:rPr/>
      </w:pPr>
      <w:r>
        <w:rPr/>
        <w:t>[Enron _________________]</w:t>
      </w:r>
    </w:p>
    <w:p>
      <w:pPr>
        <w:pStyle w:val="Normal"/>
        <w:ind w:start="720" w:end="0"/>
        <w:rPr/>
      </w:pPr>
      <w:r>
        <w:rPr/>
        <w:t>333 Clay Street, Suite 1400</w:t>
      </w:r>
    </w:p>
    <w:p>
      <w:pPr>
        <w:pStyle w:val="Normal"/>
        <w:ind w:start="720" w:end="0"/>
        <w:rPr/>
      </w:pPr>
      <w:r>
        <w:rPr/>
        <w:t>Houston, Texas 77002-7361</w:t>
      </w:r>
    </w:p>
    <w:p>
      <w:pPr>
        <w:pStyle w:val="Normal"/>
        <w:ind w:start="720" w:end="0"/>
        <w:rPr/>
      </w:pPr>
      <w:r>
        <w:rPr/>
        <w:t xml:space="preserve">Attn: </w:t>
      </w:r>
    </w:p>
    <w:p>
      <w:pPr>
        <w:pStyle w:val="Normal"/>
        <w:ind w:start="720" w:end="0"/>
        <w:rPr/>
      </w:pPr>
      <w:r>
        <w:rPr/>
        <w:t xml:space="preserve">Telefax: </w:t>
      </w:r>
    </w:p>
    <w:p>
      <w:pPr>
        <w:pStyle w:val="Normal"/>
        <w:ind w:start="720" w:end="0"/>
        <w:jc w:val="both"/>
        <w:rPr/>
      </w:pPr>
      <w:r>
        <w:rPr/>
      </w:r>
    </w:p>
    <w:p>
      <w:pPr>
        <w:pStyle w:val="Normal"/>
        <w:ind w:start="720" w:end="0"/>
        <w:jc w:val="both"/>
        <w:rPr/>
      </w:pPr>
      <w:r>
        <w:rPr/>
        <w:t>[OR]</w:t>
      </w:r>
    </w:p>
    <w:p>
      <w:pPr>
        <w:pStyle w:val="Normal"/>
        <w:ind w:start="720" w:end="0"/>
        <w:jc w:val="both"/>
        <w:rPr/>
      </w:pPr>
      <w:r>
        <w:rPr/>
      </w:r>
    </w:p>
    <w:p>
      <w:pPr>
        <w:pStyle w:val="Normal"/>
        <w:ind w:start="720" w:end="0"/>
        <w:rPr/>
      </w:pPr>
      <w:r>
        <w:rPr/>
        <w:t>[Enron _________________]</w:t>
      </w:r>
    </w:p>
    <w:p>
      <w:pPr>
        <w:pStyle w:val="Normal"/>
        <w:ind w:start="720" w:end="0"/>
        <w:rPr/>
      </w:pPr>
      <w:r>
        <w:rPr/>
        <w:t>Av. Das Nações Unidas, 11.541-6° Andar</w:t>
      </w:r>
    </w:p>
    <w:p>
      <w:pPr>
        <w:pStyle w:val="Normal"/>
        <w:ind w:start="720" w:end="0"/>
        <w:rPr/>
      </w:pPr>
      <w:r>
        <w:rPr/>
        <w:t>Sao Paulo, Sao Paulo, Brasil</w:t>
      </w:r>
    </w:p>
    <w:p>
      <w:pPr>
        <w:pStyle w:val="Normal"/>
        <w:ind w:start="720" w:end="0"/>
        <w:rPr/>
      </w:pPr>
      <w:r>
        <w:rPr/>
        <w:t>CEP 04578-000</w:t>
      </w:r>
    </w:p>
    <w:p>
      <w:pPr>
        <w:pStyle w:val="Normal"/>
        <w:ind w:start="720" w:end="0"/>
        <w:rPr/>
      </w:pPr>
      <w:r>
        <w:rPr/>
        <w:t xml:space="preserve">Attn: </w:t>
      </w:r>
    </w:p>
    <w:p>
      <w:pPr>
        <w:pStyle w:val="Normal"/>
        <w:ind w:start="720" w:end="0"/>
        <w:rPr/>
      </w:pPr>
      <w:r>
        <w:rPr/>
        <w:t xml:space="preserve">Telefax: </w:t>
      </w:r>
    </w:p>
    <w:p>
      <w:pPr>
        <w:pStyle w:val="Normal"/>
        <w:jc w:val="both"/>
        <w:rPr/>
      </w:pPr>
      <w:r>
        <w:rPr/>
      </w:r>
    </w:p>
    <w:p>
      <w:pPr>
        <w:pStyle w:val="Normal"/>
        <w:keepNext w:val="true"/>
        <w:ind w:firstLine="720" w:start="720" w:end="0"/>
        <w:jc w:val="both"/>
        <w:rPr/>
      </w:pPr>
      <w:r>
        <w:rPr/>
        <w:t>With Copy To:</w:t>
      </w:r>
    </w:p>
    <w:p>
      <w:pPr>
        <w:pStyle w:val="Normal"/>
        <w:keepNext w:val="true"/>
        <w:ind w:firstLine="720" w:start="720" w:end="0"/>
        <w:jc w:val="both"/>
        <w:rPr/>
      </w:pPr>
      <w:r>
        <w:rPr/>
      </w:r>
    </w:p>
    <w:p>
      <w:pPr>
        <w:pStyle w:val="Normal"/>
        <w:ind w:start="720" w:end="0"/>
        <w:rPr/>
      </w:pPr>
      <w:r>
        <w:rPr/>
        <w:t>[Enron South America, L.L.C.]</w:t>
      </w:r>
    </w:p>
    <w:p>
      <w:pPr>
        <w:pStyle w:val="Normal"/>
        <w:ind w:start="720" w:end="0"/>
        <w:rPr/>
      </w:pPr>
      <w:r>
        <w:rPr/>
        <w:t>Av. Das Nações Unidas, 11.541-6° Andar</w:t>
      </w:r>
    </w:p>
    <w:p>
      <w:pPr>
        <w:pStyle w:val="Normal"/>
        <w:ind w:start="720" w:end="0"/>
        <w:rPr/>
      </w:pPr>
      <w:r>
        <w:rPr/>
        <w:t>Sao Paulo, Sao Paulo, Brasil</w:t>
      </w:r>
    </w:p>
    <w:p>
      <w:pPr>
        <w:pStyle w:val="Normal"/>
        <w:ind w:start="720" w:end="0"/>
        <w:rPr/>
      </w:pPr>
      <w:r>
        <w:rPr/>
        <w:t>CEP 04578-000</w:t>
      </w:r>
    </w:p>
    <w:p>
      <w:pPr>
        <w:pStyle w:val="Normal"/>
        <w:ind w:start="720" w:end="0"/>
        <w:rPr/>
      </w:pPr>
      <w:r>
        <w:rPr/>
        <w:t>Attn: General Counsel</w:t>
      </w:r>
    </w:p>
    <w:p>
      <w:pPr>
        <w:pStyle w:val="Normal"/>
        <w:ind w:start="720" w:end="0"/>
        <w:rPr/>
      </w:pPr>
      <w:r>
        <w:rPr/>
        <w:t>Telefax: [55-11-5507-3626]</w:t>
      </w:r>
    </w:p>
    <w:p>
      <w:pPr>
        <w:pStyle w:val="Normal"/>
        <w:jc w:val="both"/>
        <w:rPr/>
      </w:pPr>
      <w:r>
        <w:rPr/>
      </w:r>
    </w:p>
    <w:p>
      <w:pPr>
        <w:pStyle w:val="Normal"/>
        <w:keepNext w:val="true"/>
        <w:jc w:val="both"/>
        <w:rPr/>
      </w:pPr>
      <w:r>
        <w:rPr/>
        <w:t>To Contractor:</w:t>
      </w:r>
    </w:p>
    <w:p>
      <w:pPr>
        <w:pStyle w:val="Normal"/>
        <w:keepNext w:val="true"/>
        <w:jc w:val="both"/>
        <w:rPr>
          <w:b/>
        </w:rPr>
      </w:pPr>
      <w:r>
        <w:rPr>
          <w:b/>
        </w:rPr>
      </w:r>
    </w:p>
    <w:p>
      <w:pPr>
        <w:pStyle w:val="Normal"/>
        <w:ind w:firstLine="720" w:end="0"/>
        <w:jc w:val="both"/>
        <w:rPr/>
      </w:pPr>
      <w:r>
        <w:rPr>
          <w:b/>
        </w:rPr>
        <w:t xml:space="preserve">[Enron </w:t>
      </w:r>
      <w:r>
        <w:rPr>
          <w:b/>
          <w:color w:val="00FF00"/>
          <w:u w:val="single"/>
        </w:rPr>
        <w:tab/>
        <w:tab/>
        <w:tab/>
        <w:tab/>
        <w:tab/>
      </w:r>
      <w:r>
        <w:rPr>
          <w:b/>
          <w:u w:val="single"/>
        </w:rPr>
        <w:t>]</w:t>
      </w:r>
    </w:p>
    <w:p>
      <w:pPr>
        <w:pStyle w:val="Normal"/>
        <w:ind w:firstLine="720" w:end="0"/>
        <w:jc w:val="both"/>
        <w:rPr/>
      </w:pPr>
      <w:r>
        <w:rPr/>
        <w:t>333 Clay Street, Suite 400</w:t>
      </w:r>
    </w:p>
    <w:p>
      <w:pPr>
        <w:pStyle w:val="Normal"/>
        <w:ind w:firstLine="720" w:end="0"/>
        <w:jc w:val="both"/>
        <w:rPr/>
      </w:pPr>
      <w:r>
        <w:rPr/>
        <w:t>Houston, Texas 77002</w:t>
      </w:r>
    </w:p>
    <w:p>
      <w:pPr>
        <w:pStyle w:val="Normal"/>
        <w:ind w:firstLine="720" w:end="0"/>
        <w:jc w:val="both"/>
        <w:rPr/>
      </w:pPr>
      <w:r>
        <w:rPr/>
        <w:t>Attention: Project Manager</w:t>
      </w:r>
    </w:p>
    <w:p>
      <w:pPr>
        <w:pStyle w:val="Normal"/>
        <w:ind w:firstLine="720" w:end="0"/>
        <w:jc w:val="both"/>
        <w:rPr/>
      </w:pPr>
      <w:r>
        <w:rPr/>
        <w:t>Telefax: (713) 646</w:t>
        <w:noBreakHyphen/>
        <w:t>7202</w:t>
      </w:r>
    </w:p>
    <w:p>
      <w:pPr>
        <w:pStyle w:val="Normal"/>
        <w:ind w:firstLine="720" w:end="0"/>
        <w:jc w:val="both"/>
        <w:rPr/>
      </w:pPr>
      <w:r>
        <w:rPr/>
      </w:r>
    </w:p>
    <w:p>
      <w:pPr>
        <w:pStyle w:val="Normal"/>
        <w:ind w:firstLine="720" w:end="0"/>
        <w:jc w:val="both"/>
        <w:rPr/>
      </w:pPr>
      <w:r>
        <w:rPr/>
        <w:t>With a copy to:</w:t>
      </w:r>
    </w:p>
    <w:p>
      <w:pPr>
        <w:pStyle w:val="Normal"/>
        <w:jc w:val="both"/>
        <w:rPr>
          <w:b/>
        </w:rPr>
      </w:pPr>
      <w:r>
        <w:rPr>
          <w:b/>
        </w:rPr>
      </w:r>
    </w:p>
    <w:p>
      <w:pPr>
        <w:pStyle w:val="Normal"/>
        <w:ind w:firstLine="720" w:end="0"/>
        <w:jc w:val="both"/>
        <w:rPr/>
      </w:pPr>
      <w:r>
        <w:rPr>
          <w:b/>
        </w:rPr>
        <w:t xml:space="preserve">[Enron </w:t>
      </w:r>
      <w:r>
        <w:rPr>
          <w:b/>
          <w:color w:val="00FF00"/>
          <w:u w:val="single"/>
        </w:rPr>
        <w:tab/>
        <w:tab/>
        <w:tab/>
        <w:tab/>
        <w:tab/>
      </w:r>
      <w:r>
        <w:rPr>
          <w:b/>
          <w:u w:val="single"/>
        </w:rPr>
        <w:t>]</w:t>
      </w:r>
    </w:p>
    <w:p>
      <w:pPr>
        <w:pStyle w:val="Normal"/>
        <w:ind w:firstLine="720" w:end="0"/>
        <w:jc w:val="both"/>
        <w:rPr/>
      </w:pPr>
      <w:r>
        <w:rPr/>
        <w:t>333 Clay Street, Suite 400</w:t>
      </w:r>
    </w:p>
    <w:p>
      <w:pPr>
        <w:pStyle w:val="Normal"/>
        <w:ind w:firstLine="720" w:end="0"/>
        <w:jc w:val="both"/>
        <w:rPr/>
      </w:pPr>
      <w:r>
        <w:rPr/>
        <w:t>Houston, Texas 77002</w:t>
      </w:r>
    </w:p>
    <w:p>
      <w:pPr>
        <w:pStyle w:val="Normal"/>
        <w:ind w:firstLine="720" w:end="0"/>
        <w:jc w:val="both"/>
        <w:rPr/>
      </w:pPr>
      <w:r>
        <w:rPr/>
        <w:t>Attention: General Counsel</w:t>
      </w:r>
    </w:p>
    <w:p>
      <w:pPr>
        <w:pStyle w:val="Normal"/>
        <w:ind w:firstLine="720" w:end="0"/>
        <w:jc w:val="both"/>
        <w:rPr/>
      </w:pPr>
      <w:r>
        <w:rPr/>
        <w:t>Telefax: (713) 646</w:t>
        <w:noBreakHyphen/>
        <w:t>6280.</w:t>
      </w:r>
    </w:p>
    <w:p>
      <w:pPr>
        <w:pStyle w:val="Normal"/>
        <w:jc w:val="both"/>
        <w:rPr>
          <w:b/>
        </w:rPr>
      </w:pPr>
      <w:r>
        <w:rPr>
          <w:b/>
        </w:rPr>
      </w:r>
    </w:p>
    <w:p>
      <w:pPr>
        <w:pStyle w:val="Normal"/>
        <w:keepNext w:val="true"/>
        <w:ind w:firstLine="720" w:end="0"/>
        <w:jc w:val="both"/>
        <w:rPr/>
      </w:pPr>
      <w:r>
        <w:rPr>
          <w:b/>
        </w:rPr>
        <w:t xml:space="preserve">[Enron </w:t>
      </w:r>
      <w:r>
        <w:rPr>
          <w:b/>
          <w:color w:val="00FF00"/>
          <w:u w:val="single"/>
        </w:rPr>
        <w:tab/>
        <w:tab/>
        <w:tab/>
        <w:tab/>
        <w:tab/>
      </w:r>
      <w:r>
        <w:rPr>
          <w:b/>
          <w:u w:val="single"/>
        </w:rPr>
        <w:t>]</w:t>
      </w:r>
    </w:p>
    <w:p>
      <w:pPr>
        <w:pStyle w:val="Normal"/>
        <w:keepNext w:val="true"/>
        <w:ind w:firstLine="720" w:end="0"/>
        <w:jc w:val="both"/>
        <w:rPr/>
      </w:pPr>
      <w:r>
        <w:rPr/>
        <w:t>333 Clay Street, Suite 400</w:t>
      </w:r>
    </w:p>
    <w:p>
      <w:pPr>
        <w:pStyle w:val="Normal"/>
        <w:ind w:firstLine="720" w:end="0"/>
        <w:jc w:val="both"/>
        <w:rPr/>
      </w:pPr>
      <w:r>
        <w:rPr/>
        <w:t>Houston, Texas 77002</w:t>
      </w:r>
    </w:p>
    <w:p>
      <w:pPr>
        <w:pStyle w:val="Normal"/>
        <w:ind w:firstLine="720" w:end="0"/>
        <w:jc w:val="both"/>
        <w:rPr/>
      </w:pPr>
      <w:r>
        <w:rPr/>
        <w:t>Attention: General Counsel</w:t>
      </w:r>
    </w:p>
    <w:p>
      <w:pPr>
        <w:pStyle w:val="Normal"/>
        <w:ind w:firstLine="720" w:end="0"/>
        <w:jc w:val="both"/>
        <w:rPr/>
      </w:pPr>
      <w:r>
        <w:rPr/>
        <w:t>Telefax: (713) 646</w:t>
        <w:noBreakHyphen/>
        <w:t>6280.</w:t>
      </w:r>
    </w:p>
    <w:p>
      <w:pPr>
        <w:pStyle w:val="Normal"/>
        <w:jc w:val="both"/>
        <w:rPr/>
      </w:pPr>
      <w:r>
        <w:rPr/>
      </w:r>
    </w:p>
    <w:p>
      <w:pPr>
        <w:pStyle w:val="Normal"/>
        <w:jc w:val="both"/>
        <w:rPr/>
      </w:pPr>
      <w:r>
        <w:rPr/>
        <w:t>Each Party to this Contract shall have the right to change the place to which notice shall be sent or delivered by similar notice sent in like manner to the other Party.  The effective date of an notice issued pursuant to this Contract shall be as of the addressee’s receipt of such notice.</w:t>
      </w:r>
    </w:p>
    <w:p>
      <w:pPr>
        <w:pStyle w:val="Heading2"/>
        <w:ind w:hanging="0" w:start="0"/>
        <w:rPr/>
      </w:pPr>
      <w:bookmarkStart w:id="175" w:name="__RefHeading___Toc496435277"/>
      <w:bookmarkEnd w:id="175"/>
      <w:r>
        <w:rPr/>
        <w:t>Section 22.3</w:t>
        <w:tab/>
        <w:t>Assignment.</w:t>
      </w:r>
    </w:p>
    <w:p>
      <w:pPr>
        <w:pStyle w:val="Normal"/>
        <w:jc w:val="both"/>
        <w:rPr/>
      </w:pPr>
      <w:r>
        <w:rPr/>
        <w:t>Except as otherwise provided in this Section 22.3, this Contract may be assigned by any Party only with the prior written consent of the other Party. Construction Agent may assign this Contract to any Person that acquires Construction Agent's interest in the Project and demonstrates the ability to satisfy Construction Agent’s obligations under this Contract, so long as such party has equivalent or greater creditworthiness than Construction Agent, and to any Lender or any trustee or agent of any Lender as collateral security.  Contractor may assign this Contract only with the prior written consent of Construction Agent, which consent shall not be unreasonably delayed or withheld.  Any purported assignment not in compliance with this Section 22.3 shall be void and without force or effect.</w:t>
      </w:r>
    </w:p>
    <w:p>
      <w:pPr>
        <w:pStyle w:val="Heading2"/>
        <w:ind w:hanging="0" w:start="0"/>
        <w:rPr/>
      </w:pPr>
      <w:bookmarkStart w:id="176" w:name="__RefHeading___Toc496435278"/>
      <w:bookmarkEnd w:id="176"/>
      <w:r>
        <w:rPr/>
        <w:t>Section 22.4</w:t>
        <w:tab/>
        <w:t>No Unlawful Payments; Indemnity.</w:t>
      </w:r>
    </w:p>
    <w:p>
      <w:pPr>
        <w:pStyle w:val="Normal"/>
        <w:ind w:hanging="720" w:start="2160" w:end="0"/>
        <w:jc w:val="both"/>
        <w:rPr/>
      </w:pPr>
      <w:r>
        <w:rPr/>
        <w:t>(a)</w:t>
        <w:tab/>
        <w:t>Contractor and Construction Agent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w:t>
      </w:r>
      <w:r>
        <w:rPr>
          <w:color w:val="00FF00"/>
        </w:rPr>
        <w:t xml:space="preserve"> </w:t>
      </w:r>
      <w:r>
        <w:rPr>
          <w:color w:val="000000"/>
        </w:rPr>
        <w:t>Brazil</w:t>
      </w:r>
      <w:r>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2160" w:end="0"/>
        <w:jc w:val="both"/>
        <w:rPr/>
      </w:pPr>
      <w:r>
        <w:rPr/>
      </w:r>
    </w:p>
    <w:p>
      <w:pPr>
        <w:pStyle w:val="Normal"/>
        <w:ind w:hanging="720" w:start="2160" w:end="0"/>
        <w:jc w:val="both"/>
        <w:rPr/>
      </w:pPr>
      <w:r>
        <w:rPr/>
        <w:t>(b)</w:t>
        <w:tab/>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Construction Agent agrees to indemnify, defend and hold harmless Contractor Indemnitees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or the  Project.]</w:t>
      </w:r>
    </w:p>
    <w:p>
      <w:pPr>
        <w:pStyle w:val="Heading2"/>
        <w:ind w:hanging="0" w:start="0"/>
        <w:rPr/>
      </w:pPr>
      <w:bookmarkStart w:id="177" w:name="__RefHeading___Toc496435279"/>
      <w:bookmarkEnd w:id="177"/>
      <w:r>
        <w:rPr/>
        <w:t>Section 22.5</w:t>
        <w:tab/>
        <w:t>Miscellaneous.</w:t>
      </w:r>
    </w:p>
    <w:p>
      <w:pPr>
        <w:pStyle w:val="Normal"/>
        <w:ind w:firstLine="720" w:end="0"/>
        <w:jc w:val="both"/>
        <w:rPr/>
      </w:pPr>
      <w:r>
        <w:rPr/>
        <w:t>22.5.1.</w:t>
        <w:tab/>
      </w:r>
      <w:r>
        <w:rPr>
          <w:u w:val="single"/>
        </w:rPr>
        <w:t>Entire Agreement</w:t>
      </w:r>
      <w:r>
        <w:rPr/>
        <w:t>.  This Contract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Contract.</w:t>
      </w:r>
    </w:p>
    <w:p>
      <w:pPr>
        <w:pStyle w:val="Normal"/>
        <w:jc w:val="both"/>
        <w:rPr>
          <w:u w:val="single"/>
        </w:rPr>
      </w:pPr>
      <w:r>
        <w:rPr>
          <w:u w:val="single"/>
        </w:rPr>
      </w:r>
    </w:p>
    <w:p>
      <w:pPr>
        <w:pStyle w:val="Normal"/>
        <w:ind w:firstLine="720" w:end="0"/>
        <w:jc w:val="both"/>
        <w:rPr/>
      </w:pPr>
      <w:r>
        <w:rPr/>
        <w:t>22.5.2.</w:t>
        <w:tab/>
      </w:r>
      <w:r>
        <w:rPr>
          <w:u w:val="single"/>
        </w:rPr>
        <w:t>Amendments</w:t>
      </w:r>
      <w:r>
        <w:rPr/>
        <w:t>.  No change, amendment or modification of this Contract shall be valid or binding upon the Parties hereto unless such change, amendment or modification shall be in writing and duly executed by both Parties hereto.</w:t>
      </w:r>
    </w:p>
    <w:p>
      <w:pPr>
        <w:pStyle w:val="Normal"/>
        <w:jc w:val="both"/>
        <w:rPr>
          <w:u w:val="single"/>
        </w:rPr>
      </w:pPr>
      <w:r>
        <w:rPr>
          <w:u w:val="single"/>
        </w:rPr>
      </w:r>
    </w:p>
    <w:p>
      <w:pPr>
        <w:pStyle w:val="Normal"/>
        <w:ind w:firstLine="720" w:end="0"/>
        <w:jc w:val="both"/>
        <w:rPr/>
      </w:pPr>
      <w:r>
        <w:rPr/>
        <w:t>22.5.3.</w:t>
        <w:tab/>
      </w:r>
      <w:r>
        <w:rPr>
          <w:u w:val="single"/>
        </w:rPr>
        <w:t>Joint Effort</w:t>
      </w:r>
      <w:r>
        <w:rPr/>
        <w:t>.  Preparation of this Contract has been a joint effort of the Parties and the resulting document shall not be construed more severely against one of the Parties than against the other.</w:t>
      </w:r>
    </w:p>
    <w:p>
      <w:pPr>
        <w:pStyle w:val="Normal"/>
        <w:jc w:val="both"/>
        <w:rPr>
          <w:u w:val="single"/>
        </w:rPr>
      </w:pPr>
      <w:r>
        <w:rPr>
          <w:u w:val="single"/>
        </w:rPr>
      </w:r>
    </w:p>
    <w:p>
      <w:pPr>
        <w:pStyle w:val="Normal"/>
        <w:ind w:firstLine="720" w:end="0"/>
        <w:jc w:val="both"/>
        <w:rPr/>
      </w:pPr>
      <w:r>
        <w:rPr/>
        <w:t>22.5.4.</w:t>
        <w:tab/>
      </w:r>
      <w:r>
        <w:rPr>
          <w:u w:val="single"/>
        </w:rPr>
        <w:t>Captions</w:t>
      </w:r>
      <w:r>
        <w:rPr/>
        <w:t>.  The captions contained in this Contract are for convenience and reference only and in no way define, describe, extend or limit the scope of intent of this Contract or the intent of any provision contained herein.</w:t>
      </w:r>
    </w:p>
    <w:p>
      <w:pPr>
        <w:pStyle w:val="Normal"/>
        <w:jc w:val="both"/>
        <w:rPr>
          <w:u w:val="single"/>
        </w:rPr>
      </w:pPr>
      <w:r>
        <w:rPr>
          <w:u w:val="single"/>
        </w:rPr>
      </w:r>
    </w:p>
    <w:p>
      <w:pPr>
        <w:pStyle w:val="Normal"/>
        <w:ind w:firstLine="720" w:end="0"/>
        <w:jc w:val="both"/>
        <w:rPr/>
      </w:pPr>
      <w:r>
        <w:rPr/>
        <w:t>22.5.5.</w:t>
        <w:tab/>
      </w:r>
      <w:r>
        <w:rPr>
          <w:u w:val="single"/>
        </w:rPr>
        <w:t>Severability</w:t>
      </w:r>
      <w:r>
        <w:rPr/>
        <w:t>.  The invalidity of one or more phrases, sentences, clauses, sections or articles contained in this Contract shall not affect the validity of the remaining portions of the Contract so long as the material purposes of this Contract can be determined and effectuated. If any material provision is held to be invalid, the Parties agree to negotiate a mutually satisfactory equitable amendment to the provisions of this Contract to give effect to the underlying purposes of the invalid portion or provisions of  this Contract.</w:t>
      </w:r>
    </w:p>
    <w:p>
      <w:pPr>
        <w:pStyle w:val="Normal"/>
        <w:jc w:val="both"/>
        <w:rPr>
          <w:u w:val="single"/>
        </w:rPr>
      </w:pPr>
      <w:r>
        <w:rPr>
          <w:u w:val="single"/>
        </w:rPr>
      </w:r>
    </w:p>
    <w:p>
      <w:pPr>
        <w:pStyle w:val="Normal"/>
        <w:ind w:firstLine="720" w:end="0"/>
        <w:jc w:val="both"/>
        <w:rPr/>
      </w:pPr>
      <w:r>
        <w:rPr/>
        <w:t>22.5.6.</w:t>
        <w:tab/>
      </w:r>
      <w:r>
        <w:rPr>
          <w:u w:val="single"/>
        </w:rPr>
        <w:t>No Waiver</w:t>
      </w:r>
      <w:r>
        <w:rPr/>
        <w:t>.  Any failure of any Party to enforce any of the provisions of this Contract or to require compliance with any of its terms at any time during the pendency of this Contract shall in no way affect the validity of this Contract, or any part hereof, and shall not be deemed a waiver of the right of such Party thereafter to enforce such provisions or require compliance with such terms.</w:t>
      </w:r>
    </w:p>
    <w:p>
      <w:pPr>
        <w:pStyle w:val="Normal"/>
        <w:jc w:val="both"/>
        <w:rPr>
          <w:u w:val="single"/>
        </w:rPr>
      </w:pPr>
      <w:r>
        <w:rPr>
          <w:u w:val="single"/>
        </w:rPr>
      </w:r>
    </w:p>
    <w:p>
      <w:pPr>
        <w:pStyle w:val="Normal"/>
        <w:ind w:firstLine="720" w:end="0"/>
        <w:jc w:val="both"/>
        <w:rPr/>
      </w:pPr>
      <w:r>
        <w:rPr/>
        <w:t>22.5.7.</w:t>
        <w:tab/>
      </w:r>
      <w:r>
        <w:rPr>
          <w:u w:val="single"/>
        </w:rPr>
        <w:t>Successors and Assigns</w:t>
      </w:r>
      <w:r>
        <w:rPr/>
        <w:t>.  This Contract shall be binding upon and shall inure to the benefit of the Parties hereto and their successors and permitted assigns.</w:t>
      </w:r>
    </w:p>
    <w:p>
      <w:pPr>
        <w:pStyle w:val="Normal"/>
        <w:jc w:val="both"/>
        <w:rPr>
          <w:u w:val="single"/>
        </w:rPr>
      </w:pPr>
      <w:r>
        <w:rPr>
          <w:u w:val="single"/>
        </w:rPr>
      </w:r>
    </w:p>
    <w:p>
      <w:pPr>
        <w:pStyle w:val="Normal"/>
        <w:ind w:firstLine="720" w:end="0"/>
        <w:jc w:val="both"/>
        <w:rPr/>
      </w:pPr>
      <w:r>
        <w:rPr/>
        <w:t>22.5.8.</w:t>
        <w:tab/>
      </w:r>
      <w:r>
        <w:rPr>
          <w:u w:val="single"/>
        </w:rPr>
        <w:t>Obligations</w:t>
      </w:r>
      <w:r>
        <w:rPr/>
        <w:t>.  Nothing contained in this Contract shall be construed as constituting a joint venture or partnership between Contractor and Construction Agent.</w:t>
      </w:r>
    </w:p>
    <w:p>
      <w:pPr>
        <w:pStyle w:val="Normal"/>
        <w:jc w:val="both"/>
        <w:rPr>
          <w:u w:val="single"/>
        </w:rPr>
      </w:pPr>
      <w:r>
        <w:rPr>
          <w:u w:val="single"/>
        </w:rPr>
      </w:r>
    </w:p>
    <w:p>
      <w:pPr>
        <w:pStyle w:val="Normal"/>
        <w:ind w:firstLine="720" w:end="0"/>
        <w:jc w:val="both"/>
        <w:rPr/>
      </w:pPr>
      <w:r>
        <w:rPr/>
        <w:t>22.5.9.</w:t>
        <w:tab/>
      </w:r>
      <w:r>
        <w:rPr>
          <w:u w:val="single"/>
        </w:rPr>
        <w:t>Further Assurances</w:t>
      </w:r>
      <w:r>
        <w:rPr/>
        <w:t>.  Contractor and Construction Agent agree to provide such information, execute and deliver any instruments and documents and to take such other actions as may be necessary or reasonably requested by the other Party that are not inconsistent with the provisions of this Contract and that do not involve the assumptions of obligations other than those provided for in this Contract, in order to give full effect to this Contract and to carry out the intent of this Contract.</w:t>
      </w:r>
    </w:p>
    <w:p>
      <w:pPr>
        <w:pStyle w:val="Normal"/>
        <w:jc w:val="both"/>
        <w:rPr>
          <w:u w:val="single"/>
        </w:rPr>
      </w:pPr>
      <w:r>
        <w:rPr>
          <w:u w:val="single"/>
        </w:rPr>
      </w:r>
    </w:p>
    <w:p>
      <w:pPr>
        <w:pStyle w:val="Normal"/>
        <w:tabs>
          <w:tab w:val="clear" w:pos="720"/>
          <w:tab w:val="left" w:pos="1680" w:leader="none"/>
        </w:tabs>
        <w:ind w:firstLine="720" w:end="0"/>
        <w:jc w:val="both"/>
        <w:rPr/>
      </w:pPr>
      <w:r>
        <w:rPr/>
        <w:t>22.5.10.</w:t>
        <w:tab/>
      </w:r>
      <w:r>
        <w:rPr>
          <w:u w:val="single"/>
        </w:rPr>
        <w:t>Performance of Obligations</w:t>
      </w:r>
      <w:bookmarkStart w:id="178" w:name="DocXparanum"/>
      <w:bookmarkEnd w:id="178"/>
      <w:r>
        <w:rPr/>
        <w:t>.  If an obligation to be performed under this Contract falls due on a day other than a Business Day, the obligation shall be due on the next Business Day.</w:t>
      </w:r>
    </w:p>
    <w:p>
      <w:pPr>
        <w:pStyle w:val="Normal"/>
        <w:jc w:val="both"/>
        <w:rPr>
          <w:u w:val="single"/>
        </w:rPr>
      </w:pPr>
      <w:r>
        <w:rPr>
          <w:u w:val="single"/>
        </w:rPr>
      </w:r>
    </w:p>
    <w:p>
      <w:pPr>
        <w:pStyle w:val="Normal"/>
        <w:tabs>
          <w:tab w:val="clear" w:pos="720"/>
          <w:tab w:val="left" w:pos="1680" w:leader="none"/>
        </w:tabs>
        <w:ind w:firstLine="720" w:end="0"/>
        <w:jc w:val="both"/>
        <w:rPr/>
      </w:pPr>
      <w:r>
        <w:rPr/>
        <w:t>22.5.11.</w:t>
        <w:tab/>
      </w:r>
      <w:r>
        <w:rPr>
          <w:u w:val="single"/>
        </w:rPr>
        <w:t>Exhibits, Schedules</w:t>
      </w:r>
      <w:r>
        <w:rPr/>
        <w:t>.  Subject to Section 22.5.12, all exhibits and schedules referenced in this Contract shall be incorporated into this Contract by such reference.</w:t>
      </w:r>
    </w:p>
    <w:p>
      <w:pPr>
        <w:pStyle w:val="Normal"/>
        <w:jc w:val="both"/>
        <w:rPr>
          <w:u w:val="single"/>
        </w:rPr>
      </w:pPr>
      <w:r>
        <w:rPr>
          <w:u w:val="single"/>
        </w:rPr>
      </w:r>
    </w:p>
    <w:p>
      <w:pPr>
        <w:pStyle w:val="Normal"/>
        <w:rPr/>
      </w:pPr>
      <w:r>
        <w:rPr/>
        <w:tab/>
        <w:t xml:space="preserve">22.5.12.  </w:t>
      </w:r>
      <w:r>
        <w:rPr>
          <w:u w:val="single"/>
        </w:rPr>
        <w:t>Counterparts</w:t>
      </w:r>
      <w:r>
        <w:rPr/>
        <w:t>. </w:t>
      </w:r>
      <w:r>
        <w:rPr>
          <w:szCs w:val="24"/>
          <w:lang w:val="en-CA"/>
        </w:rPr>
      </w:r>
      <w:r>
        <w:rPr>
          <w:color w:val="000000"/>
          <w:szCs w:val="24"/>
        </w:rPr>
        <w:t>This Contract may be executed in two or more counterparts, each of which shall be deemed an original and together shall constitute one and the same Contract.</w:t>
      </w:r>
    </w:p>
    <w:p>
      <w:pPr>
        <w:pStyle w:val="Normal"/>
        <w:jc w:val="both"/>
        <w:rPr>
          <w:u w:val="single"/>
        </w:rPr>
      </w:pPr>
      <w:r>
        <w:rPr>
          <w:u w:val="single"/>
        </w:rPr>
      </w:r>
    </w:p>
    <w:p>
      <w:pPr>
        <w:pStyle w:val="Normal"/>
        <w:jc w:val="both"/>
        <w:rPr/>
      </w:pPr>
      <w:r>
        <w:rPr/>
        <w:tab/>
        <w:t xml:space="preserve">22.5.13.  </w:t>
      </w:r>
      <w:r>
        <w:rPr>
          <w:u w:val="single"/>
        </w:rPr>
        <w:t>Survival, Termination of Obligations</w:t>
      </w:r>
      <w:r>
        <w:rPr/>
        <w:t xml:space="preserve">.  The indemnities set forth in this Contract shall survive the completion of the Work, in the payment of the Contract Price and any termination of this Contract.  </w:t>
      </w:r>
      <w:r>
        <w:rPr>
          <w:szCs w:val="24"/>
          <w:lang w:val="en-CA"/>
        </w:rPr>
      </w:r>
      <w:r>
        <w:rPr>
          <w:color w:val="000000"/>
          <w:szCs w:val="24"/>
        </w:rPr>
        <w:t xml:space="preserve">Notwithstanding any applicable statute of limitations and except as otherwise explicitly set forth in Section 18.3.3 hereof, each party's liability to the other with respect to this Contract shall expire in full upon the later to occur of (i) forty-eight (48) months after Substantial Completion of the Facility and (ii) twenty-four (24) months after the expiration of all warranty periods under Article 12 hereof, </w:t>
      </w:r>
      <w:r>
        <w:rPr>
          <w:color w:val="000000"/>
          <w:szCs w:val="24"/>
          <w:u w:val="single"/>
        </w:rPr>
        <w:t>provided</w:t>
      </w:r>
      <w:r>
        <w:rPr>
          <w:color w:val="000000"/>
          <w:szCs w:val="24"/>
        </w:rPr>
        <w:t xml:space="preserve"> that such expiration shall not occur with respect to legal proceedings commenced or claims notified by one party to the other prior to the expiration of such period.</w:t>
      </w:r>
    </w:p>
    <w:p>
      <w:pPr>
        <w:pStyle w:val="Normal"/>
        <w:tabs>
          <w:tab w:val="clear" w:pos="720"/>
          <w:tab w:val="left" w:pos="1680" w:leader="none"/>
        </w:tabs>
        <w:ind w:firstLine="720" w:end="0"/>
        <w:jc w:val="both"/>
        <w:rPr/>
      </w:pPr>
      <w:r>
        <w:rPr/>
      </w:r>
      <w:r>
        <w:br w:type="page"/>
      </w:r>
    </w:p>
    <w:p>
      <w:pPr>
        <w:pStyle w:val="Normal"/>
        <w:jc w:val="both"/>
        <w:rPr/>
      </w:pPr>
      <w:r>
        <w:rPr/>
      </w:r>
    </w:p>
    <w:p>
      <w:pPr>
        <w:pStyle w:val="Normal"/>
        <w:numPr>
          <w:ilvl w:val="0"/>
          <w:numId w:val="0"/>
        </w:numPr>
        <w:jc w:val="both"/>
        <w:outlineLvl w:val="0"/>
        <w:rPr/>
      </w:pPr>
      <w:r>
        <w:rPr/>
        <w:t>IN WITNESS WHEREOF, Construction Agent and Contractor executed this Contract as of the date first written above.</w:t>
      </w:r>
    </w:p>
    <w:p>
      <w:pPr>
        <w:pStyle w:val="Normal"/>
        <w:jc w:val="both"/>
        <w:rPr/>
      </w:pPr>
      <w:r>
        <w:rPr/>
      </w:r>
    </w:p>
    <w:p>
      <w:pPr>
        <w:pStyle w:val="Normal"/>
        <w:rPr/>
      </w:pPr>
      <w:r>
        <w:rPr/>
        <w:t>Construction Agent:</w:t>
      </w:r>
    </w:p>
    <w:p>
      <w:pPr>
        <w:pStyle w:val="Normal"/>
        <w:rPr>
          <w:b/>
        </w:rPr>
      </w:pPr>
      <w:r>
        <w:rPr>
          <w:b/>
        </w:rPr>
      </w:r>
    </w:p>
    <w:p>
      <w:pPr>
        <w:pStyle w:val="Normal"/>
        <w:rPr>
          <w:b/>
        </w:rPr>
      </w:pPr>
      <w:r>
        <w:rPr>
          <w:b/>
        </w:rPr>
        <w:t>[_________________________________]</w:t>
      </w:r>
    </w:p>
    <w:p>
      <w:pPr>
        <w:pStyle w:val="Normal"/>
        <w:rPr>
          <w:b/>
        </w:rPr>
      </w:pPr>
      <w:r>
        <w:rPr>
          <w:b/>
        </w:rPr>
      </w:r>
    </w:p>
    <w:p>
      <w:pPr>
        <w:pStyle w:val="Normal"/>
        <w:rPr/>
      </w:pPr>
      <w:r>
        <w:rPr/>
        <w:t>By:_______________________________</w:t>
      </w:r>
    </w:p>
    <w:p>
      <w:pPr>
        <w:pStyle w:val="Normal"/>
        <w:rPr/>
      </w:pPr>
      <w:r>
        <w:rPr/>
      </w:r>
    </w:p>
    <w:p>
      <w:pPr>
        <w:pStyle w:val="Normal"/>
        <w:numPr>
          <w:ilvl w:val="0"/>
          <w:numId w:val="0"/>
        </w:numPr>
        <w:outlineLvl w:val="0"/>
        <w:rPr/>
      </w:pPr>
      <w:r>
        <w:rPr/>
        <w:t>Name:____________________________</w:t>
      </w:r>
    </w:p>
    <w:p>
      <w:pPr>
        <w:pStyle w:val="Normal"/>
        <w:rPr/>
      </w:pPr>
      <w:r>
        <w:rPr/>
      </w:r>
    </w:p>
    <w:p>
      <w:pPr>
        <w:pStyle w:val="Normal"/>
        <w:numPr>
          <w:ilvl w:val="0"/>
          <w:numId w:val="0"/>
        </w:numPr>
        <w:outlineLvl w:val="0"/>
        <w:rPr/>
      </w:pPr>
      <w:r>
        <w:rPr/>
        <w:t>Title:_____________________________</w:t>
      </w:r>
    </w:p>
    <w:p>
      <w:pPr>
        <w:pStyle w:val="Normal"/>
        <w:rPr/>
      </w:pPr>
      <w:r>
        <w:rPr/>
      </w:r>
    </w:p>
    <w:p>
      <w:pPr>
        <w:pStyle w:val="Normal"/>
        <w:rPr/>
      </w:pPr>
      <w:r>
        <w:rPr/>
        <w:t>Contractor:</w:t>
      </w:r>
    </w:p>
    <w:p>
      <w:pPr>
        <w:pStyle w:val="Normal"/>
        <w:rPr>
          <w:b/>
        </w:rPr>
      </w:pPr>
      <w:r>
        <w:rPr>
          <w:b/>
        </w:rPr>
      </w:r>
    </w:p>
    <w:p>
      <w:pPr>
        <w:pStyle w:val="Normal"/>
        <w:rPr>
          <w:b/>
        </w:rPr>
      </w:pPr>
      <w:r>
        <w:rPr>
          <w:b/>
        </w:rPr>
        <w:t>[________________________________]</w:t>
      </w:r>
    </w:p>
    <w:p>
      <w:pPr>
        <w:pStyle w:val="Normal"/>
        <w:rPr>
          <w:b/>
        </w:rPr>
      </w:pPr>
      <w:r>
        <w:rPr>
          <w:b/>
        </w:rPr>
      </w:r>
    </w:p>
    <w:p>
      <w:pPr>
        <w:pStyle w:val="Normal"/>
        <w:numPr>
          <w:ilvl w:val="0"/>
          <w:numId w:val="0"/>
        </w:numPr>
        <w:outlineLvl w:val="0"/>
        <w:rPr/>
      </w:pPr>
      <w:r>
        <w:rPr/>
        <w:t>By:______________________________</w:t>
      </w:r>
    </w:p>
    <w:p>
      <w:pPr>
        <w:pStyle w:val="Normal"/>
        <w:rPr/>
      </w:pPr>
      <w:r>
        <w:rPr/>
      </w:r>
    </w:p>
    <w:p>
      <w:pPr>
        <w:pStyle w:val="Normal"/>
        <w:numPr>
          <w:ilvl w:val="0"/>
          <w:numId w:val="0"/>
        </w:numPr>
        <w:outlineLvl w:val="0"/>
        <w:rPr/>
      </w:pPr>
      <w:r>
        <w:rPr/>
        <w:t>Name:___________________________</w:t>
      </w:r>
    </w:p>
    <w:p>
      <w:pPr>
        <w:pStyle w:val="Normal"/>
        <w:rPr/>
      </w:pPr>
      <w:r>
        <w:rPr/>
      </w:r>
    </w:p>
    <w:p>
      <w:pPr>
        <w:pStyle w:val="Normal"/>
        <w:numPr>
          <w:ilvl w:val="0"/>
          <w:numId w:val="0"/>
        </w:numPr>
        <w:outlineLvl w:val="0"/>
        <w:rPr/>
      </w:pPr>
      <w:r>
        <w:rPr/>
        <w:t>Title:____________________________</w:t>
      </w:r>
    </w:p>
    <w:p>
      <w:pPr>
        <w:pStyle w:val="Normal"/>
        <w:rPr/>
      </w:pPr>
      <w:r>
        <w:rPr/>
      </w:r>
    </w:p>
    <w:p>
      <w:pPr>
        <w:pStyle w:val="Normal"/>
        <w:rPr/>
      </w:pPr>
      <w:r>
        <w:rPr/>
      </w:r>
    </w:p>
    <w:sectPr>
      <w:footerReference w:type="default" r:id="rId6"/>
      <w:footerReference w:type="first" r:id="rId7"/>
      <w:type w:val="nextPage"/>
      <w:pgSz w:w="12240" w:h="15840"/>
      <w:pgMar w:left="960" w:right="960" w:gutter="0" w:header="0" w:top="1956" w:footer="720" w:bottom="179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 w:name="CG Times (WN)">
    <w:charset w:val="00" w:characterSet="windows-1252"/>
    <w:family w:val="roman"/>
    <w:pitch w:val="default"/>
  </w:font>
  <w:font w:name="WP MultinationalA Roman">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48666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486660" cy="20955"/>
                      </a:xfrm>
                      <a:prstGeom prst="rect"/>
                      <a:solidFill>
                        <a:srgbClr val="FFFFFF">
                          <a:alpha val="0"/>
                        </a:srgbClr>
                      </a:solidFill>
                    </wps:spPr>
                    <wps:txbx>
                      <w:txbxContent>
                        <w:p>
                          <w:pPr>
                            <w:pStyle w:val="FooterB"/>
                            <w:tabs>
                              <w:tab w:val="clear" w:pos="3960"/>
                              <w:tab w:val="clear" w:pos="5760"/>
                              <w:tab w:val="center" w:pos="4680" w:leader="none"/>
                              <w:tab w:val="left" w:pos="7560" w:leader="none"/>
                            </w:tabs>
                            <w:ind w:end="-1440"/>
                            <w:rPr>
                              <w:rStyle w:val="PageNumber"/>
                            </w:rPr>
                          </w:pPr>
                          <w:r>
                            <w:rPr/>
                            <w:t>39444.04-Houston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tab/>
                            <w:t>Draft October 19, 2000</w:t>
                          </w:r>
                        </w:p>
                      </w:txbxContent>
                    </wps:txbx>
                    <wps:bodyPr anchor="t" lIns="0" tIns="0" rIns="0" bIns="0">
                      <a:noAutofit/>
                    </wps:bodyPr>
                  </wps:wsp>
                </a:graphicData>
              </a:graphic>
            </wp:anchor>
          </w:drawing>
        </mc:Choice>
        <mc:Fallback>
          <w:pict>
            <v:rect fillcolor="#FFFFFF" style="position:absolute;rotation:-0;width:195.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B"/>
                      <w:tabs>
                        <w:tab w:val="clear" w:pos="3960"/>
                        <w:tab w:val="clear" w:pos="5760"/>
                        <w:tab w:val="center" w:pos="4680" w:leader="none"/>
                        <w:tab w:val="left" w:pos="7560" w:leader="none"/>
                      </w:tabs>
                      <w:ind w:end="-1440"/>
                      <w:rPr>
                        <w:rStyle w:val="PageNumber"/>
                      </w:rPr>
                    </w:pPr>
                    <w:r>
                      <w:rPr/>
                      <w:t>39444.04-Houston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tab/>
                      <w:t>Draft October 19, 2000</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B"/>
      <w:tabs>
        <w:tab w:val="clear" w:pos="5760"/>
        <w:tab w:val="center" w:pos="3960" w:leader="none"/>
        <w:tab w:val="left" w:pos="7560" w:leader="none"/>
      </w:tabs>
      <w:ind w:end="-1440"/>
      <w:rPr/>
    </w:pPr>
    <w:r>
      <w:rPr/>
      <w:t>39444.04-Houston Server 1A</w:t>
      <w:tab/>
      <w:tab/>
      <w:t>Draft October 19,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rPr/>
    </w:pPr>
    <w:r>
      <w:rPr/>
    </w:r>
    <w:r>
      <mc:AlternateContent>
        <mc:Choice Requires="wps">
          <w:drawing>
            <wp:anchor behindDoc="0" distT="0" distB="0" distL="0" distR="0" simplePos="0" locked="0" layoutInCell="0" allowOverlap="1" relativeHeight="95">
              <wp:simplePos x="0" y="0"/>
              <wp:positionH relativeFrom="margin">
                <wp:align>center</wp:align>
              </wp:positionH>
              <wp:positionV relativeFrom="paragraph">
                <wp:posOffset>635</wp:posOffset>
              </wp:positionV>
              <wp:extent cx="483425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4834255" cy="175260"/>
                      </a:xfrm>
                      <a:prstGeom prst="rect"/>
                      <a:solidFill>
                        <a:srgbClr val="FFFFFF">
                          <a:alpha val="0"/>
                        </a:srgbClr>
                      </a:solidFill>
                    </wps:spPr>
                    <wps:txbx>
                      <w:txbxContent>
                        <w:p>
                          <w:pPr>
                            <w:pStyle w:val="FooterB"/>
                            <w:tabs>
                              <w:tab w:val="clear" w:pos="3960"/>
                              <w:tab w:val="clear" w:pos="5760"/>
                              <w:tab w:val="center" w:pos="4680" w:leader="none"/>
                              <w:tab w:val="left" w:pos="7560" w:leader="none"/>
                            </w:tabs>
                            <w:ind w:end="-1440"/>
                            <w:rPr/>
                          </w:pPr>
                          <w:r>
                            <w:rPr/>
                            <w:t>39444.04-Houston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w:t>
                          </w:r>
                          <w:r>
                            <w:rPr>
                              <w:rStyle w:val="PageNumber"/>
                              <w:sz w:val="24"/>
                            </w:rPr>
                            <w:fldChar w:fldCharType="end"/>
                          </w:r>
                          <w:r>
                            <w:rPr/>
                            <w:tab/>
                            <w:t>Draft October 19, 2000</w:t>
                          </w:r>
                        </w:p>
                      </w:txbxContent>
                    </wps:txbx>
                    <wps:bodyPr anchor="t" lIns="0" tIns="0" rIns="0" bIns="0">
                      <a:noAutofit/>
                    </wps:bodyPr>
                  </wps:wsp>
                </a:graphicData>
              </a:graphic>
            </wp:anchor>
          </w:drawing>
        </mc:Choice>
        <mc:Fallback>
          <w:pict>
            <v:rect fillcolor="#FFFFFF" style="position:absolute;rotation:-0;width:380.65pt;height:13.8pt;mso-wrap-distance-left:0pt;mso-wrap-distance-right:0pt;mso-wrap-distance-top:0pt;mso-wrap-distance-bottom:0pt;margin-top:0.05pt;mso-position-vertical-relative:text;margin-left:46.7pt;mso-position-horizontal:center;mso-position-horizontal-relative:margin">
              <v:fill opacity="0f"/>
              <v:textbox inset="0in,0in,0in,0in">
                <w:txbxContent>
                  <w:p>
                    <w:pPr>
                      <w:pStyle w:val="FooterB"/>
                      <w:tabs>
                        <w:tab w:val="clear" w:pos="3960"/>
                        <w:tab w:val="clear" w:pos="5760"/>
                        <w:tab w:val="center" w:pos="4680" w:leader="none"/>
                        <w:tab w:val="left" w:pos="7560" w:leader="none"/>
                      </w:tabs>
                      <w:ind w:end="-1440"/>
                      <w:rPr/>
                    </w:pPr>
                    <w:r>
                      <w:rPr/>
                      <w:t>39444.04-Houston Server 1A</w:t>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vi</w:t>
                    </w:r>
                    <w:r>
                      <w:rPr>
                        <w:rStyle w:val="PageNumber"/>
                        <w:sz w:val="24"/>
                      </w:rPr>
                      <w:fldChar w:fldCharType="end"/>
                    </w:r>
                    <w:r>
                      <w:rPr/>
                      <w:tab/>
                      <w:t>Draft October 19, 2000</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9">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5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p>
                </w:txbxContent>
              </v:textbox>
              <w10:wrap type="square"/>
            </v:rect>
          </w:pict>
        </mc:Fallback>
      </mc:AlternateContent>
    </w:r>
  </w:p>
  <w:p>
    <w:pPr>
      <w:pStyle w:val="FooterB"/>
      <w:tabs>
        <w:tab w:val="clear" w:pos="5760"/>
        <w:tab w:val="center" w:pos="3960" w:leader="none"/>
        <w:tab w:val="left" w:pos="8280" w:leader="none"/>
      </w:tabs>
      <w:ind w:end="-1440"/>
      <w:rPr/>
    </w:pPr>
    <w:r>
      <w:rPr/>
      <w:t>39444.04-Houston Server 1A</w:t>
      <w:tab/>
      <w:tab/>
      <w:t>Draft October 17, 2000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863"/>
        </w:tabs>
        <w:ind w:start="2863" w:hanging="720"/>
      </w:pPr>
      <w:rPr>
        <w:sz w:val="24"/>
        <w:i w:val="false"/>
        <w:b w:val="false"/>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end"/>
      <w:pPr>
        <w:tabs>
          <w:tab w:val="num" w:pos="1080"/>
        </w:tabs>
        <w:ind w:start="1080" w:hanging="360"/>
      </w:pPr>
      <w:rPr/>
    </w:lvl>
    <w:lvl w:ilvl="3">
      <w:start w:val="1"/>
      <w:numFmt w:val="decimal"/>
      <w:lvlText w:val="(%4)"/>
      <w:lvlJc w:val="start"/>
      <w:pPr>
        <w:tabs>
          <w:tab w:val="num" w:pos="1800"/>
        </w:tabs>
        <w:ind w:start="1440" w:hanging="360"/>
      </w:pPr>
      <w:rPr/>
    </w:lvl>
    <w:lvl w:ilvl="4">
      <w:start w:val="1"/>
      <w:numFmt w:val="lowerLetter"/>
      <w:lvlText w:val="(%5)"/>
      <w:lvlJc w:val="start"/>
      <w:pPr>
        <w:tabs>
          <w:tab w:val="num" w:pos="2160"/>
        </w:tabs>
        <w:ind w:start="1800" w:hanging="360"/>
      </w:pPr>
      <w:rPr/>
    </w:lvl>
    <w:lvl w:ilvl="5">
      <w:start w:val="1"/>
      <w:numFmt w:val="lowerRoman"/>
      <w:lvlText w:val="(%6)"/>
      <w:lvlJc w:val="start"/>
      <w:pPr>
        <w:tabs>
          <w:tab w:val="num" w:pos="288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600"/>
        </w:tabs>
        <w:ind w:start="3240" w:hanging="360"/>
      </w:pPr>
      <w:rPr/>
    </w:lvl>
  </w:abstractNum>
  <w:abstractNum w:abstractNumId="4">
    <w:lvl w:ilvl="0">
      <w:start w:val="1"/>
      <w:numFmt w:val="lowerLetter"/>
      <w:lvlText w:val="(%1)"/>
      <w:lvlJc w:val="start"/>
      <w:pPr>
        <w:tabs>
          <w:tab w:val="num" w:pos="720"/>
        </w:tabs>
        <w:ind w:start="720" w:hanging="720"/>
      </w:pPr>
    </w:lvl>
  </w:abstractNum>
  <w:abstractNum w:abstractNumId="5">
    <w:lvl w:ilvl="0">
      <w:start w:val="1"/>
      <w:numFmt w:val="decimal"/>
      <w:lvlText w:val="%1."/>
      <w:lvlJc w:val="start"/>
      <w:pPr>
        <w:tabs>
          <w:tab w:val="num" w:pos="720"/>
        </w:tabs>
        <w:ind w:start="720" w:hanging="720"/>
      </w:pPr>
    </w:lvl>
    <w:lvl w:ilvl="1">
      <w:start w:val="1"/>
      <w:numFmt w:val="decimal"/>
      <w:lvlText w:val="%1.%2."/>
      <w:lvlJc w:val="start"/>
      <w:pPr>
        <w:tabs>
          <w:tab w:val="num" w:pos="360"/>
        </w:tabs>
        <w:ind w:start="0" w:hanging="0"/>
      </w:pPr>
      <w:rPr>
        <w:rFonts w:ascii="Arial" w:hAnsi="Arial" w:cs="Arial"/>
      </w:rPr>
    </w:lvl>
    <w:lvl w:ilvl="2">
      <w:start w:val="1"/>
      <w:numFmt w:val="decimal"/>
      <w:lvlText w:val="%1.%2.%3."/>
      <w:lvlJc w:val="start"/>
      <w:pPr>
        <w:tabs>
          <w:tab w:val="num" w:pos="1800"/>
        </w:tabs>
        <w:ind w:start="1224" w:hanging="504"/>
      </w:p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mallCaps/>
      <w:kern w:val="2"/>
      <w:szCs w:val="32"/>
    </w:rPr>
  </w:style>
  <w:style w:type="paragraph" w:styleId="Heading2">
    <w:name w:val="heading 2"/>
    <w:basedOn w:val="Normal"/>
    <w:next w:val="Normal"/>
    <w:qFormat/>
    <w:pPr>
      <w:keepNext w:val="true"/>
      <w:numPr>
        <w:ilvl w:val="1"/>
        <w:numId w:val="1"/>
      </w:numPr>
      <w:tabs>
        <w:tab w:val="clear" w:pos="720"/>
        <w:tab w:val="left" w:pos="1440" w:leader="none"/>
      </w:tabs>
      <w:spacing w:before="240" w:after="240"/>
      <w:outlineLvl w:val="1"/>
    </w:pPr>
    <w:rPr>
      <w:b/>
      <w:bCs/>
      <w:iCs/>
      <w:szCs w:val="28"/>
    </w:rPr>
  </w:style>
  <w:style w:type="paragraph" w:styleId="Heading3">
    <w:name w:val="heading 3"/>
    <w:basedOn w:val="Normal"/>
    <w:next w:val="Normal"/>
    <w:qFormat/>
    <w:pPr>
      <w:keepNext w:val="true"/>
      <w:numPr>
        <w:ilvl w:val="2"/>
        <w:numId w:val="1"/>
      </w:numPr>
      <w:spacing w:before="240" w:after="60"/>
      <w:outlineLvl w:val="2"/>
    </w:pPr>
    <w:rPr>
      <w:rFonts w:cs="Arial"/>
      <w:bCs/>
      <w:i/>
      <w:szCs w:val="26"/>
    </w:rPr>
  </w:style>
  <w:style w:type="paragraph" w:styleId="Heading4">
    <w:name w:val="heading 4"/>
    <w:basedOn w:val="Normal"/>
    <w:next w:val="Normal"/>
    <w:qFormat/>
    <w:pPr>
      <w:keepNext w:val="true"/>
      <w:numPr>
        <w:ilvl w:val="3"/>
        <w:numId w:val="1"/>
      </w:numPr>
      <w:spacing w:before="240" w:after="60"/>
      <w:outlineLvl w:val="3"/>
    </w:pPr>
    <w:rPr>
      <w:b/>
      <w:bCs/>
      <w:szCs w:val="28"/>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b w:val="false"/>
      <w:i w:val="false"/>
      <w:sz w:val="24"/>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sz w:val="16"/>
    </w:rPr>
  </w:style>
  <w:style w:type="character" w:styleId="WW8Num22z0">
    <w:name w:val="WW8Num22z0"/>
    <w:qFormat/>
    <w:rPr>
      <w:b w:val="false"/>
      <w:i w:val="false"/>
      <w:sz w:val="24"/>
    </w:rPr>
  </w:style>
  <w:style w:type="character" w:styleId="WW8Num23z0">
    <w:name w:val="WW8Num23z0"/>
    <w:qFormat/>
    <w:rPr>
      <w:rFonts w:ascii="Symbol" w:hAnsi="Symbol" w:cs="Symbol"/>
      <w:sz w:val="16"/>
    </w:rPr>
  </w:style>
  <w:style w:type="character" w:styleId="WW8Num24z0">
    <w:name w:val="WW8Num24z0"/>
    <w:qFormat/>
    <w:rPr>
      <w:rFonts w:ascii="Symbol" w:hAnsi="Symbol" w:cs="Symbol"/>
    </w:rPr>
  </w:style>
  <w:style w:type="character" w:styleId="WW8Num25z0">
    <w:name w:val="WW8Num25z0"/>
    <w:qFormat/>
    <w:rPr>
      <w:rFonts w:ascii="Symbol" w:hAnsi="Symbol" w:cs="Symbol"/>
      <w:sz w:val="16"/>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b w:val="false"/>
      <w:i w:val="false"/>
      <w:sz w:val="24"/>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2z1">
    <w:name w:val="WW8Num32z1"/>
    <w:qFormat/>
    <w:rPr>
      <w:u w:val="none"/>
    </w:rPr>
  </w:style>
  <w:style w:type="character" w:styleId="WW8Num33z0">
    <w:name w:val="WW8Num33z0"/>
    <w:qFormat/>
    <w:rPr>
      <w:rFonts w:ascii="Symbol" w:hAnsi="Symbol" w:cs="Symbol"/>
    </w:rPr>
  </w:style>
  <w:style w:type="character" w:styleId="WW8Num34z0">
    <w:name w:val="WW8Num34z0"/>
    <w:qFormat/>
    <w:rPr>
      <w:rFonts w:ascii="Symbol" w:hAnsi="Symbol" w:cs="Symbol"/>
      <w:sz w:val="16"/>
    </w:rPr>
  </w:style>
  <w:style w:type="character" w:styleId="WW8Num35z0">
    <w:name w:val="WW8Num35z0"/>
    <w:qFormat/>
    <w:rPr>
      <w:rFonts w:ascii="Symbol" w:hAnsi="Symbol" w:cs="Symbol"/>
    </w:rPr>
  </w:style>
  <w:style w:type="character" w:styleId="WW8Num36z0">
    <w:name w:val="WW8Num36z0"/>
    <w:qFormat/>
    <w:rPr>
      <w:rFonts w:ascii="Symbol" w:hAnsi="Symbol" w:cs="Symbol"/>
      <w:sz w:val="24"/>
    </w:rPr>
  </w:style>
  <w:style w:type="character" w:styleId="WW8Num37z0">
    <w:name w:val="WW8Num37z0"/>
    <w:qFormat/>
    <w:rPr>
      <w:rFonts w:ascii="Symbol" w:hAnsi="Symbol" w:cs="Symbol"/>
      <w:color w:val="auto"/>
      <w:sz w:val="16"/>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u w:val="none"/>
    </w:rPr>
  </w:style>
  <w:style w:type="character" w:styleId="WW8Num42z0">
    <w:name w:val="WW8Num42z0"/>
    <w:qFormat/>
    <w:rPr>
      <w:rFonts w:ascii="Symbol" w:hAnsi="Symbol" w:cs="Symbol"/>
      <w:sz w:val="24"/>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sz w:val="24"/>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sz w:val="16"/>
    </w:rPr>
  </w:style>
  <w:style w:type="character" w:styleId="WW8Num54z0">
    <w:name w:val="WW8Num54z0"/>
    <w:qFormat/>
    <w:rPr/>
  </w:style>
  <w:style w:type="character" w:styleId="WW8Num55z0">
    <w:name w:val="WW8Num55z0"/>
    <w:qFormat/>
    <w:rPr>
      <w:rFonts w:ascii="Symbol" w:hAnsi="Symbol" w:cs="Symbol"/>
      <w:sz w:val="16"/>
    </w:rPr>
  </w:style>
  <w:style w:type="character" w:styleId="WW8Num56z0">
    <w:name w:val="WW8Num56z0"/>
    <w:qFormat/>
    <w:rPr>
      <w:b w:val="false"/>
      <w:i w:val="false"/>
      <w:sz w:val="24"/>
    </w:rPr>
  </w:style>
  <w:style w:type="character" w:styleId="WW8Num57z0">
    <w:name w:val="WW8Num57z0"/>
    <w:qFormat/>
    <w:rPr/>
  </w:style>
  <w:style w:type="character" w:styleId="WW8Num58z0">
    <w:name w:val="WW8Num58z0"/>
    <w:qFormat/>
    <w:rPr>
      <w:b/>
      <w:i w:val="false"/>
      <w:strike w:val="false"/>
      <w:dstrike w:val="false"/>
      <w:shadow w:val="false"/>
      <w:vanish w:val="false"/>
      <w:color w:val="auto"/>
      <w:position w:val="0"/>
      <w:sz w:val="24"/>
      <w:u w:val="single"/>
      <w:vertAlign w:val="baseline"/>
    </w:rPr>
  </w:style>
  <w:style w:type="character" w:styleId="WW8Num58z1">
    <w:name w:val="WW8Num58z1"/>
    <w:qFormat/>
    <w:rPr>
      <w:caps w:val="false"/>
      <w:smallCaps w:val="false"/>
      <w:strike w:val="false"/>
      <w:dstrike w:val="false"/>
      <w:shadow w:val="false"/>
      <w:vanish w:val="false"/>
      <w:color w:val="auto"/>
      <w:position w:val="0"/>
      <w:sz w:val="24"/>
      <w:u w:val="none"/>
      <w:vertAlign w:val="baseline"/>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3z0">
    <w:name w:val="WW8Num63z0"/>
    <w:qFormat/>
    <w:rPr>
      <w:rFonts w:ascii="Symbol" w:hAnsi="Symbol" w:cs="Symbol"/>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sz w:val="16"/>
    </w:rPr>
  </w:style>
  <w:style w:type="character" w:styleId="WW8Num71z0">
    <w:name w:val="WW8Num71z0"/>
    <w:qFormat/>
    <w:rPr>
      <w:rFonts w:ascii="Symbol" w:hAnsi="Symbol" w:cs="Symbol"/>
      <w:sz w:val="16"/>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color w:val="auto"/>
      <w:sz w:val="16"/>
    </w:rPr>
  </w:style>
  <w:style w:type="character" w:styleId="WW8Num75z0">
    <w:name w:val="WW8Num75z0"/>
    <w:qFormat/>
    <w:rPr>
      <w:rFonts w:ascii="Symbol" w:hAnsi="Symbol" w:cs="Symbol"/>
      <w:sz w:val="16"/>
    </w:rPr>
  </w:style>
  <w:style w:type="character" w:styleId="WW8Num76z0">
    <w:name w:val="WW8Num76z0"/>
    <w:qFormat/>
    <w:rPr/>
  </w:style>
  <w:style w:type="character" w:styleId="WW8Num77z0">
    <w:name w:val="WW8Num77z0"/>
    <w:qFormat/>
    <w:rPr/>
  </w:style>
  <w:style w:type="character" w:styleId="WW8Num78z0">
    <w:name w:val="WW8Num78z0"/>
    <w:qFormat/>
    <w:rPr>
      <w:b/>
      <w:i w:val="false"/>
      <w:strike w:val="false"/>
      <w:dstrike w:val="false"/>
      <w:shadow w:val="false"/>
      <w:vanish w:val="false"/>
      <w:color w:val="auto"/>
      <w:position w:val="0"/>
      <w:sz w:val="24"/>
      <w:u w:val="single"/>
      <w:vertAlign w:val="baseline"/>
    </w:rPr>
  </w:style>
  <w:style w:type="character" w:styleId="WW8Num78z1">
    <w:name w:val="WW8Num78z1"/>
    <w:qFormat/>
    <w:rPr>
      <w:caps w:val="false"/>
      <w:smallCaps w:val="false"/>
      <w:strike w:val="false"/>
      <w:dstrike w:val="false"/>
      <w:shadow w:val="false"/>
      <w:vanish w:val="false"/>
      <w:color w:val="auto"/>
      <w:position w:val="0"/>
      <w:sz w:val="24"/>
      <w:u w:val="none"/>
      <w:vertAlign w:val="baseline"/>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sz w:val="16"/>
    </w:rPr>
  </w:style>
  <w:style w:type="character" w:styleId="WW8Num83z0">
    <w:name w:val="WW8Num83z0"/>
    <w:qFormat/>
    <w:rPr/>
  </w:style>
  <w:style w:type="character" w:styleId="WW8Num84z0">
    <w:name w:val="WW8Num84z0"/>
    <w:qFormat/>
    <w:rPr>
      <w:rFonts w:ascii="Symbol" w:hAnsi="Symbol" w:cs="Symbol"/>
    </w:rPr>
  </w:style>
  <w:style w:type="character" w:styleId="WW8Num85z0">
    <w:name w:val="WW8Num85z0"/>
    <w:qFormat/>
    <w:rPr>
      <w:u w:val="single"/>
    </w:rPr>
  </w:style>
  <w:style w:type="character" w:styleId="WW8Num85z1">
    <w:name w:val="WW8Num85z1"/>
    <w:qFormat/>
    <w:rPr>
      <w:u w:val="none"/>
    </w:rPr>
  </w:style>
  <w:style w:type="character" w:styleId="WW8Num86z0">
    <w:name w:val="WW8Num86z0"/>
    <w:qFormat/>
    <w:rPr/>
  </w:style>
  <w:style w:type="character" w:styleId="WW8Num87z0">
    <w:name w:val="WW8Num87z0"/>
    <w:qFormat/>
    <w:rPr/>
  </w:style>
  <w:style w:type="character" w:styleId="WW8Num87z1">
    <w:name w:val="WW8Num87z1"/>
    <w:qFormat/>
    <w:rPr>
      <w:u w:val="none"/>
    </w:rPr>
  </w:style>
  <w:style w:type="character" w:styleId="WW8Num89z0">
    <w:name w:val="WW8Num89z0"/>
    <w:qFormat/>
    <w:rPr>
      <w:rFonts w:ascii="Symbol" w:hAnsi="Symbol" w:cs="Symbol"/>
      <w:sz w:val="16"/>
    </w:rPr>
  </w:style>
  <w:style w:type="character" w:styleId="WW8Num90z0">
    <w:name w:val="WW8Num90z0"/>
    <w:qFormat/>
    <w:rPr>
      <w:rFonts w:ascii="Symbol" w:hAnsi="Symbol" w:cs="Symbol"/>
      <w:color w:val="auto"/>
      <w:sz w:val="16"/>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3z1">
    <w:name w:val="WW8Num93z1"/>
    <w:qFormat/>
    <w:rPr>
      <w:u w:val="none"/>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sz w:val="16"/>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sz w:val="16"/>
    </w:rPr>
  </w:style>
  <w:style w:type="character" w:styleId="WW8Num111z0">
    <w:name w:val="WW8Num111z0"/>
    <w:qFormat/>
    <w:rPr/>
  </w:style>
  <w:style w:type="character" w:styleId="WW8Num111z1">
    <w:name w:val="WW8Num111z1"/>
    <w:qFormat/>
    <w:rPr>
      <w:u w:val="none"/>
    </w:rPr>
  </w:style>
  <w:style w:type="character" w:styleId="WW8Num112z0">
    <w:name w:val="WW8Num112z0"/>
    <w:qFormat/>
    <w:rPr>
      <w:b w:val="false"/>
      <w:i w:val="false"/>
      <w:sz w:val="24"/>
    </w:rPr>
  </w:style>
  <w:style w:type="character" w:styleId="WW8Num113z0">
    <w:name w:val="WW8Num113z0"/>
    <w:qFormat/>
    <w:rPr>
      <w:rFonts w:ascii="Symbol" w:hAnsi="Symbol" w:cs="Symbol"/>
    </w:rPr>
  </w:style>
  <w:style w:type="character" w:styleId="WW8Num114z0">
    <w:name w:val="WW8Num114z0"/>
    <w:qFormat/>
    <w:rPr/>
  </w:style>
  <w:style w:type="character" w:styleId="WW8Num115z0">
    <w:name w:val="WW8Num115z0"/>
    <w:qFormat/>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sz w:val="16"/>
    </w:rPr>
  </w:style>
  <w:style w:type="character" w:styleId="WW8Num120z0">
    <w:name w:val="WW8Num120z0"/>
    <w:qFormat/>
    <w:rPr/>
  </w:style>
  <w:style w:type="character" w:styleId="WW8Num122z0">
    <w:name w:val="WW8Num122z0"/>
    <w:qFormat/>
    <w:rPr>
      <w:rFonts w:ascii="Symbol" w:hAnsi="Symbol" w:cs="Symbol"/>
      <w:sz w:val="16"/>
    </w:rPr>
  </w:style>
  <w:style w:type="character" w:styleId="WW8Num123z0">
    <w:name w:val="WW8Num123z0"/>
    <w:qFormat/>
    <w:rPr>
      <w:b w:val="false"/>
      <w:i w:val="false"/>
      <w:sz w:val="24"/>
    </w:rPr>
  </w:style>
  <w:style w:type="character" w:styleId="WW8Num124z0">
    <w:name w:val="WW8Num124z0"/>
    <w:qFormat/>
    <w:rPr/>
  </w:style>
  <w:style w:type="character" w:styleId="WW8Num125z0">
    <w:name w:val="WW8Num125z0"/>
    <w:qFormat/>
    <w:rPr>
      <w:b w:val="false"/>
      <w:i w:val="false"/>
      <w:sz w:val="24"/>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sz w:val="16"/>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color w:val="auto"/>
      <w:sz w:val="16"/>
    </w:rPr>
  </w:style>
  <w:style w:type="character" w:styleId="WW8Num139z0">
    <w:name w:val="WW8Num139z0"/>
    <w:qFormat/>
    <w:rPr/>
  </w:style>
  <w:style w:type="character" w:styleId="WW8Num140z0">
    <w:name w:val="WW8Num140z0"/>
    <w:qFormat/>
    <w:rPr>
      <w:rFonts w:ascii="Symbol" w:hAnsi="Symbol" w:cs="Symbol"/>
      <w:sz w:val="16"/>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b w:val="false"/>
      <w:i w:val="false"/>
      <w:sz w:val="24"/>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style>
  <w:style w:type="character" w:styleId="WW8Num163z0">
    <w:name w:val="WW8Num163z0"/>
    <w:qFormat/>
    <w:rPr>
      <w:rFonts w:ascii="Symbol" w:hAnsi="Symbol" w:cs="Symbol"/>
      <w:sz w:val="16"/>
    </w:rPr>
  </w:style>
  <w:style w:type="character" w:styleId="WW8Num164z0">
    <w:name w:val="WW8Num164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rPr>
  </w:style>
  <w:style w:type="character" w:styleId="WW8Num168z0">
    <w:name w:val="WW8Num168z0"/>
    <w:qFormat/>
    <w:rPr/>
  </w:style>
  <w:style w:type="character" w:styleId="WW8Num169z0">
    <w:name w:val="WW8Num169z0"/>
    <w:qFormat/>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1">
    <w:name w:val="WW8Num174z1"/>
    <w:qFormat/>
    <w:rPr>
      <w:rFonts w:ascii="Arial" w:hAnsi="Arial" w:cs="Arial"/>
    </w:rPr>
  </w:style>
  <w:style w:type="character" w:styleId="WW8Num175z0">
    <w:name w:val="WW8Num175z0"/>
    <w:qFormat/>
    <w:rPr/>
  </w:style>
  <w:style w:type="character" w:styleId="WW8Num176z0">
    <w:name w:val="WW8Num176z0"/>
    <w:qFormat/>
    <w:rPr/>
  </w:style>
  <w:style w:type="character" w:styleId="WW8Num176z2">
    <w:name w:val="WW8Num176z2"/>
    <w:qFormat/>
    <w:rPr>
      <w:rFonts w:ascii="Arial" w:hAnsi="Arial" w:cs="Aria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sz w:val="16"/>
    </w:rPr>
  </w:style>
  <w:style w:type="character" w:styleId="WW8Num180z0">
    <w:name w:val="WW8Num180z0"/>
    <w:qFormat/>
    <w:rPr>
      <w:rFonts w:ascii="Arial" w:hAnsi="Arial" w:cs="Aria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sz w:val="1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sz w:val="16"/>
    </w:rPr>
  </w:style>
  <w:style w:type="character" w:styleId="WW8Num188z0">
    <w:name w:val="WW8Num188z0"/>
    <w:qFormat/>
    <w:rPr>
      <w:rFonts w:ascii="Symbol" w:hAnsi="Symbol" w:cs="Symbol"/>
      <w:sz w:val="16"/>
    </w:rPr>
  </w:style>
  <w:style w:type="character" w:styleId="WW8Num189z0">
    <w:name w:val="WW8Num189z0"/>
    <w:qFormat/>
    <w:rPr>
      <w:rFonts w:ascii="Symbol" w:hAnsi="Symbol" w:cs="Symbol"/>
      <w:sz w:val="16"/>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2z2">
    <w:name w:val="WW8Num192z2"/>
    <w:qFormat/>
    <w:rPr>
      <w:rFonts w:ascii="Arial" w:hAnsi="Arial" w:cs="Arial"/>
    </w:rPr>
  </w:style>
  <w:style w:type="character" w:styleId="WW8Num193z0">
    <w:name w:val="WW8Num193z0"/>
    <w:qFormat/>
    <w:rPr/>
  </w:style>
  <w:style w:type="character" w:styleId="WW8Num194z0">
    <w:name w:val="WW8Num194z0"/>
    <w:qFormat/>
    <w:rPr>
      <w:u w:val="none"/>
    </w:rPr>
  </w:style>
  <w:style w:type="character" w:styleId="WW8Num195z0">
    <w:name w:val="WW8Num195z0"/>
    <w:qFormat/>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b w:val="false"/>
      <w:i w:val="false"/>
      <w:sz w:val="24"/>
    </w:rPr>
  </w:style>
  <w:style w:type="character" w:styleId="WW8Num199z0">
    <w:name w:val="WW8Num199z0"/>
    <w:qFormat/>
    <w:rPr/>
  </w:style>
  <w:style w:type="character" w:styleId="WW8Num199z1">
    <w:name w:val="WW8Num199z1"/>
    <w:qFormat/>
    <w:rPr>
      <w:u w:val="none"/>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b w:val="false"/>
      <w:i w:val="false"/>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sz w:val="24"/>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Arial" w:hAnsi="Arial" w:cs="Arial"/>
      <w:sz w:val="20"/>
      <w:u w:val="single"/>
    </w:rPr>
  </w:style>
  <w:style w:type="character" w:styleId="WW8Num214z1">
    <w:name w:val="WW8Num214z1"/>
    <w:qFormat/>
    <w:rPr>
      <w:u w:val="none"/>
    </w:rPr>
  </w:style>
  <w:style w:type="character" w:styleId="WW8Num215z0">
    <w:name w:val="WW8Num215z0"/>
    <w:qFormat/>
    <w:rPr>
      <w:rFonts w:ascii="Times New Roman" w:hAnsi="Times New Roman" w:cs="Times New Roman"/>
    </w:rPr>
  </w:style>
  <w:style w:type="character" w:styleId="WW8Num215z1">
    <w:name w:val="WW8Num215z1"/>
    <w:qFormat/>
    <w:rPr>
      <w:u w:val="none"/>
    </w:rPr>
  </w:style>
  <w:style w:type="character" w:styleId="WW8Num216z0">
    <w:name w:val="WW8Num216z0"/>
    <w:qFormat/>
    <w:rPr>
      <w:rFonts w:ascii="Symbol" w:hAnsi="Symbol" w:cs="Symbol"/>
    </w:rPr>
  </w:style>
  <w:style w:type="character" w:styleId="WW8Num217z0">
    <w:name w:val="WW8Num217z0"/>
    <w:qFormat/>
    <w:rPr>
      <w:rFonts w:ascii="Symbol" w:hAnsi="Symbol" w:cs="Symbol"/>
      <w:sz w:val="16"/>
    </w:rPr>
  </w:style>
  <w:style w:type="character" w:styleId="WW8Num218z0">
    <w:name w:val="WW8Num218z0"/>
    <w:qFormat/>
    <w:rPr/>
  </w:style>
  <w:style w:type="character" w:styleId="WW8Num219z0">
    <w:name w:val="WW8Num219z0"/>
    <w:qFormat/>
    <w:rPr>
      <w:rFonts w:ascii="Symbol" w:hAnsi="Symbol" w:cs="Symbol"/>
      <w:sz w:val="16"/>
    </w:rPr>
  </w:style>
  <w:style w:type="character" w:styleId="WW8Num220z0">
    <w:name w:val="WW8Num220z0"/>
    <w:qFormat/>
    <w:rPr/>
  </w:style>
  <w:style w:type="character" w:styleId="WW8Num220z2">
    <w:name w:val="WW8Num220z2"/>
    <w:qFormat/>
    <w:rPr>
      <w:rFonts w:ascii="Arial" w:hAnsi="Arial" w:cs="Arial"/>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sz w:val="16"/>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rFonts w:ascii="Symbol" w:hAnsi="Symbol" w:cs="Symbol"/>
      <w:sz w:val="16"/>
    </w:rPr>
  </w:style>
  <w:style w:type="character" w:styleId="WW8Num229z0">
    <w:name w:val="WW8Num229z0"/>
    <w:qFormat/>
    <w:rPr>
      <w:rFonts w:ascii="Symbol" w:hAnsi="Symbol" w:cs="Symbol"/>
      <w:sz w:val="16"/>
    </w:rPr>
  </w:style>
  <w:style w:type="character" w:styleId="WW8Num230z0">
    <w:name w:val="WW8Num230z0"/>
    <w:qFormat/>
    <w:rPr>
      <w:rFonts w:ascii="Symbol" w:hAnsi="Symbol" w:cs="Symbol"/>
    </w:rPr>
  </w:style>
  <w:style w:type="character" w:styleId="WW8Num231z0">
    <w:name w:val="WW8Num231z0"/>
    <w:qFormat/>
    <w:rPr>
      <w:u w:val="single"/>
    </w:rPr>
  </w:style>
  <w:style w:type="character" w:styleId="WW8Num232z0">
    <w:name w:val="WW8Num232z0"/>
    <w:qFormat/>
    <w:rPr/>
  </w:style>
  <w:style w:type="character" w:styleId="WW8Num233z0">
    <w:name w:val="WW8Num233z0"/>
    <w:qFormat/>
    <w:rPr/>
  </w:style>
  <w:style w:type="character" w:styleId="WW8Num234z0">
    <w:name w:val="WW8Num234z0"/>
    <w:qFormat/>
    <w:rPr>
      <w:rFonts w:ascii="Symbol" w:hAnsi="Symbol" w:cs="Symbol"/>
    </w:rPr>
  </w:style>
  <w:style w:type="character" w:styleId="WW8Num235z0">
    <w:name w:val="WW8Num235z0"/>
    <w:qFormat/>
    <w:rPr/>
  </w:style>
  <w:style w:type="character" w:styleId="WW8Num237z0">
    <w:name w:val="WW8Num237z0"/>
    <w:qFormat/>
    <w:rPr>
      <w:rFonts w:ascii="Symbol" w:hAnsi="Symbol" w:cs="Symbol"/>
      <w:sz w:val="16"/>
    </w:rPr>
  </w:style>
  <w:style w:type="character" w:styleId="WW8Num238z0">
    <w:name w:val="WW8Num238z0"/>
    <w:qFormat/>
    <w:rPr>
      <w:i w:val="false"/>
    </w:rPr>
  </w:style>
  <w:style w:type="character" w:styleId="WW8Num239z0">
    <w:name w:val="WW8Num239z0"/>
    <w:qFormat/>
    <w:rPr>
      <w:b/>
      <w:i w:val="false"/>
      <w:strike w:val="false"/>
      <w:dstrike w:val="false"/>
      <w:shadow w:val="false"/>
      <w:vanish w:val="false"/>
      <w:color w:val="auto"/>
      <w:position w:val="0"/>
      <w:sz w:val="24"/>
      <w:u w:val="single"/>
      <w:vertAlign w:val="baseline"/>
    </w:rPr>
  </w:style>
  <w:style w:type="character" w:styleId="WW8Num239z1">
    <w:name w:val="WW8Num239z1"/>
    <w:qFormat/>
    <w:rPr>
      <w:caps w:val="false"/>
      <w:smallCaps w:val="false"/>
      <w:strike w:val="false"/>
      <w:dstrike w:val="false"/>
      <w:shadow w:val="false"/>
      <w:vanish w:val="false"/>
      <w:color w:val="auto"/>
      <w:position w:val="0"/>
      <w:sz w:val="24"/>
      <w:u w:val="none"/>
      <w:vertAlign w:val="baseline"/>
    </w:rPr>
  </w:style>
  <w:style w:type="character" w:styleId="WW8Num240z0">
    <w:name w:val="WW8Num240z0"/>
    <w:qFormat/>
    <w:rPr/>
  </w:style>
  <w:style w:type="character" w:styleId="WW8Num241z0">
    <w:name w:val="WW8Num241z0"/>
    <w:qFormat/>
    <w:rPr>
      <w:rFonts w:ascii="Symbol" w:hAnsi="Symbol" w:cs="Symbol"/>
      <w:sz w:val="16"/>
    </w:rPr>
  </w:style>
  <w:style w:type="character" w:styleId="WW8Num242z0">
    <w:name w:val="WW8Num242z0"/>
    <w:qFormat/>
    <w:rPr>
      <w:rFonts w:ascii="Symbol" w:hAnsi="Symbol" w:cs="Symbol"/>
      <w:sz w:val="16"/>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Symbol" w:hAnsi="Symbol" w:cs="Symbol"/>
      <w:sz w:val="16"/>
    </w:rPr>
  </w:style>
  <w:style w:type="character" w:styleId="WW8Num249z0">
    <w:name w:val="WW8Num249z0"/>
    <w:qFormat/>
    <w:rPr>
      <w:rFonts w:ascii="Symbol" w:hAnsi="Symbol" w:cs="Symbol"/>
      <w:sz w:val="16"/>
    </w:rPr>
  </w:style>
  <w:style w:type="character" w:styleId="WW8Num250z0">
    <w:name w:val="WW8Num250z0"/>
    <w:qFormat/>
    <w:rPr>
      <w:b w:val="false"/>
    </w:rPr>
  </w:style>
  <w:style w:type="character" w:styleId="WW8Num252z0">
    <w:name w:val="WW8Num252z0"/>
    <w:qFormat/>
    <w:rPr>
      <w:rFonts w:ascii="Symbol" w:hAnsi="Symbol" w:cs="Symbol"/>
      <w:sz w:val="16"/>
    </w:rPr>
  </w:style>
  <w:style w:type="character" w:styleId="WW8Num253z0">
    <w:name w:val="WW8Num253z0"/>
    <w:qFormat/>
    <w:rPr>
      <w:rFonts w:ascii="Symbol" w:hAnsi="Symbol" w:cs="Symbol"/>
    </w:rPr>
  </w:style>
  <w:style w:type="character" w:styleId="WW8Num254z0">
    <w:name w:val="WW8Num254z0"/>
    <w:qFormat/>
    <w:rPr/>
  </w:style>
  <w:style w:type="character" w:styleId="WW8Num255z0">
    <w:name w:val="WW8Num255z0"/>
    <w:qFormat/>
    <w:rPr>
      <w:rFonts w:ascii="Symbol" w:hAnsi="Symbol" w:cs="Symbol"/>
      <w:sz w:val="16"/>
    </w:rPr>
  </w:style>
  <w:style w:type="character" w:styleId="WW8Num256z0">
    <w:name w:val="WW8Num256z0"/>
    <w:qFormat/>
    <w:rPr>
      <w:b w:val="false"/>
      <w:i w:val="false"/>
      <w:sz w:val="24"/>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sz w:val="16"/>
    </w:rPr>
  </w:style>
  <w:style w:type="character" w:styleId="WW8Num263z0">
    <w:name w:val="WW8Num263z0"/>
    <w:qFormat/>
    <w:rPr>
      <w:rFonts w:ascii="Symbol" w:hAnsi="Symbol" w:cs="Symbol"/>
    </w:rPr>
  </w:style>
  <w:style w:type="character" w:styleId="WW8Num265z0">
    <w:name w:val="WW8Num265z0"/>
    <w:qFormat/>
    <w:rPr>
      <w:rFonts w:ascii="Symbol" w:hAnsi="Symbol" w:cs="Symbol"/>
      <w:color w:val="auto"/>
      <w:sz w:val="16"/>
    </w:rPr>
  </w:style>
  <w:style w:type="character" w:styleId="WW8Num266z0">
    <w:name w:val="WW8Num266z0"/>
    <w:qFormat/>
    <w:rPr/>
  </w:style>
  <w:style w:type="character" w:styleId="WW8Num267z0">
    <w:name w:val="WW8Num267z0"/>
    <w:qFormat/>
    <w:rPr>
      <w:rFonts w:ascii="Symbol" w:hAnsi="Symbol" w:cs="Symbol"/>
      <w:sz w:val="16"/>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rFonts w:ascii="Symbol" w:hAnsi="Symbol" w:cs="Symbol"/>
      <w:sz w:val="16"/>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rFonts w:ascii="Symbol" w:hAnsi="Symbol" w:cs="Symbol"/>
      <w:sz w:val="16"/>
    </w:rPr>
  </w:style>
  <w:style w:type="character" w:styleId="WW8NumSt61z0">
    <w:name w:val="WW8NumSt61z0"/>
    <w:qFormat/>
    <w:rPr>
      <w:rFonts w:ascii="Symbol" w:hAnsi="Symbol" w:cs="Symbol"/>
    </w:rPr>
  </w:style>
  <w:style w:type="character" w:styleId="WW8NumSt63z0">
    <w:name w:val="WW8NumSt63z0"/>
    <w:qFormat/>
    <w:rPr>
      <w:rFonts w:ascii="Symbol" w:hAnsi="Symbol" w:cs="Symbol"/>
      <w:sz w:val="12"/>
    </w:rPr>
  </w:style>
  <w:style w:type="character" w:styleId="WW8NumSt70z0">
    <w:name w:val="WW8NumSt70z0"/>
    <w:qFormat/>
    <w:rPr>
      <w:rFonts w:ascii="Symbol" w:hAnsi="Symbol" w:cs="Symbol"/>
    </w:rPr>
  </w:style>
  <w:style w:type="character" w:styleId="WW8NumSt71z0">
    <w:name w:val="WW8NumSt71z0"/>
    <w:qFormat/>
    <w:rPr>
      <w:rFonts w:ascii="Symbol" w:hAnsi="Symbol" w:cs="Symbol"/>
    </w:rPr>
  </w:style>
  <w:style w:type="character" w:styleId="WW8NumSt72z0">
    <w:name w:val="WW8NumSt72z0"/>
    <w:qFormat/>
    <w:rPr>
      <w:rFonts w:ascii="Symbol" w:hAnsi="Symbol" w:cs="Symbol"/>
    </w:rPr>
  </w:style>
  <w:style w:type="character" w:styleId="WW8NumSt116z0">
    <w:name w:val="WW8NumSt116z0"/>
    <w:qFormat/>
    <w:rPr>
      <w:rFonts w:ascii="Symbol" w:hAnsi="Symbol" w:cs="Symbol"/>
    </w:rPr>
  </w:style>
  <w:style w:type="character" w:styleId="WW8NumSt194z0">
    <w:name w:val="WW8NumSt194z0"/>
    <w:qFormat/>
    <w:rPr>
      <w:rFonts w:ascii="Symbol" w:hAnsi="Symbol" w:cs="Symbol"/>
      <w:sz w:val="16"/>
    </w:rPr>
  </w:style>
  <w:style w:type="character" w:styleId="WW8NumSt195z0">
    <w:name w:val="WW8NumSt195z0"/>
    <w:qFormat/>
    <w:rPr>
      <w:rFonts w:ascii="Symbol" w:hAnsi="Symbol" w:cs="Symbol"/>
      <w:sz w:val="16"/>
    </w:rPr>
  </w:style>
  <w:style w:type="character" w:styleId="WW8NumSt223z0">
    <w:name w:val="WW8NumSt223z0"/>
    <w:qFormat/>
    <w:rPr>
      <w:rFonts w:ascii="Symbol" w:hAnsi="Symbol" w:cs="Symbol"/>
    </w:rPr>
  </w:style>
  <w:style w:type="character" w:styleId="WW8NumSt228z0">
    <w:name w:val="WW8NumSt228z0"/>
    <w:qFormat/>
    <w:rPr>
      <w:rFonts w:ascii="WP MathA" w:hAnsi="WP MathA" w:cs="WP MathA"/>
    </w:rPr>
  </w:style>
  <w:style w:type="character" w:styleId="WW8NumSt243z0">
    <w:name w:val="WW8NumSt243z0"/>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raftline">
    <w:name w:val="Draftline"/>
    <w:basedOn w:val="DefaultParagraphFont"/>
    <w:qFormat/>
    <w:rPr>
      <w:rFonts w:ascii="Times New Roman" w:hAnsi="Times New Roman" w:cs="Times New Roman"/>
      <w:vanish/>
      <w:color w:val="FF0000"/>
      <w:sz w:val="16"/>
    </w:rPr>
  </w:style>
  <w:style w:type="character" w:styleId="ParaNum">
    <w:name w:val="ParaNum"/>
    <w:basedOn w:val="DefaultParagraphFont"/>
    <w:qFormat/>
    <w:rPr>
      <w:b w:val="false"/>
      <w:i w:val="false"/>
      <w:vanish w:val="false"/>
      <w:u w:val="none"/>
    </w:rPr>
  </w:style>
  <w:style w:type="character" w:styleId="LP2">
    <w:name w:val="L&amp;P 2"/>
    <w:basedOn w:val="DefaultParagraph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Hidden">
    <w:name w:val="Hidden"/>
    <w:basedOn w:val="DefaultParagraphFont"/>
    <w:qFormat/>
    <w:rPr>
      <w:b w:val="false"/>
      <w:i w:val="false"/>
      <w:vanish/>
      <w:color w:val="FF0000"/>
      <w:u w:val="none"/>
    </w:rPr>
  </w:style>
  <w:style w:type="character" w:styleId="IndexLink">
    <w:name w:val="Index Link"/>
    <w:qFormat/>
    <w:rPr/>
  </w:style>
  <w:style w:type="paragraph" w:styleId="Heading">
    <w:name w:val="Heading"/>
    <w:basedOn w:val="Normal"/>
    <w:next w:val="BodyText"/>
    <w:qFormat/>
    <w:pPr>
      <w:keepNext w:val="true"/>
      <w:spacing w:before="0" w:after="240"/>
      <w:jc w:val="center"/>
    </w:pPr>
    <w:rPr>
      <w:rFonts w:ascii="Arial" w:hAnsi="Arial" w:cs="Arial"/>
      <w:b/>
      <w:caps/>
      <w:sz w:val="20"/>
    </w:rPr>
  </w:style>
  <w:style w:type="paragraph" w:styleId="BodyText">
    <w:name w:val="Body Text"/>
    <w:basedOn w:val="Normal"/>
    <w:pPr>
      <w:spacing w:before="0" w:after="240"/>
      <w:jc w:val="both"/>
    </w:pPr>
    <w:rPr>
      <w:rFonts w:ascii="Arial" w:hAnsi="Arial" w:cs="Arial"/>
      <w:sz w:val="20"/>
    </w:rPr>
  </w:style>
  <w:style w:type="paragraph" w:styleId="List">
    <w:name w:val="List"/>
    <w:basedOn w:val="Normal"/>
    <w:pPr>
      <w:ind w:hanging="360" w:start="360" w:end="0"/>
      <w:jc w:val="both"/>
    </w:pPr>
    <w:rPr>
      <w:rFonts w:ascii="Arial" w:hAnsi="Arial" w:cs="Arial"/>
      <w:sz w:val="20"/>
    </w:rPr>
  </w:style>
  <w:style w:type="paragraph" w:styleId="Caption">
    <w:name w:val="caption"/>
    <w:basedOn w:val="Normal"/>
    <w:next w:val="Normal"/>
    <w:qFormat/>
    <w:pPr>
      <w:spacing w:before="120" w:after="120"/>
      <w:jc w:val="both"/>
    </w:pPr>
    <w:rPr>
      <w:rFonts w:ascii="Arial" w:hAnsi="Arial" w:cs="Arial"/>
      <w:b/>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lineRule="atLeast" w:line="220" w:before="0" w:after="220"/>
      <w:jc w:val="both"/>
    </w:pPr>
    <w:rPr>
      <w:rFonts w:ascii="Arial" w:hAnsi="Arial" w:cs="Arial"/>
      <w:spacing w:val="-5"/>
      <w:sz w:val="20"/>
    </w:rPr>
  </w:style>
  <w:style w:type="paragraph" w:styleId="FooterB">
    <w:name w:val="Footer B"/>
    <w:next w:val="Footer"/>
    <w:qFormat/>
    <w:pPr>
      <w:widowControl/>
      <w:tabs>
        <w:tab w:val="clear" w:pos="720"/>
        <w:tab w:val="center" w:pos="3960" w:leader="none"/>
        <w:tab w:val="left" w:pos="5760" w:leader="none"/>
      </w:tabs>
      <w:bidi w:val="0"/>
    </w:pPr>
    <w:rPr>
      <w:rFonts w:ascii="Times New Roman" w:hAnsi="Times New Roman" w:eastAsia="Times New Roman" w:cs="Times New Roman"/>
      <w:color w:val="auto"/>
      <w:sz w:val="16"/>
      <w:szCs w:val="20"/>
      <w:lang w:val="en-US" w:bidi="ar-SA" w:eastAsia="zh-CN"/>
    </w:rPr>
  </w:style>
  <w:style w:type="paragraph" w:styleId="ReferenceLine">
    <w:name w:val="Reference Line"/>
    <w:basedOn w:val="Normal"/>
    <w:next w:val="Normal"/>
    <w:qFormat/>
    <w:pPr>
      <w:spacing w:lineRule="atLeast" w:line="220" w:before="0" w:after="220"/>
    </w:pPr>
    <w:rPr>
      <w:rFonts w:ascii="Arial" w:hAnsi="Arial" w:cs="Arial"/>
      <w:spacing w:val="-5"/>
      <w:sz w:val="20"/>
    </w:rPr>
  </w:style>
  <w:style w:type="paragraph" w:styleId="E-mailSignature">
    <w:name w:val="E-mail Signature"/>
    <w:basedOn w:val="Normal"/>
    <w:qFormat/>
    <w:pPr/>
    <w:rPr/>
  </w:style>
  <w:style w:type="paragraph" w:styleId="BoldUnderlineHeading">
    <w:name w:val="BoldUnderline Heading"/>
    <w:basedOn w:val="Normal"/>
    <w:next w:val="Normal"/>
    <w:qFormat/>
    <w:pPr/>
    <w:rPr>
      <w:b/>
      <w:u w:val="single"/>
    </w:rPr>
  </w:style>
  <w:style w:type="paragraph" w:styleId="CenterHeading">
    <w:name w:val="Center Heading"/>
    <w:basedOn w:val="Normal"/>
    <w:next w:val="Normal"/>
    <w:qFormat/>
    <w:pPr>
      <w:jc w:val="center"/>
    </w:pPr>
    <w:rPr/>
  </w:style>
  <w:style w:type="paragraph" w:styleId="CenterBoldHeading">
    <w:name w:val="CenterBold Heading"/>
    <w:basedOn w:val="Normal"/>
    <w:next w:val="Normal"/>
    <w:qFormat/>
    <w:pPr>
      <w:jc w:val="center"/>
    </w:pPr>
    <w:rPr>
      <w:b/>
    </w:rPr>
  </w:style>
  <w:style w:type="paragraph" w:styleId="CenterUnderlineHeading">
    <w:name w:val="CenterUnderline Heading"/>
    <w:basedOn w:val="Normal"/>
    <w:next w:val="Normal"/>
    <w:qFormat/>
    <w:pPr>
      <w:jc w:val="center"/>
    </w:pPr>
    <w:rPr>
      <w:u w:val="single"/>
    </w:rPr>
  </w:style>
  <w:style w:type="paragraph" w:styleId="DoublePara">
    <w:name w:val="Double Para"/>
    <w:basedOn w:val="Normal"/>
    <w:next w:val="Normal"/>
    <w:qFormat/>
    <w:pPr>
      <w:spacing w:lineRule="auto" w:line="480"/>
      <w:ind w:firstLine="1440" w:start="0" w:end="0"/>
    </w:pPr>
    <w:rPr/>
  </w:style>
  <w:style w:type="paragraph" w:styleId="DoubleSpace">
    <w:name w:val="Double Space"/>
    <w:basedOn w:val="Normal"/>
    <w:next w:val="Normal"/>
    <w:qFormat/>
    <w:pPr>
      <w:spacing w:lineRule="auto" w:line="480"/>
    </w:pPr>
    <w:rPr/>
  </w:style>
  <w:style w:type="paragraph" w:styleId="Quote">
    <w:name w:val="Quote"/>
    <w:basedOn w:val="Normal"/>
    <w:next w:val="Normal"/>
    <w:qFormat/>
    <w:pPr>
      <w:ind w:hanging="0" w:start="720" w:end="720"/>
    </w:pPr>
    <w:rPr/>
  </w:style>
  <w:style w:type="paragraph" w:styleId="QuoteIndent">
    <w:name w:val="Quote Indent"/>
    <w:basedOn w:val="Normal"/>
    <w:next w:val="Normal"/>
    <w:qFormat/>
    <w:pPr>
      <w:ind w:firstLine="720" w:start="720" w:end="720"/>
    </w:pPr>
    <w:rPr/>
  </w:style>
  <w:style w:type="paragraph" w:styleId="SignatureBlock">
    <w:name w:val="Signature Block"/>
    <w:basedOn w:val="Normal"/>
    <w:next w:val="Normal"/>
    <w:qFormat/>
    <w:pPr>
      <w:ind w:hanging="0" w:start="4320" w:end="0"/>
    </w:pPr>
    <w:rPr/>
  </w:style>
  <w:style w:type="paragraph" w:styleId="SinglePara">
    <w:name w:val="Single Para"/>
    <w:basedOn w:val="Normal"/>
    <w:next w:val="Normal"/>
    <w:qFormat/>
    <w:pPr>
      <w:ind w:firstLine="1440" w:start="0" w:end="0"/>
    </w:pPr>
    <w:rPr/>
  </w:style>
  <w:style w:type="paragraph" w:styleId="UnderlineHeading">
    <w:name w:val="Underline Heading"/>
    <w:basedOn w:val="Normal"/>
    <w:next w:val="Normal"/>
    <w:qFormat/>
    <w:pPr/>
    <w:rPr>
      <w:u w:val="single"/>
    </w:rPr>
  </w:style>
  <w:style w:type="paragraph" w:styleId="BoldHeading">
    <w:name w:val="Bold Heading"/>
    <w:basedOn w:val="Normal"/>
    <w:next w:val="Normal"/>
    <w:qFormat/>
    <w:pPr/>
    <w:rPr>
      <w:b/>
    </w:rPr>
  </w:style>
  <w:style w:type="paragraph" w:styleId="Defaultbullet1">
    <w:name w:val="Defaultbullet1"/>
    <w:basedOn w:val="Normal"/>
    <w:qFormat/>
    <w:pPr>
      <w:numPr>
        <w:ilvl w:val="0"/>
        <w:numId w:val="3"/>
      </w:numPr>
    </w:pPr>
    <w:rPr/>
  </w:style>
  <w:style w:type="paragraph" w:styleId="Defaultbullet2">
    <w:name w:val="Defaultbullet2"/>
    <w:basedOn w:val="Normal"/>
    <w:qFormat/>
    <w:pPr>
      <w:numPr>
        <w:ilvl w:val="0"/>
        <w:numId w:val="3"/>
      </w:numPr>
    </w:pPr>
    <w:rPr/>
  </w:style>
  <w:style w:type="paragraph" w:styleId="Defaultbullet3">
    <w:name w:val="Defaultbullet3"/>
    <w:basedOn w:val="Normal"/>
    <w:qFormat/>
    <w:pPr>
      <w:numPr>
        <w:ilvl w:val="0"/>
        <w:numId w:val="3"/>
      </w:numPr>
    </w:pPr>
    <w:rPr/>
  </w:style>
  <w:style w:type="paragraph" w:styleId="Defaultbullet4">
    <w:name w:val="Defaultbullet4"/>
    <w:basedOn w:val="Normal"/>
    <w:qFormat/>
    <w:pPr>
      <w:numPr>
        <w:ilvl w:val="0"/>
        <w:numId w:val="3"/>
      </w:numPr>
    </w:pPr>
    <w:rPr/>
  </w:style>
  <w:style w:type="paragraph" w:styleId="Defaultbullet5">
    <w:name w:val="Defaultbullet5"/>
    <w:basedOn w:val="Normal"/>
    <w:qFormat/>
    <w:pPr>
      <w:numPr>
        <w:ilvl w:val="0"/>
        <w:numId w:val="3"/>
      </w:numPr>
    </w:pPr>
    <w:rPr/>
  </w:style>
  <w:style w:type="paragraph" w:styleId="Defaultbullet6">
    <w:name w:val="Defaultbullet6"/>
    <w:basedOn w:val="Normal"/>
    <w:qFormat/>
    <w:pPr>
      <w:numPr>
        <w:ilvl w:val="0"/>
        <w:numId w:val="3"/>
      </w:numPr>
    </w:pPr>
    <w:rPr/>
  </w:style>
  <w:style w:type="paragraph" w:styleId="Defaultbullet7">
    <w:name w:val="Defaultbullet7"/>
    <w:basedOn w:val="Normal"/>
    <w:qFormat/>
    <w:pPr>
      <w:numPr>
        <w:ilvl w:val="0"/>
        <w:numId w:val="3"/>
      </w:numPr>
    </w:pPr>
    <w:rPr/>
  </w:style>
  <w:style w:type="paragraph" w:styleId="Defaultbullet8">
    <w:name w:val="Defaultbullet8"/>
    <w:basedOn w:val="Normal"/>
    <w:qFormat/>
    <w:pPr>
      <w:numPr>
        <w:ilvl w:val="0"/>
        <w:numId w:val="3"/>
      </w:numPr>
    </w:pPr>
    <w:rPr/>
  </w:style>
  <w:style w:type="paragraph" w:styleId="BodyTextIndent2">
    <w:name w:val="Body Text Indent 2"/>
    <w:basedOn w:val="Normal"/>
    <w:qFormat/>
    <w:pPr>
      <w:spacing w:lineRule="auto" w:line="480"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50" w:leader="dot"/>
      </w:tabs>
      <w:spacing w:before="100" w:after="0"/>
      <w:jc w:val="both"/>
    </w:pPr>
    <w:rPr>
      <w:sz w:val="22"/>
      <w:szCs w:val="24"/>
      <w:lang w:val="en-CA" w:eastAsia="en-CA"/>
    </w:rPr>
  </w:style>
  <w:style w:type="paragraph" w:styleId="TOC2">
    <w:name w:val="toc 2"/>
    <w:basedOn w:val="Normal"/>
    <w:next w:val="Normal"/>
    <w:pPr>
      <w:tabs>
        <w:tab w:val="clear" w:pos="720"/>
        <w:tab w:val="left" w:pos="800" w:leader="none"/>
        <w:tab w:val="left" w:pos="1560" w:leader="none"/>
        <w:tab w:val="left" w:pos="1600" w:leader="none"/>
        <w:tab w:val="right" w:pos="9350" w:leader="dot"/>
      </w:tabs>
      <w:ind w:hanging="0" w:start="202" w:end="0"/>
      <w:jc w:val="both"/>
    </w:pPr>
    <w:rPr>
      <w:sz w:val="22"/>
      <w:szCs w:val="24"/>
      <w:lang w:val="en-CA" w:eastAsia="en-CA"/>
    </w:rPr>
  </w:style>
  <w:style w:type="paragraph" w:styleId="PlainText">
    <w:name w:val="Plain Text"/>
    <w:basedOn w:val="Normal"/>
    <w:qFormat/>
    <w:pPr>
      <w:jc w:val="both"/>
    </w:pPr>
    <w:rPr>
      <w:rFonts w:ascii="Courier New" w:hAnsi="Courier New" w:cs="Courier New"/>
      <w:sz w:val="20"/>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n">
    <w:name w:val="n"/>
    <w:basedOn w:val="BodyText"/>
    <w:qFormat/>
    <w:pPr/>
    <w:rPr>
      <w:rFonts w:ascii="Times New Roman" w:hAnsi="Times New Roman" w:cs="Times New Roman"/>
      <w:sz w:val="24"/>
    </w:rPr>
  </w:style>
  <w:style w:type="paragraph" w:styleId="Normal1">
    <w:name w:val="Normal'"/>
    <w:basedOn w:val="Heading3"/>
    <w:qFormat/>
    <w:pPr>
      <w:numPr>
        <w:ilvl w:val="0"/>
        <w:numId w:val="0"/>
      </w:numPr>
      <w:outlineLvl w:val="9"/>
    </w:pPr>
    <w:rPr>
      <w:rFonts w:cs="Times New Roman"/>
      <w:i w:val="false"/>
      <w:iCs/>
    </w:rPr>
  </w:style>
  <w:style w:type="paragraph" w:styleId="Normaltext">
    <w:name w:val="Normal_text"/>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342" w:start="342" w:end="0"/>
    </w:pPr>
    <w:rPr>
      <w:rFonts w:ascii="Arial" w:hAnsi="Arial" w:cs="Arial"/>
      <w:sz w:val="20"/>
    </w:rPr>
  </w:style>
  <w:style w:type="paragraph" w:styleId="BodyTextIndent3">
    <w:name w:val="Body Text Indent 3"/>
    <w:basedOn w:val="BodyText"/>
    <w:next w:val="BodyTextIndent"/>
    <w:qFormat/>
    <w:pPr>
      <w:spacing w:before="240" w:after="240"/>
      <w:ind w:hanging="0" w:start="720" w:end="0"/>
    </w:pPr>
    <w:rPr/>
  </w:style>
  <w:style w:type="paragraph" w:styleId="CommentText">
    <w:name w:val="Comment Text"/>
    <w:basedOn w:val="Normal"/>
    <w:qFormat/>
    <w:pPr>
      <w:jc w:val="both"/>
    </w:pPr>
    <w:rPr>
      <w:rFonts w:ascii="Arial" w:hAnsi="Arial" w:cs="Arial"/>
      <w:sz w:val="20"/>
    </w:rPr>
  </w:style>
  <w:style w:type="paragraph" w:styleId="TOC3">
    <w:name w:val="toc 3"/>
    <w:basedOn w:val="Normal"/>
    <w:next w:val="Normal"/>
    <w:pPr>
      <w:ind w:hanging="0" w:start="400" w:end="0"/>
      <w:jc w:val="both"/>
    </w:pPr>
    <w:rPr>
      <w:rFonts w:ascii="Arial" w:hAnsi="Arial" w:cs="Arial"/>
      <w:sz w:val="20"/>
    </w:rPr>
  </w:style>
  <w:style w:type="paragraph" w:styleId="TOC4">
    <w:name w:val="toc 4"/>
    <w:basedOn w:val="Normal"/>
    <w:next w:val="Normal"/>
    <w:pPr>
      <w:ind w:hanging="0" w:start="600" w:end="0"/>
      <w:jc w:val="both"/>
    </w:pPr>
    <w:rPr>
      <w:rFonts w:ascii="Arial" w:hAnsi="Arial" w:cs="Arial"/>
      <w:sz w:val="20"/>
    </w:rPr>
  </w:style>
  <w:style w:type="paragraph" w:styleId="TOC5">
    <w:name w:val="toc 5"/>
    <w:basedOn w:val="Normal"/>
    <w:next w:val="Normal"/>
    <w:pPr>
      <w:ind w:hanging="0" w:start="800" w:end="0"/>
      <w:jc w:val="both"/>
    </w:pPr>
    <w:rPr>
      <w:rFonts w:ascii="Arial" w:hAnsi="Arial" w:cs="Arial"/>
      <w:sz w:val="20"/>
    </w:rPr>
  </w:style>
  <w:style w:type="paragraph" w:styleId="TOC6">
    <w:name w:val="toc 6"/>
    <w:basedOn w:val="Normal"/>
    <w:next w:val="Normal"/>
    <w:pPr>
      <w:ind w:hanging="0" w:start="1000" w:end="0"/>
      <w:jc w:val="both"/>
    </w:pPr>
    <w:rPr>
      <w:rFonts w:ascii="Arial" w:hAnsi="Arial" w:cs="Arial"/>
      <w:sz w:val="20"/>
    </w:rPr>
  </w:style>
  <w:style w:type="paragraph" w:styleId="TOC7">
    <w:name w:val="toc 7"/>
    <w:basedOn w:val="Normal"/>
    <w:next w:val="Normal"/>
    <w:pPr>
      <w:ind w:hanging="0" w:start="1200" w:end="0"/>
      <w:jc w:val="both"/>
    </w:pPr>
    <w:rPr>
      <w:rFonts w:ascii="Arial" w:hAnsi="Arial" w:cs="Arial"/>
      <w:sz w:val="20"/>
    </w:rPr>
  </w:style>
  <w:style w:type="paragraph" w:styleId="TOC8">
    <w:name w:val="toc 8"/>
    <w:basedOn w:val="Normal"/>
    <w:next w:val="Normal"/>
    <w:pPr>
      <w:ind w:hanging="0" w:start="1400" w:end="0"/>
      <w:jc w:val="both"/>
    </w:pPr>
    <w:rPr>
      <w:rFonts w:ascii="Arial" w:hAnsi="Arial" w:cs="Arial"/>
      <w:sz w:val="20"/>
    </w:rPr>
  </w:style>
  <w:style w:type="paragraph" w:styleId="TOC9">
    <w:name w:val="toc 9"/>
    <w:basedOn w:val="Normal"/>
    <w:next w:val="Normal"/>
    <w:pPr>
      <w:ind w:hanging="0" w:start="1600" w:end="0"/>
      <w:jc w:val="both"/>
    </w:pPr>
    <w:rPr>
      <w:rFonts w:ascii="Arial" w:hAnsi="Arial" w:cs="Arial"/>
      <w:sz w:val="20"/>
    </w:rPr>
  </w:style>
  <w:style w:type="paragraph" w:styleId="EndnoteText">
    <w:name w:val="endnote text"/>
    <w:basedOn w:val="Normal"/>
    <w:pPr>
      <w:jc w:val="both"/>
    </w:pPr>
    <w:rPr>
      <w:rFonts w:ascii="Arial" w:hAnsi="Arial" w:cs="Arial"/>
      <w:sz w:val="20"/>
    </w:rPr>
  </w:style>
  <w:style w:type="paragraph" w:styleId="Style5">
    <w:name w:val="_"/>
    <w:basedOn w:val="Normal"/>
    <w:qFormat/>
    <w:pPr>
      <w:widowControl w:val="false"/>
      <w:ind w:hanging="720" w:start="720" w:end="0"/>
      <w:jc w:val="both"/>
    </w:pPr>
    <w:rPr>
      <w:rFonts w:ascii="Arial" w:hAnsi="Arial" w:cs="Arial"/>
      <w:sz w:val="20"/>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en-CA" w:bidi="ar-SA"/>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jc w:val="both"/>
    </w:pPr>
    <w:rPr>
      <w:rFonts w:ascii="CG Times (WN)" w:hAnsi="CG Times (WN)" w:cs="CG Times (WN)"/>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jc w:val="both"/>
    </w:pPr>
    <w:rPr>
      <w:rFonts w:ascii="CG Times (WN)" w:hAnsi="CG Times (WN)" w:cs="CG Times (WN)"/>
      <w:spacing w:val="-3"/>
      <w:sz w:val="20"/>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sz w:val="20"/>
    </w:rPr>
  </w:style>
  <w:style w:type="paragraph" w:styleId="BodyText2">
    <w:name w:val="Body Text 2"/>
    <w:basedOn w:val="BodyText"/>
    <w:qFormat/>
    <w:pPr>
      <w:spacing w:lineRule="auto" w:line="480"/>
    </w:pPr>
    <w:rPr/>
  </w:style>
  <w:style w:type="paragraph" w:styleId="BodyText3">
    <w:name w:val="Body Text 3"/>
    <w:basedOn w:val="BodyText"/>
    <w:next w:val="BodyText"/>
    <w:qFormat/>
    <w:pPr>
      <w:spacing w:before="240" w:after="240"/>
    </w:pPr>
    <w:rPr/>
  </w:style>
  <w:style w:type="paragraph" w:styleId="ListBullet">
    <w:name w:val="List Bullet"/>
    <w:basedOn w:val="Normal"/>
    <w:qFormat/>
    <w:pPr>
      <w:jc w:val="both"/>
    </w:pPr>
    <w:rPr>
      <w:rFonts w:ascii="Arial" w:hAnsi="Arial" w:cs="Arial"/>
    </w:rPr>
  </w:style>
  <w:style w:type="paragraph" w:styleId="ListBullet21">
    <w:name w:val="List Bullet 21"/>
    <w:basedOn w:val="Normal"/>
    <w:qFormat/>
    <w:pPr>
      <w:jc w:val="both"/>
    </w:pPr>
    <w:rPr>
      <w:rFonts w:ascii="Arial" w:hAnsi="Arial" w:cs="Arial"/>
    </w:rPr>
  </w:style>
  <w:style w:type="paragraph" w:styleId="ListBullet31">
    <w:name w:val="List Bullet 31"/>
    <w:basedOn w:val="Normal"/>
    <w:qFormat/>
    <w:pPr>
      <w:jc w:val="both"/>
    </w:pPr>
    <w:rPr>
      <w:rFonts w:ascii="Arial" w:hAnsi="Arial" w:cs="Arial"/>
    </w:rPr>
  </w:style>
  <w:style w:type="paragraph" w:styleId="ListBullet41">
    <w:name w:val="List Bullet 41"/>
    <w:basedOn w:val="Normal"/>
    <w:qFormat/>
    <w:pPr>
      <w:jc w:val="both"/>
    </w:pPr>
    <w:rPr>
      <w:rFonts w:ascii="Arial" w:hAnsi="Arial" w:cs="Arial"/>
    </w:rPr>
  </w:style>
  <w:style w:type="paragraph" w:styleId="ListBullet51">
    <w:name w:val="List Bullet 51"/>
    <w:basedOn w:val="Normal"/>
    <w:qFormat/>
    <w:pPr>
      <w:jc w:val="both"/>
    </w:pPr>
    <w:rPr>
      <w:rFonts w:ascii="Arial" w:hAnsi="Arial" w:cs="Arial"/>
    </w:rPr>
  </w:style>
  <w:style w:type="paragraph" w:styleId="ListNumber">
    <w:name w:val="List Number"/>
    <w:basedOn w:val="Normal"/>
    <w:qFormat/>
    <w:pPr>
      <w:numPr>
        <w:ilvl w:val="0"/>
        <w:numId w:val="4"/>
      </w:numPr>
      <w:spacing w:before="0" w:after="240"/>
      <w:jc w:val="both"/>
    </w:pPr>
    <w:rPr>
      <w:rFonts w:ascii="Arial" w:hAnsi="Arial" w:cs="Arial"/>
      <w:sz w:val="20"/>
    </w:rPr>
  </w:style>
  <w:style w:type="paragraph" w:styleId="ListNumber2">
    <w:name w:val="List Number 2"/>
    <w:basedOn w:val="Normal"/>
    <w:qFormat/>
    <w:pPr>
      <w:spacing w:before="0" w:after="240"/>
      <w:jc w:val="both"/>
    </w:pPr>
    <w:rPr>
      <w:rFonts w:ascii="Arial" w:hAnsi="Arial" w:cs="Arial"/>
      <w:sz w:val="20"/>
    </w:rPr>
  </w:style>
  <w:style w:type="paragraph" w:styleId="ListNumber3">
    <w:name w:val="List Number 3"/>
    <w:basedOn w:val="Normal"/>
    <w:qFormat/>
    <w:pPr>
      <w:jc w:val="both"/>
    </w:pPr>
    <w:rPr>
      <w:rFonts w:ascii="Arial" w:hAnsi="Arial" w:cs="Arial"/>
    </w:rPr>
  </w:style>
  <w:style w:type="paragraph" w:styleId="ListNumber4">
    <w:name w:val="List Number 4"/>
    <w:basedOn w:val="Normal"/>
    <w:qFormat/>
    <w:pPr>
      <w:jc w:val="both"/>
    </w:pPr>
    <w:rPr>
      <w:rFonts w:ascii="Arial" w:hAnsi="Arial" w:cs="Arial"/>
    </w:rPr>
  </w:style>
  <w:style w:type="paragraph" w:styleId="ListNumber5">
    <w:name w:val="List Number 5"/>
    <w:basedOn w:val="Normal"/>
    <w:qFormat/>
    <w:pPr>
      <w:jc w:val="both"/>
    </w:pPr>
    <w:rPr>
      <w:rFonts w:ascii="Arial" w:hAnsi="Arial" w:cs="Arial"/>
    </w:rPr>
  </w:style>
  <w:style w:type="paragraph" w:styleId="BlockText">
    <w:name w:val="Block Text"/>
    <w:basedOn w:val="BodyText"/>
    <w:qFormat/>
    <w:pPr>
      <w:ind w:hanging="0" w:start="1440" w:end="1440"/>
    </w:pPr>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
    <w:qFormat/>
    <w:pPr>
      <w:spacing w:lineRule="auto" w:line="480" w:before="0" w:after="0"/>
      <w:ind w:firstLine="720" w:start="0" w:end="0"/>
    </w:pPr>
    <w:rPr/>
  </w:style>
  <w:style w:type="paragraph" w:styleId="Closing">
    <w:name w:val="Closing"/>
    <w:basedOn w:val="Normal"/>
    <w:qFormat/>
    <w:pPr>
      <w:ind w:hanging="0" w:start="4320" w:end="0"/>
      <w:jc w:val="both"/>
    </w:pPr>
    <w:rPr>
      <w:rFonts w:ascii="Arial" w:hAnsi="Arial" w:cs="Arial"/>
      <w:sz w:val="20"/>
    </w:rPr>
  </w:style>
  <w:style w:type="paragraph" w:styleId="EnvelopeAddress">
    <w:name w:val="envelope address"/>
    <w:basedOn w:val="Normal"/>
    <w:pPr>
      <w:ind w:hanging="0" w:start="2880" w:end="0"/>
      <w:jc w:val="both"/>
    </w:pPr>
    <w:rPr>
      <w:rFonts w:ascii="Arial" w:hAnsi="Arial" w:cs="Arial"/>
      <w:caps/>
      <w:sz w:val="20"/>
    </w:rPr>
  </w:style>
  <w:style w:type="paragraph" w:styleId="EnvelopeReturn">
    <w:name w:val="envelope return"/>
    <w:basedOn w:val="Normal"/>
    <w:pPr>
      <w:jc w:val="both"/>
    </w:pPr>
    <w:rPr>
      <w:rFonts w:ascii="Arial" w:hAnsi="Arial" w:cs="Arial"/>
      <w:sz w:val="20"/>
    </w:rPr>
  </w:style>
  <w:style w:type="paragraph" w:styleId="Index2">
    <w:name w:val="index 2"/>
    <w:basedOn w:val="Normal"/>
    <w:next w:val="Normal"/>
    <w:pPr>
      <w:ind w:hanging="200" w:start="400" w:end="0"/>
      <w:jc w:val="both"/>
    </w:pPr>
    <w:rPr>
      <w:rFonts w:ascii="Arial" w:hAnsi="Arial" w:cs="Arial"/>
      <w:sz w:val="20"/>
    </w:rPr>
  </w:style>
  <w:style w:type="paragraph" w:styleId="Index3">
    <w:name w:val="index 3"/>
    <w:basedOn w:val="Normal"/>
    <w:next w:val="Normal"/>
    <w:pPr>
      <w:ind w:hanging="200" w:start="600" w:end="0"/>
      <w:jc w:val="both"/>
    </w:pPr>
    <w:rPr>
      <w:rFonts w:ascii="Arial" w:hAnsi="Arial" w:cs="Arial"/>
      <w:sz w:val="20"/>
    </w:rPr>
  </w:style>
  <w:style w:type="paragraph" w:styleId="Index4">
    <w:name w:val="Index 4"/>
    <w:basedOn w:val="Normal"/>
    <w:next w:val="Normal"/>
    <w:qFormat/>
    <w:pPr>
      <w:ind w:hanging="200" w:start="800" w:end="0"/>
      <w:jc w:val="both"/>
    </w:pPr>
    <w:rPr>
      <w:rFonts w:ascii="Arial" w:hAnsi="Arial" w:cs="Arial"/>
      <w:sz w:val="20"/>
    </w:rPr>
  </w:style>
  <w:style w:type="paragraph" w:styleId="Index5">
    <w:name w:val="Index 5"/>
    <w:basedOn w:val="Normal"/>
    <w:next w:val="Normal"/>
    <w:qFormat/>
    <w:pPr>
      <w:ind w:hanging="200" w:start="1000" w:end="0"/>
      <w:jc w:val="both"/>
    </w:pPr>
    <w:rPr>
      <w:rFonts w:ascii="Arial" w:hAnsi="Arial" w:cs="Arial"/>
      <w:sz w:val="20"/>
    </w:rPr>
  </w:style>
  <w:style w:type="paragraph" w:styleId="Index6">
    <w:name w:val="Index 6"/>
    <w:basedOn w:val="Normal"/>
    <w:next w:val="Normal"/>
    <w:qFormat/>
    <w:pPr>
      <w:ind w:hanging="200" w:start="1200" w:end="0"/>
      <w:jc w:val="both"/>
    </w:pPr>
    <w:rPr>
      <w:rFonts w:ascii="Arial" w:hAnsi="Arial" w:cs="Arial"/>
      <w:sz w:val="20"/>
    </w:rPr>
  </w:style>
  <w:style w:type="paragraph" w:styleId="Index7">
    <w:name w:val="Index 7"/>
    <w:basedOn w:val="Normal"/>
    <w:next w:val="Normal"/>
    <w:qFormat/>
    <w:pPr>
      <w:ind w:hanging="200" w:start="1400" w:end="0"/>
      <w:jc w:val="both"/>
    </w:pPr>
    <w:rPr>
      <w:rFonts w:ascii="Arial" w:hAnsi="Arial" w:cs="Arial"/>
      <w:sz w:val="20"/>
    </w:rPr>
  </w:style>
  <w:style w:type="paragraph" w:styleId="Index8">
    <w:name w:val="Index 8"/>
    <w:basedOn w:val="Normal"/>
    <w:next w:val="Normal"/>
    <w:qFormat/>
    <w:pPr>
      <w:ind w:hanging="200" w:start="1600" w:end="0"/>
      <w:jc w:val="both"/>
    </w:pPr>
    <w:rPr>
      <w:rFonts w:ascii="Arial" w:hAnsi="Arial" w:cs="Arial"/>
      <w:sz w:val="20"/>
    </w:rPr>
  </w:style>
  <w:style w:type="paragraph" w:styleId="Index9">
    <w:name w:val="Index 9"/>
    <w:basedOn w:val="Normal"/>
    <w:next w:val="Normal"/>
    <w:qFormat/>
    <w:pPr>
      <w:ind w:hanging="200" w:start="1800" w:end="0"/>
      <w:jc w:val="both"/>
    </w:pPr>
    <w:rPr>
      <w:rFonts w:ascii="Arial" w:hAnsi="Arial" w:cs="Arial"/>
      <w:sz w:val="20"/>
    </w:rPr>
  </w:style>
  <w:style w:type="paragraph" w:styleId="IndexHeading">
    <w:name w:val="index heading"/>
    <w:basedOn w:val="Normal"/>
    <w:next w:val="Index1"/>
    <w:pPr>
      <w:jc w:val="both"/>
    </w:pPr>
    <w:rPr>
      <w:rFonts w:ascii="Arial" w:hAnsi="Arial" w:cs="Arial"/>
      <w:b/>
      <w:sz w:val="20"/>
    </w:rPr>
  </w:style>
  <w:style w:type="paragraph" w:styleId="ListBullet2">
    <w:name w:val="List Bullet 2"/>
    <w:basedOn w:val="Normal"/>
    <w:pPr>
      <w:ind w:hanging="360" w:start="720" w:end="0"/>
      <w:jc w:val="both"/>
    </w:pPr>
    <w:rPr>
      <w:rFonts w:ascii="Arial" w:hAnsi="Arial" w:cs="Arial"/>
      <w:sz w:val="20"/>
    </w:rPr>
  </w:style>
  <w:style w:type="paragraph" w:styleId="ListBullet3">
    <w:name w:val="List Bullet 3"/>
    <w:basedOn w:val="Normal"/>
    <w:pPr>
      <w:ind w:hanging="360" w:start="1080" w:end="0"/>
      <w:jc w:val="both"/>
    </w:pPr>
    <w:rPr>
      <w:rFonts w:ascii="Arial" w:hAnsi="Arial" w:cs="Arial"/>
      <w:sz w:val="20"/>
    </w:rPr>
  </w:style>
  <w:style w:type="paragraph" w:styleId="ListBullet4">
    <w:name w:val="List Bullet 4"/>
    <w:basedOn w:val="Normal"/>
    <w:pPr>
      <w:ind w:hanging="360" w:start="1440" w:end="0"/>
      <w:jc w:val="both"/>
    </w:pPr>
    <w:rPr>
      <w:rFonts w:ascii="Arial" w:hAnsi="Arial" w:cs="Arial"/>
      <w:sz w:val="20"/>
    </w:rPr>
  </w:style>
  <w:style w:type="paragraph" w:styleId="ListBullet5">
    <w:name w:val="List Bullet 5"/>
    <w:basedOn w:val="Normal"/>
    <w:pPr>
      <w:ind w:hanging="360" w:start="1800" w:end="0"/>
      <w:jc w:val="both"/>
    </w:pPr>
    <w:rPr>
      <w:rFonts w:ascii="Arial" w:hAnsi="Arial" w:cs="Arial"/>
      <w:sz w:val="20"/>
    </w:rPr>
  </w:style>
  <w:style w:type="paragraph" w:styleId="ListContinue">
    <w:name w:val="List Continue"/>
    <w:basedOn w:val="Normal"/>
    <w:qFormat/>
    <w:pPr>
      <w:spacing w:before="0" w:after="120"/>
      <w:ind w:hanging="0" w:start="360" w:end="0"/>
      <w:jc w:val="both"/>
    </w:pPr>
    <w:rPr>
      <w:rFonts w:ascii="Arial" w:hAnsi="Arial" w:cs="Arial"/>
      <w:sz w:val="20"/>
    </w:rPr>
  </w:style>
  <w:style w:type="paragraph" w:styleId="ListContinue2">
    <w:name w:val="List Continue 2"/>
    <w:basedOn w:val="Normal"/>
    <w:qFormat/>
    <w:pPr>
      <w:spacing w:before="0" w:after="120"/>
      <w:ind w:hanging="0" w:start="720" w:end="0"/>
      <w:jc w:val="both"/>
    </w:pPr>
    <w:rPr>
      <w:rFonts w:ascii="Arial" w:hAnsi="Arial" w:cs="Arial"/>
      <w:sz w:val="20"/>
    </w:rPr>
  </w:style>
  <w:style w:type="paragraph" w:styleId="ListContinue3">
    <w:name w:val="List Continue 3"/>
    <w:basedOn w:val="Normal"/>
    <w:qFormat/>
    <w:pPr>
      <w:spacing w:before="0" w:after="120"/>
      <w:ind w:hanging="0" w:start="1080" w:end="0"/>
      <w:jc w:val="both"/>
    </w:pPr>
    <w:rPr>
      <w:rFonts w:ascii="Arial" w:hAnsi="Arial" w:cs="Arial"/>
      <w:sz w:val="20"/>
    </w:rPr>
  </w:style>
  <w:style w:type="paragraph" w:styleId="ListContinue4">
    <w:name w:val="List Continue 4"/>
    <w:basedOn w:val="Normal"/>
    <w:qFormat/>
    <w:pPr>
      <w:spacing w:before="0" w:after="120"/>
      <w:ind w:hanging="0" w:start="1440" w:end="0"/>
      <w:jc w:val="both"/>
    </w:pPr>
    <w:rPr>
      <w:rFonts w:ascii="Arial" w:hAnsi="Arial" w:cs="Arial"/>
      <w:sz w:val="20"/>
    </w:rPr>
  </w:style>
  <w:style w:type="paragraph" w:styleId="ListContinue5">
    <w:name w:val="List Continue 5"/>
    <w:basedOn w:val="Normal"/>
    <w:qFormat/>
    <w:pPr>
      <w:spacing w:before="0" w:after="120"/>
      <w:ind w:hanging="0" w:start="1800" w:end="0"/>
      <w:jc w:val="both"/>
    </w:pPr>
    <w:rPr>
      <w:rFonts w:ascii="Arial" w:hAnsi="Arial" w:cs="Arial"/>
      <w:sz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CA"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rPr>
  </w:style>
  <w:style w:type="paragraph" w:styleId="NormalIndent">
    <w:name w:val="Normal Indent"/>
    <w:basedOn w:val="Normal"/>
    <w:qFormat/>
    <w:pPr>
      <w:ind w:hanging="0" w:start="720" w:end="0"/>
      <w:jc w:val="both"/>
    </w:pPr>
    <w:rPr>
      <w:rFonts w:ascii="Arial" w:hAnsi="Arial" w:cs="Arial"/>
      <w:sz w:val="20"/>
    </w:rPr>
  </w:style>
  <w:style w:type="paragraph" w:styleId="NoteHeading">
    <w:name w:val="Note Heading"/>
    <w:basedOn w:val="Normal"/>
    <w:next w:val="Normal"/>
    <w:qFormat/>
    <w:pPr>
      <w:jc w:val="both"/>
    </w:pPr>
    <w:rPr>
      <w:rFonts w:ascii="Arial" w:hAnsi="Arial" w:cs="Arial"/>
      <w:sz w:val="20"/>
    </w:rPr>
  </w:style>
  <w:style w:type="paragraph" w:styleId="Salutation">
    <w:name w:val="Salutation"/>
    <w:basedOn w:val="Normal"/>
    <w:next w:val="Normal"/>
    <w:qFormat/>
    <w:pPr>
      <w:jc w:val="both"/>
    </w:pPr>
    <w:rPr>
      <w:rFonts w:ascii="Arial" w:hAnsi="Arial" w:cs="Arial"/>
      <w:sz w:val="20"/>
    </w:rPr>
  </w:style>
  <w:style w:type="paragraph" w:styleId="Signature">
    <w:name w:val="Signature"/>
    <w:basedOn w:val="Normal"/>
    <w:pPr>
      <w:keepLines/>
      <w:tabs>
        <w:tab w:val="clear" w:pos="720"/>
        <w:tab w:val="right" w:pos="10800" w:leader="none"/>
      </w:tabs>
      <w:spacing w:before="0" w:after="240"/>
      <w:ind w:hanging="0" w:start="5040" w:end="0"/>
      <w:jc w:val="both"/>
    </w:pPr>
    <w:rPr>
      <w:rFonts w:ascii="Arial" w:hAnsi="Arial" w:cs="Arial"/>
      <w:sz w:val="20"/>
    </w:rPr>
  </w:style>
  <w:style w:type="paragraph" w:styleId="TableofAuthorities">
    <w:name w:val="Table of Authorities"/>
    <w:basedOn w:val="Normal"/>
    <w:next w:val="Normal"/>
    <w:qFormat/>
    <w:pPr>
      <w:ind w:hanging="200" w:start="200" w:end="0"/>
      <w:jc w:val="both"/>
    </w:pPr>
    <w:rPr>
      <w:rFonts w:ascii="Arial" w:hAnsi="Arial" w:cs="Arial"/>
      <w:sz w:val="20"/>
    </w:rPr>
  </w:style>
  <w:style w:type="paragraph" w:styleId="TableofFigures">
    <w:name w:val="Table of Figures"/>
    <w:basedOn w:val="Normal"/>
    <w:next w:val="Normal"/>
    <w:qFormat/>
    <w:pPr>
      <w:ind w:hanging="400" w:start="400" w:end="0"/>
      <w:jc w:val="both"/>
    </w:pPr>
    <w:rPr>
      <w:rFonts w:ascii="Arial" w:hAnsi="Arial" w:cs="Arial"/>
      <w:sz w:val="20"/>
    </w:rPr>
  </w:style>
  <w:style w:type="paragraph" w:styleId="TOAHeading">
    <w:name w:val="TOA Heading"/>
    <w:basedOn w:val="Normal"/>
    <w:next w:val="Normal"/>
    <w:qFormat/>
    <w:pPr>
      <w:spacing w:before="120" w:after="0"/>
      <w:jc w:val="both"/>
    </w:pPr>
    <w:rPr>
      <w:rFonts w:ascii="Arial" w:hAnsi="Arial" w:cs="Arial"/>
      <w:b/>
    </w:rPr>
  </w:style>
  <w:style w:type="paragraph" w:styleId="BodyTextHanging">
    <w:name w:val="Body Text Hanging"/>
    <w:basedOn w:val="BodyText"/>
    <w:qFormat/>
    <w:pPr>
      <w:ind w:hanging="720" w:start="720" w:end="0"/>
    </w:pPr>
    <w:rPr/>
  </w:style>
  <w:style w:type="paragraph" w:styleId="BodyTextFirstIndent3">
    <w:name w:val="Body Text First Indent 3"/>
    <w:basedOn w:val="BodyText"/>
    <w:next w:val="BodyTextFirstIndent"/>
    <w:qFormat/>
    <w:pPr>
      <w:spacing w:before="240" w:after="240"/>
      <w:ind w:firstLine="720" w:start="0" w:end="0"/>
    </w:pPr>
    <w:rPr/>
  </w:style>
  <w:style w:type="paragraph" w:styleId="BodyTextHanging2">
    <w:name w:val="Body Text Hanging 2"/>
    <w:basedOn w:val="BodyText"/>
    <w:qFormat/>
    <w:pPr>
      <w:spacing w:lineRule="auto" w:line="480" w:before="0" w:after="0"/>
      <w:ind w:hanging="720" w:start="720" w:end="0"/>
    </w:pPr>
    <w:rPr/>
  </w:style>
  <w:style w:type="paragraph" w:styleId="BodyTextHanging3">
    <w:name w:val="Body Text Hanging 3"/>
    <w:basedOn w:val="BodyText"/>
    <w:next w:val="BodyTextHanging"/>
    <w:qFormat/>
    <w:pPr>
      <w:spacing w:before="240" w:after="240"/>
      <w:ind w:hanging="720" w:start="720" w:end="0"/>
    </w:pPr>
    <w:rPr/>
  </w:style>
  <w:style w:type="paragraph" w:styleId="LCMTitle">
    <w:name w:val="LCMTitle"/>
    <w:basedOn w:val="Subtitle"/>
    <w:qFormat/>
    <w:pPr>
      <w:spacing w:before="0" w:after="240"/>
    </w:pPr>
    <w:rPr>
      <w:rFonts w:cs="Times New Roman"/>
      <w:b/>
      <w:caps/>
      <w:sz w:val="20"/>
      <w:szCs w:val="20"/>
    </w:rPr>
  </w:style>
  <w:style w:type="paragraph" w:styleId="Mosher1">
    <w:name w:val="Mosher1"/>
    <w:basedOn w:val="Normal"/>
    <w:next w:val="BodyText"/>
    <w:qFormat/>
    <w:pPr>
      <w:keepNext w:val="true"/>
      <w:numPr>
        <w:ilvl w:val="0"/>
        <w:numId w:val="5"/>
      </w:numPr>
      <w:spacing w:before="0" w:after="240"/>
      <w:jc w:val="both"/>
      <w:outlineLvl w:val="0"/>
    </w:pPr>
    <w:rPr>
      <w:rFonts w:ascii="Arial" w:hAnsi="Arial" w:cs="Arial"/>
      <w:caps/>
      <w:sz w:val="20"/>
    </w:rPr>
  </w:style>
  <w:style w:type="paragraph" w:styleId="Mosher2">
    <w:name w:val="Mosher2"/>
    <w:basedOn w:val="Normal"/>
    <w:next w:val="BodyText"/>
    <w:qFormat/>
    <w:pPr>
      <w:keepNext w:val="true"/>
      <w:numPr>
        <w:ilvl w:val="0"/>
        <w:numId w:val="5"/>
      </w:numPr>
      <w:spacing w:before="0" w:after="240"/>
      <w:jc w:val="both"/>
      <w:outlineLvl w:val="0"/>
    </w:pPr>
    <w:rPr>
      <w:rFonts w:ascii="Arial" w:hAnsi="Arial" w:cs="Arial"/>
      <w:sz w:val="20"/>
    </w:rPr>
  </w:style>
  <w:style w:type="paragraph" w:styleId="Style11">
    <w:name w:val="Style1"/>
    <w:basedOn w:val="Heading4"/>
    <w:qFormat/>
    <w:pPr>
      <w:keepNext w:val="false"/>
      <w:numPr>
        <w:ilvl w:val="0"/>
        <w:numId w:val="0"/>
      </w:numPr>
      <w:tabs>
        <w:tab w:val="left" w:pos="720" w:leader="none"/>
        <w:tab w:val="left" w:pos="1440" w:leader="none"/>
        <w:tab w:val="left" w:pos="1656" w:leader="none"/>
      </w:tabs>
      <w:spacing w:before="0" w:after="240"/>
      <w:ind w:hanging="720" w:start="720" w:end="0"/>
      <w:jc w:val="both"/>
      <w:outlineLvl w:val="9"/>
    </w:pPr>
    <w:rPr>
      <w:rFonts w:ascii="Arial" w:hAnsi="Arial" w:cs="Arial"/>
      <w:b w:val="false"/>
      <w:bCs w:val="false"/>
      <w:sz w:val="20"/>
      <w:szCs w:val="20"/>
    </w:rPr>
  </w:style>
  <w:style w:type="paragraph" w:styleId="h">
    <w:name w:val="h"/>
    <w:basedOn w:val="Normal"/>
    <w:qFormat/>
    <w:pPr>
      <w:jc w:val="both"/>
    </w:pPr>
    <w:rPr/>
  </w:style>
  <w:style w:type="paragraph" w:styleId="Tasha">
    <w:name w:val="Tasha"/>
    <w:basedOn w:val="Heading1"/>
    <w:qFormat/>
    <w:pPr>
      <w:numPr>
        <w:ilvl w:val="0"/>
        <w:numId w:val="0"/>
      </w:numPr>
      <w:spacing w:before="0" w:after="0"/>
      <w:outlineLvl w:val="9"/>
    </w:pPr>
    <w:rPr>
      <w:rFonts w:cs="Times New Roman"/>
      <w:u w:val="non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2000-10-19T16:20:00Z</dcterms:created>
  <dc:creator>tasharri</dc:creator>
  <dc:description/>
  <dc:language>en-CA</dc:language>
  <cp:lastModifiedBy>dgohlke</cp:lastModifiedBy>
  <cp:lastPrinted>2000-10-13T15:59:00Z</cp:lastPrinted>
  <dcterms:modified xsi:type="dcterms:W3CDTF">2000-10-19T16:30:00Z</dcterms:modified>
  <cp:revision>5</cp:revision>
  <dc:subject/>
  <dc:title>ENGINEERING, PROCUREMENT &amp; CONSTRUCTION CONTRACT</dc:title>
</cp:coreProperties>
</file>