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bookmarkStart w:id="0" w:name="Logo"/>
      <w:bookmarkEnd w:id="0"/>
      <w:r>
        <w:drawing>
          <wp:anchor behindDoc="1" distT="0" distB="0" distL="0" distR="0" simplePos="0" locked="0" layoutInCell="1" allowOverlap="1" relativeHeight="2">
            <wp:simplePos x="0" y="0"/>
            <wp:positionH relativeFrom="column">
              <wp:posOffset>5023485</wp:posOffset>
            </wp:positionH>
            <wp:positionV relativeFrom="paragraph">
              <wp:posOffset>-182880</wp:posOffset>
            </wp:positionV>
            <wp:extent cx="1194435" cy="1191260"/>
            <wp:effectExtent l="0" t="0" r="0" b="0"/>
            <wp:wrapNone/>
            <wp:docPr id="1" name="Bph30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ph300" descr="" title=""/>
                    <pic:cNvPicPr>
                      <a:picLocks noChangeAspect="1" noChangeArrowheads="1"/>
                    </pic:cNvPicPr>
                  </pic:nvPicPr>
                  <pic:blipFill>
                    <a:blip r:embed="rId2"/>
                    <a:srcRect l="-10" t="-10" r="-10" b="-10"/>
                    <a:stretch>
                      <a:fillRect/>
                    </a:stretch>
                  </pic:blipFill>
                  <pic:spPr bwMode="auto">
                    <a:xfrm>
                      <a:off x="0" y="0"/>
                      <a:ext cx="1194435" cy="1191260"/>
                    </a:xfrm>
                    <a:prstGeom prst="rect">
                      <a:avLst/>
                    </a:prstGeom>
                    <a:noFill/>
                  </pic:spPr>
                </pic:pic>
              </a:graphicData>
            </a:graphic>
          </wp:anchor>
        </w:drawing>
      </w:r>
      <w:r>
        <w:rPr/>
        <w:t>MEMORANDUM</w:t>
      </w:r>
    </w:p>
    <w:tbl>
      <w:tblPr>
        <w:tblW w:w="9565" w:type="dxa"/>
        <w:jc w:val="start"/>
        <w:tblInd w:w="0" w:type="dxa"/>
        <w:tblLayout w:type="fixed"/>
        <w:tblCellMar>
          <w:top w:w="0" w:type="dxa"/>
          <w:start w:w="108" w:type="dxa"/>
          <w:bottom w:w="0" w:type="dxa"/>
          <w:end w:w="108" w:type="dxa"/>
        </w:tblCellMar>
      </w:tblPr>
      <w:tblGrid>
        <w:gridCol w:w="1458"/>
        <w:gridCol w:w="6390"/>
        <w:gridCol w:w="1717"/>
      </w:tblGrid>
      <w:tr>
        <w:trPr/>
        <w:tc>
          <w:tcPr>
            <w:tcW w:w="1458" w:type="dxa"/>
            <w:tcBorders/>
          </w:tcPr>
          <w:p>
            <w:pPr>
              <w:pStyle w:val="MessageHeader"/>
              <w:spacing w:before="0" w:after="240"/>
              <w:rPr/>
            </w:pPr>
            <w:r>
              <w:rPr/>
              <w:t>TO:</w:t>
            </w:r>
          </w:p>
        </w:tc>
        <w:tc>
          <w:tcPr>
            <w:tcW w:w="6390" w:type="dxa"/>
            <w:tcBorders/>
          </w:tcPr>
          <w:p>
            <w:pPr>
              <w:pStyle w:val="MessageHeader"/>
              <w:spacing w:before="0" w:after="240"/>
              <w:rPr/>
            </w:pPr>
            <w:r>
              <w:rPr/>
              <w:t>Gary S. Fergus</w:t>
            </w:r>
          </w:p>
        </w:tc>
        <w:tc>
          <w:tcPr>
            <w:tcW w:w="1717" w:type="dxa"/>
            <w:tcBorders/>
            <w:tcMar>
              <w:start w:w="0" w:type="dxa"/>
              <w:end w:w="0" w:type="dxa"/>
            </w:tcMar>
          </w:tcPr>
          <w:p>
            <w:pPr>
              <w:pStyle w:val="Normal"/>
              <w:snapToGrid w:val="false"/>
              <w:rPr/>
            </w:pPr>
            <w:r>
              <w:rPr/>
            </w:r>
          </w:p>
        </w:tc>
      </w:tr>
      <w:tr>
        <w:trPr/>
        <w:tc>
          <w:tcPr>
            <w:tcW w:w="1458" w:type="dxa"/>
            <w:tcBorders/>
          </w:tcPr>
          <w:p>
            <w:pPr>
              <w:pStyle w:val="MessageHeader"/>
              <w:spacing w:before="0" w:after="240"/>
              <w:rPr>
                <w:b w:val="false"/>
              </w:rPr>
            </w:pPr>
            <w:r>
              <w:rPr/>
              <w:t>FROM:</w:t>
            </w:r>
          </w:p>
        </w:tc>
        <w:tc>
          <w:tcPr>
            <w:tcW w:w="6390" w:type="dxa"/>
            <w:tcBorders/>
          </w:tcPr>
          <w:p>
            <w:pPr>
              <w:pStyle w:val="MessageHeader"/>
              <w:spacing w:before="0" w:after="240"/>
              <w:rPr>
                <w:caps/>
              </w:rPr>
            </w:pPr>
            <w:bookmarkStart w:id="1" w:name="Senders"/>
            <w:r>
              <w:rPr/>
              <w:t>Peter P. Meringolo</w:t>
            </w:r>
            <w:bookmarkEnd w:id="1"/>
          </w:p>
        </w:tc>
        <w:tc>
          <w:tcPr>
            <w:tcW w:w="1717" w:type="dxa"/>
            <w:tcBorders/>
            <w:tcMar>
              <w:start w:w="0" w:type="dxa"/>
              <w:end w:w="0" w:type="dxa"/>
            </w:tcMar>
          </w:tcPr>
          <w:p>
            <w:pPr>
              <w:pStyle w:val="Normal"/>
              <w:snapToGrid w:val="false"/>
              <w:rPr>
                <w:caps/>
              </w:rPr>
            </w:pPr>
            <w:r>
              <w:rPr>
                <w:caps/>
              </w:rPr>
            </w:r>
          </w:p>
        </w:tc>
      </w:tr>
      <w:tr>
        <w:trPr/>
        <w:tc>
          <w:tcPr>
            <w:tcW w:w="1458" w:type="dxa"/>
            <w:tcBorders/>
          </w:tcPr>
          <w:p>
            <w:pPr>
              <w:pStyle w:val="MessageHeader"/>
              <w:spacing w:before="0" w:after="240"/>
              <w:rPr>
                <w:b w:val="false"/>
              </w:rPr>
            </w:pPr>
            <w:r>
              <w:rPr/>
              <w:t>SUBJECT:</w:t>
            </w:r>
          </w:p>
        </w:tc>
        <w:tc>
          <w:tcPr>
            <w:tcW w:w="8107" w:type="dxa"/>
            <w:gridSpan w:val="2"/>
            <w:tcBorders/>
          </w:tcPr>
          <w:p>
            <w:pPr>
              <w:pStyle w:val="MessageHeader"/>
              <w:spacing w:before="0" w:after="240"/>
              <w:rPr>
                <w:caps/>
              </w:rPr>
            </w:pPr>
            <w:bookmarkStart w:id="2" w:name="Subject"/>
            <w:r>
              <w:rPr/>
              <w:t>November 9, 2000 Hearing</w:t>
            </w:r>
            <w:bookmarkEnd w:id="2"/>
            <w:r>
              <w:rPr/>
              <w:t xml:space="preserve"> before FERC </w:t>
            </w:r>
          </w:p>
        </w:tc>
      </w:tr>
      <w:tr>
        <w:trPr/>
        <w:tc>
          <w:tcPr>
            <w:tcW w:w="1458" w:type="dxa"/>
            <w:tcBorders>
              <w:bottom w:val="single" w:sz="4" w:space="0" w:color="000000"/>
            </w:tcBorders>
          </w:tcPr>
          <w:p>
            <w:pPr>
              <w:pStyle w:val="MessageHeader"/>
              <w:spacing w:before="0" w:after="240"/>
              <w:rPr/>
            </w:pPr>
            <w:r>
              <w:rPr/>
              <w:t>DATE:</w:t>
            </w:r>
          </w:p>
        </w:tc>
        <w:tc>
          <w:tcPr>
            <w:tcW w:w="8107" w:type="dxa"/>
            <w:gridSpan w:val="2"/>
            <w:tcBorders>
              <w:bottom w:val="single" w:sz="4" w:space="0" w:color="000000"/>
            </w:tcBorders>
          </w:tcPr>
          <w:p>
            <w:pPr>
              <w:pStyle w:val="MessageHeader"/>
              <w:spacing w:before="0" w:after="240"/>
              <w:rPr>
                <w:caps/>
              </w:rPr>
            </w:pPr>
            <w:bookmarkStart w:id="3" w:name="Date"/>
            <w:r>
              <w:rPr/>
              <w:t>November 20, 2000</w:t>
            </w:r>
            <w:bookmarkEnd w:id="3"/>
          </w:p>
        </w:tc>
      </w:tr>
    </w:tbl>
    <w:p>
      <w:pPr>
        <w:pStyle w:val="Normal"/>
        <w:tabs>
          <w:tab w:val="clear" w:pos="720"/>
          <w:tab w:val="left" w:pos="1980" w:leader="none"/>
        </w:tabs>
        <w:spacing w:lineRule="exact" w:line="80" w:before="0" w:after="560"/>
        <w:ind w:end="-450"/>
        <w:rPr>
          <w:sz w:val="22"/>
          <w:lang w:val="en-CA"/>
        </w:rPr>
      </w:pPr>
      <w:r>
        <w:rPr>
          <w:sz w:val="22"/>
          <w:lang w:val="en-CA"/>
        </w:rPr>
      </w:r>
    </w:p>
    <w:p>
      <w:pPr>
        <w:pStyle w:val="BodyText"/>
        <w:rPr/>
      </w:pPr>
      <w:bookmarkStart w:id="4" w:name="BodyStart"/>
      <w:bookmarkEnd w:id="4"/>
      <w:r>
        <w:rPr/>
        <w:t xml:space="preserve">You requested that I review the transcript of the November 9, 2000 FERC hearing to see if there is any indication about the intent of California to bring a lawsuit or undertake an investigation as a result of the prices of wholesale electricity.    </w:t>
      </w:r>
    </w:p>
    <w:p>
      <w:pPr>
        <w:pStyle w:val="BodyText"/>
        <w:rPr/>
      </w:pPr>
      <w:r>
        <w:rPr/>
        <w:t xml:space="preserve">I reviewed the comments from Panel 3, which consisted of Governor Gray Davis, Loretta Lynch (President, CPUC), Michael Kahn (Chairman, California Electricity Oversight Board) , William Keese (Chairman, California Energy Commission), Debra Bowen (Chairwoman, California State Energy, Utilities and Communications Committee), Senator Steve Peace, and Supervisor Diane Jacob (Chairwoman of the San Diego County Board of Supervisors).  </w:t>
      </w:r>
      <w:r>
        <w:rPr>
          <w:i/>
        </w:rPr>
        <w:t xml:space="preserve">See </w:t>
      </w:r>
      <w:r>
        <w:rPr/>
        <w:t xml:space="preserve">pp. 157-239.  </w:t>
      </w:r>
    </w:p>
    <w:p>
      <w:pPr>
        <w:pStyle w:val="BodyText"/>
        <w:rPr/>
      </w:pPr>
      <w:r>
        <w:rPr/>
        <w:t xml:space="preserve">Below are the relevant comments from these panelists.  </w:t>
      </w:r>
    </w:p>
    <w:p>
      <w:pPr>
        <w:pStyle w:val="BodyText"/>
        <w:rPr/>
      </w:pPr>
      <w:r>
        <w:rPr>
          <w:u w:val="single"/>
        </w:rPr>
        <w:t>Governor Gray Davis.</w:t>
      </w:r>
      <w:r>
        <w:rPr/>
        <w:t xml:space="preserve">  Governor Davis appears by video.  Although he does not explicitly mention a lawsuit or investigation, his comments are consistent with his previous statements:  “Billions of dollars more—billions—were spent this summer for merely the same amount of electricity used just one year before.  And the newspapers are filled with reports of exorbitant profits reaped by merchant generators and marketeers.  Now they may feel an obligation to collect every dollar possible for their shareholders, but I have an obligation to the citizens of California to protect them from price gouging.”  </w:t>
      </w:r>
      <w:r>
        <w:rPr>
          <w:i/>
        </w:rPr>
        <w:t>See</w:t>
      </w:r>
      <w:r>
        <w:rPr/>
        <w:t xml:space="preserve"> p. 158:8-16.</w:t>
      </w:r>
    </w:p>
    <w:p>
      <w:pPr>
        <w:pStyle w:val="BodyText"/>
        <w:rPr/>
      </w:pPr>
      <w:r>
        <w:rPr>
          <w:u w:val="single"/>
        </w:rPr>
        <w:t>Senator Steve Peace.</w:t>
      </w:r>
      <w:r>
        <w:rPr/>
        <w:t xml:space="preserve">  Senator Peace continues to target marketers.  For example, he states:  “[Y]ou are the surrogate, and you are the only surrogate to assure that the marketers whose fiduciary responsibility to their stockholders is to make as much money as they can, to push the envelope of the market to find where the edge of the rules are.  They cannot do their job well for their stockholders unless you vigorously enforce the boundaries of the market.” </w:t>
      </w:r>
      <w:r>
        <w:rPr>
          <w:i/>
        </w:rPr>
        <w:t xml:space="preserve"> See</w:t>
      </w:r>
      <w:r>
        <w:rPr/>
        <w:t xml:space="preserve"> pp. 177:22-178:4.</w:t>
      </w:r>
    </w:p>
    <w:p>
      <w:pPr>
        <w:pStyle w:val="BodyText"/>
        <w:rPr/>
      </w:pPr>
      <w:r>
        <w:rPr/>
        <w:t xml:space="preserve">Senator Peace envisions litigation between the generators/ marketers and FERC.  In order for such litigation to happen, Senator Peace encourages FERC to “act retroactively.”  </w:t>
      </w:r>
    </w:p>
    <w:p>
      <w:pPr>
        <w:pStyle w:val="QuoteS"/>
        <w:rPr/>
      </w:pPr>
      <w:r>
        <w:rPr/>
        <w:t xml:space="preserve">If you act retroactively, how would you determine what the rate is and what is—this is going to end up in a lawsuit no matter.  FERC’s going to be sued.  The question is, who initiates the lawsuit?  The generators, the markets, the customers?  I would hope you would act retroactively and allow yourself to be sued by the generators and the marketers, rather than the customers that I believe the law obligates you to protect.  And I think that’s in everybody’s interest to be protecting the evolution of a market.  </w:t>
      </w:r>
    </w:p>
    <w:p>
      <w:pPr>
        <w:pStyle w:val="BodyText"/>
        <w:ind w:hanging="0" w:end="0"/>
        <w:rPr/>
      </w:pPr>
      <w:r>
        <w:rPr>
          <w:i/>
        </w:rPr>
        <w:t xml:space="preserve">See </w:t>
      </w:r>
      <w:r>
        <w:rPr/>
        <w:t xml:space="preserve">p. 211:12-22.  </w:t>
      </w:r>
    </w:p>
    <w:p>
      <w:pPr>
        <w:pStyle w:val="BodyText"/>
        <w:rPr/>
      </w:pPr>
      <w:r>
        <w:rPr>
          <w:u w:val="single"/>
        </w:rPr>
        <w:t>Diane Jacob, Chairwoman of the San Diego County Board of Supervisors.</w:t>
      </w:r>
      <w:r>
        <w:rPr/>
        <w:t xml:space="preserve">  Ms. Jacobs’ comments resonate with antitrust allegations.  </w:t>
      </w:r>
    </w:p>
    <w:p>
      <w:pPr>
        <w:pStyle w:val="BodyText"/>
        <w:rPr/>
      </w:pPr>
      <w:r>
        <w:rPr/>
        <w:t xml:space="preserve">For example, Ms. Jacob states that “We are still having unjust and unreasonable rates, and I would like to [sic] what is occurring in San Diego as white collar crime and no less.”  </w:t>
      </w:r>
      <w:r>
        <w:rPr>
          <w:i/>
        </w:rPr>
        <w:t xml:space="preserve">See </w:t>
      </w:r>
      <w:r>
        <w:rPr/>
        <w:t xml:space="preserve">p. 179:22-24.  </w:t>
      </w:r>
    </w:p>
    <w:p>
      <w:pPr>
        <w:pStyle w:val="BodyText"/>
        <w:rPr/>
      </w:pPr>
      <w:r>
        <w:rPr/>
        <w:t xml:space="preserve">Ms. Jacob suggests that FERC should “continue or expand your investigation into market power abuse through collaboration with other ongoing investigations such as the California State Attorney General, the PX and the ISO to determine the extent of market power abuse during the summer months.  And we believe there has been quite a bit.”  </w:t>
      </w:r>
      <w:r>
        <w:rPr>
          <w:i/>
        </w:rPr>
        <w:t xml:space="preserve">See </w:t>
      </w:r>
      <w:r>
        <w:rPr/>
        <w:t xml:space="preserve">p. 182:6-11.  </w:t>
      </w:r>
    </w:p>
    <w:p>
      <w:pPr>
        <w:pStyle w:val="BodyText"/>
        <w:rPr/>
      </w:pPr>
      <w:r>
        <w:rPr/>
        <w:t xml:space="preserve">Ms. Jacob further comments that </w:t>
      </w:r>
    </w:p>
    <w:p>
      <w:pPr>
        <w:pStyle w:val="QuoteS"/>
        <w:rPr/>
      </w:pPr>
      <w:r>
        <w:rPr/>
        <w:t xml:space="preserve">I think the issue here is excessive profits versus reasonable profits.  And if you look at the what I consider outrageously excessive profits by generators on the California market—I do have a chart with me if you care to see it—they are outrageous.  It is clear if you look at the rate chart that I have submitted, which is just one example in San Diego, but of what is going on in California, you’ll see that relationship.  I don’t think there is any requirement of an expectation for excessive profits; only reasonable profits.  And I think that is the main issue and that’s the test:  Reasonable profits.  Not excessive profits.   </w:t>
      </w:r>
    </w:p>
    <w:p>
      <w:pPr>
        <w:pStyle w:val="QuoteS"/>
        <w:spacing w:before="0" w:after="240"/>
        <w:ind w:start="0" w:end="1440"/>
        <w:rPr/>
      </w:pPr>
      <w:r>
        <w:rPr>
          <w:i/>
        </w:rPr>
        <w:t>See</w:t>
      </w:r>
      <w:r>
        <w:rPr/>
        <w:t xml:space="preserve"> p. 218:4-16.</w:t>
      </w:r>
    </w:p>
    <w:sectPr>
      <w:footerReference w:type="default" r:id="rId3"/>
      <w:footerReference w:type="first" r:id="rId4"/>
      <w:type w:val="nextPage"/>
      <w:pgSz w:w="12240" w:h="15840"/>
      <w:pgMar w:left="1440" w:right="1440" w:gutter="0" w:header="0" w:top="1440" w:footer="432" w:bottom="86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 -</w:t>
    </w:r>
  </w:p>
  <w:p>
    <w:pPr>
      <w:pStyle w:val="Footer"/>
      <w:tabs>
        <w:tab w:val="clear" w:pos="4320"/>
        <w:tab w:val="clear" w:pos="8640"/>
      </w:tabs>
      <w:rPr>
        <w:caps/>
        <w:sz w:val="12"/>
      </w:rPr>
    </w:pPr>
    <w:r>
      <w:rPr>
        <w:caps/>
        <w:sz w:val="12"/>
      </w:rPr>
      <w:fldChar w:fldCharType="begin"/>
    </w:r>
    <w:r>
      <w:rPr>
        <w:caps/>
        <w:sz w:val="12"/>
      </w:rPr>
      <w:instrText xml:space="preserve"> DOCPROPERTY "Doc No."</w:instrText>
    </w:r>
    <w:r>
      <w:rPr>
        <w:caps/>
        <w:sz w:val="12"/>
      </w:rPr>
      <w:fldChar w:fldCharType="separate"/>
    </w:r>
    <w:r>
      <w:rPr>
        <w:caps/>
        <w:sz w:val="12"/>
      </w:rPr>
      <w:t>SFRLIB1\P2M\5440661.01(38M1H01!.DOC)</w:t>
    </w:r>
    <w:r>
      <w:rPr>
        <w:caps/>
        <w:sz w:val="12"/>
      </w:rPr>
      <w:fldChar w:fldCharType="end"/>
    </w:r>
  </w:p>
  <w:p>
    <w:pPr>
      <w:pStyle w:val="Footer"/>
      <w:tabs>
        <w:tab w:val="clear" w:pos="4320"/>
        <w:tab w:val="clear" w:pos="8640"/>
      </w:tabs>
      <w:rPr>
        <w:caps/>
        <w:sz w:val="12"/>
      </w:rPr>
    </w:pPr>
    <w:r>
      <w:rPr>
        <w:caps/>
        <w:sz w:val="12"/>
      </w:rPr>
      <w:fldChar w:fldCharType="begin"/>
    </w:r>
    <w:r>
      <w:rPr>
        <w:caps/>
        <w:sz w:val="12"/>
      </w:rPr>
      <w:instrText xml:space="preserve"> DOCPROPERTY "date"</w:instrText>
    </w:r>
    <w:r>
      <w:rPr>
        <w:caps/>
        <w:sz w:val="12"/>
      </w:rPr>
      <w:fldChar w:fldCharType="separate"/>
    </w:r>
    <w:r>
      <w:rPr>
        <w:caps/>
        <w:sz w:val="12"/>
      </w:rPr>
      <w:t xml:space="preserve"> </w:t>
    </w:r>
    <w:r>
      <w:rPr>
        <w:caps/>
        <w:sz w:val="12"/>
      </w:rPr>
      <w:fldChar w:fldCharType="end"/>
    </w:r>
  </w:p>
  <w:p>
    <w:pPr>
      <w:pStyle w:val="Normal"/>
      <w:rPr>
        <w:caps/>
        <w:sz w:val="12"/>
      </w:rPr>
    </w:pPr>
    <w:r>
      <w:rPr>
        <w:caps/>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s>
      <w:rPr>
        <w:smallCaps/>
      </w:rPr>
    </w:pPr>
    <w:r>
      <w:rPr>
        <w:smallCaps/>
      </w:rPr>
    </w:r>
  </w:p>
  <w:p>
    <w:pPr>
      <w:pStyle w:val="Footer"/>
      <w:tabs>
        <w:tab w:val="clear" w:pos="4320"/>
        <w:tab w:val="clear" w:pos="8640"/>
      </w:tabs>
      <w:rPr>
        <w:caps/>
        <w:sz w:val="12"/>
      </w:rPr>
    </w:pPr>
    <w:r>
      <w:rPr>
        <w:caps/>
        <w:sz w:val="12"/>
      </w:rPr>
      <w:fldChar w:fldCharType="begin"/>
    </w:r>
    <w:r>
      <w:rPr>
        <w:caps/>
        <w:sz w:val="12"/>
      </w:rPr>
      <w:instrText xml:space="preserve"> DOCPROPERTY "Doc No."</w:instrText>
    </w:r>
    <w:r>
      <w:rPr>
        <w:caps/>
        <w:sz w:val="12"/>
      </w:rPr>
      <w:fldChar w:fldCharType="separate"/>
    </w:r>
    <w:r>
      <w:rPr>
        <w:caps/>
        <w:sz w:val="12"/>
      </w:rPr>
      <w:t>SFRLIB1\P2M\5440661.01(38M1H01!.DOC)</w:t>
    </w:r>
    <w:r>
      <w:rPr>
        <w:caps/>
        <w:sz w:val="12"/>
      </w:rPr>
      <w:fldChar w:fldCharType="end"/>
    </w:r>
  </w:p>
  <w:p>
    <w:pPr>
      <w:pStyle w:val="Footer"/>
      <w:tabs>
        <w:tab w:val="clear" w:pos="4320"/>
        <w:tab w:val="clear" w:pos="8640"/>
      </w:tabs>
      <w:rPr>
        <w:caps/>
        <w:sz w:val="12"/>
      </w:rPr>
    </w:pPr>
    <w:r>
      <w:rPr>
        <w:caps/>
        <w:sz w:val="12"/>
      </w:rPr>
      <w:fldChar w:fldCharType="begin"/>
    </w:r>
    <w:r>
      <w:rPr>
        <w:caps/>
        <w:sz w:val="12"/>
      </w:rPr>
      <w:instrText xml:space="preserve"> DOCPROPERTY "date"</w:instrText>
    </w:r>
    <w:r>
      <w:rPr>
        <w:caps/>
        <w:sz w:val="12"/>
      </w:rPr>
      <w:fldChar w:fldCharType="separate"/>
    </w:r>
    <w:r>
      <w:rPr>
        <w:caps/>
        <w:sz w:val="12"/>
      </w:rPr>
      <w:t xml:space="preserve"> </w:t>
    </w:r>
    <w:r>
      <w:rPr>
        <w:caps/>
        <w:sz w:val="12"/>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360" w:hanging="360"/>
      </w:pPr>
      <w:rPr>
        <w:color w:val="000000"/>
      </w:rPr>
    </w:lvl>
    <w:lvl w:ilvl="1">
      <w:start w:val="1"/>
      <w:pStyle w:val="Heading2"/>
      <w:numFmt w:val="upperLetter"/>
      <w:lvlText w:val="%2."/>
      <w:lvlJc w:val="start"/>
      <w:pPr>
        <w:tabs>
          <w:tab w:val="num" w:pos="1080"/>
        </w:tabs>
        <w:ind w:start="720" w:hanging="0"/>
      </w:pPr>
      <w:rPr>
        <w:color w:val="000000"/>
      </w:rPr>
    </w:lvl>
    <w:lvl w:ilvl="2">
      <w:start w:val="1"/>
      <w:pStyle w:val="Heading3"/>
      <w:numFmt w:val="decimal"/>
      <w:lvlText w:val="%3."/>
      <w:lvlJc w:val="start"/>
      <w:pPr>
        <w:tabs>
          <w:tab w:val="num" w:pos="1800"/>
        </w:tabs>
        <w:ind w:start="0" w:firstLine="1440"/>
      </w:pPr>
      <w:rPr>
        <w:color w:val="000000"/>
      </w:rPr>
    </w:lvl>
    <w:lvl w:ilvl="3">
      <w:start w:val="1"/>
      <w:pStyle w:val="Heading4"/>
      <w:numFmt w:val="lowerLetter"/>
      <w:lvlText w:val="%4."/>
      <w:lvlJc w:val="start"/>
      <w:pPr>
        <w:tabs>
          <w:tab w:val="num" w:pos="2880"/>
        </w:tabs>
        <w:ind w:start="2880" w:hanging="720"/>
      </w:pPr>
      <w:rPr>
        <w:color w:val="000000"/>
      </w:rPr>
    </w:lvl>
    <w:lvl w:ilvl="4">
      <w:start w:val="1"/>
      <w:pStyle w:val="Heading5"/>
      <w:numFmt w:val="lowerRoman"/>
      <w:lvlText w:val="(%5)"/>
      <w:lvlJc w:val="end"/>
      <w:pPr>
        <w:tabs>
          <w:tab w:val="num" w:pos="3528"/>
        </w:tabs>
        <w:ind w:start="3528" w:hanging="648"/>
      </w:pPr>
      <w:rPr>
        <w:color w:val="000000"/>
      </w:rPr>
    </w:lvl>
    <w:lvl w:ilvl="5">
      <w:start w:val="1"/>
      <w:pStyle w:val="Heading6"/>
      <w:numFmt w:val="lowerLetter"/>
      <w:lvlText w:val="(%6)"/>
      <w:lvlJc w:val="start"/>
      <w:pPr>
        <w:tabs>
          <w:tab w:val="num" w:pos="4320"/>
        </w:tabs>
        <w:ind w:start="4320" w:hanging="720"/>
      </w:pPr>
      <w:rPr>
        <w:color w:val="000000"/>
      </w:rPr>
    </w:lvl>
    <w:lvl w:ilvl="6">
      <w:start w:val="1"/>
      <w:pStyle w:val="Heading7"/>
      <w:numFmt w:val="decimal"/>
      <w:lvlText w:val="(%7)"/>
      <w:lvlJc w:val="start"/>
      <w:pPr>
        <w:tabs>
          <w:tab w:val="num" w:pos="5040"/>
        </w:tabs>
        <w:ind w:start="5040" w:hanging="720"/>
      </w:pPr>
      <w:rPr>
        <w:color w:val="000000"/>
      </w:rPr>
    </w:lvl>
    <w:lvl w:ilvl="7">
      <w:start w:val="1"/>
      <w:pStyle w:val="Heading8"/>
      <w:numFmt w:val="lowerLetter"/>
      <w:lvlText w:val="%8)"/>
      <w:lvlJc w:val="start"/>
      <w:pPr>
        <w:tabs>
          <w:tab w:val="num" w:pos="5760"/>
        </w:tabs>
        <w:ind w:start="5760" w:hanging="720"/>
      </w:pPr>
      <w:rPr>
        <w:color w:val="000000"/>
      </w:rPr>
    </w:lvl>
    <w:lvl w:ilvl="8">
      <w:start w:val="1"/>
      <w:pStyle w:val="Heading9"/>
      <w:numFmt w:val="lowerRoman"/>
      <w:lvlText w:val="%9)"/>
      <w:lvlJc w:val="start"/>
      <w:pPr>
        <w:tabs>
          <w:tab w:val="num" w:pos="6480"/>
        </w:tabs>
        <w:ind w:start="6480" w:hanging="720"/>
      </w:pPr>
      <w:rPr>
        <w:color w:val="000000"/>
      </w:rPr>
    </w:lvl>
  </w:abstractNum>
  <w:abstractNum w:abstractNumId="2">
    <w:lvl w:ilvl="0">
      <w:start w:val="1"/>
      <w:numFmt w:val="lowerLetter"/>
      <w:lvlText w:val="(%1)"/>
      <w:lvlJc w:val="start"/>
      <w:pPr>
        <w:tabs>
          <w:tab w:val="num" w:pos="720"/>
        </w:tabs>
        <w:ind w:start="720" w:hanging="720"/>
      </w:pPr>
    </w:lvl>
  </w:abstractNum>
  <w:abstractNum w:abstractNumId="3">
    <w:lvl w:ilvl="0">
      <w:start w:val="1"/>
      <w:numFmt w:val="lowerLetter"/>
      <w:lvlText w:val="(%1)"/>
      <w:lvlJc w:val="start"/>
      <w:pPr>
        <w:tabs>
          <w:tab w:val="num" w:pos="360"/>
        </w:tabs>
        <w:ind w:start="360" w:hanging="360"/>
      </w:pPr>
    </w:lvl>
  </w:abstractNum>
  <w:abstractNum w:abstractNumId="4">
    <w:lvl w:ilvl="0">
      <w:start w:val="1"/>
      <w:numFmt w:val="decimal"/>
      <w:lvlText w:val="%1."/>
      <w:lvlJc w:val="start"/>
      <w:pPr>
        <w:tabs>
          <w:tab w:val="num" w:pos="360"/>
        </w:tabs>
        <w:ind w:start="360" w:hanging="360"/>
      </w:pPr>
    </w:lvl>
  </w:abstractNum>
  <w:abstractNum w:abstractNumId="5">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keepLines/>
      <w:numPr>
        <w:ilvl w:val="0"/>
        <w:numId w:val="1"/>
      </w:numPr>
      <w:spacing w:before="0" w:after="240"/>
      <w:ind w:hanging="720" w:start="720" w:end="0"/>
      <w:outlineLvl w:val="0"/>
    </w:pPr>
    <w:rPr>
      <w:b/>
      <w:caps/>
      <w:color w:val="000000"/>
    </w:rPr>
  </w:style>
  <w:style w:type="paragraph" w:styleId="Heading2">
    <w:name w:val="heading 2"/>
    <w:basedOn w:val="Normal"/>
    <w:next w:val="BodyText"/>
    <w:qFormat/>
    <w:pPr>
      <w:keepNext w:val="true"/>
      <w:keepLines/>
      <w:numPr>
        <w:ilvl w:val="1"/>
        <w:numId w:val="1"/>
      </w:numPr>
      <w:tabs>
        <w:tab w:val="clear" w:pos="720"/>
        <w:tab w:val="left" w:pos="1440" w:leader="none"/>
      </w:tabs>
      <w:spacing w:before="0" w:after="240"/>
      <w:ind w:hanging="720" w:start="1440" w:end="0"/>
      <w:outlineLvl w:val="1"/>
    </w:pPr>
    <w:rPr>
      <w:color w:val="000000"/>
    </w:rPr>
  </w:style>
  <w:style w:type="paragraph" w:styleId="Heading3">
    <w:name w:val="heading 3"/>
    <w:basedOn w:val="Heading2"/>
    <w:next w:val="BodyText"/>
    <w:qFormat/>
    <w:pPr>
      <w:numPr>
        <w:ilvl w:val="2"/>
        <w:numId w:val="1"/>
      </w:numPr>
      <w:tabs>
        <w:tab w:val="left" w:pos="1440" w:leader="none"/>
        <w:tab w:val="left" w:pos="2160" w:leader="none"/>
      </w:tabs>
      <w:ind w:hanging="720" w:start="2160" w:end="0"/>
      <w:outlineLvl w:val="2"/>
    </w:pPr>
    <w:rPr/>
  </w:style>
  <w:style w:type="paragraph" w:styleId="Heading4">
    <w:name w:val="heading 4"/>
    <w:basedOn w:val="Normal"/>
    <w:next w:val="BodyText"/>
    <w:qFormat/>
    <w:pPr>
      <w:keepNext w:val="true"/>
      <w:numPr>
        <w:ilvl w:val="3"/>
        <w:numId w:val="1"/>
      </w:numPr>
      <w:tabs>
        <w:tab w:val="clear" w:pos="720"/>
        <w:tab w:val="left" w:pos="2880" w:leader="none"/>
      </w:tabs>
      <w:spacing w:before="0" w:after="240"/>
      <w:outlineLvl w:val="3"/>
    </w:pPr>
    <w:rPr/>
  </w:style>
  <w:style w:type="paragraph" w:styleId="Heading5">
    <w:name w:val="heading 5"/>
    <w:basedOn w:val="Normal"/>
    <w:next w:val="BodyText"/>
    <w:qFormat/>
    <w:pPr>
      <w:numPr>
        <w:ilvl w:val="4"/>
        <w:numId w:val="1"/>
      </w:numPr>
      <w:tabs>
        <w:tab w:val="clear" w:pos="720"/>
        <w:tab w:val="left" w:pos="3600" w:leader="none"/>
      </w:tabs>
      <w:spacing w:before="0" w:after="240"/>
      <w:ind w:hanging="720" w:start="3600" w:end="0"/>
      <w:outlineLvl w:val="4"/>
    </w:pPr>
    <w:rPr/>
  </w:style>
  <w:style w:type="paragraph" w:styleId="Heading6">
    <w:name w:val="heading 6"/>
    <w:basedOn w:val="Normal"/>
    <w:next w:val="BodyText"/>
    <w:qFormat/>
    <w:pPr>
      <w:numPr>
        <w:ilvl w:val="5"/>
        <w:numId w:val="1"/>
      </w:numPr>
      <w:tabs>
        <w:tab w:val="clear" w:pos="720"/>
        <w:tab w:val="left" w:pos="4320" w:leader="none"/>
      </w:tabs>
      <w:spacing w:before="0" w:after="240"/>
      <w:outlineLvl w:val="5"/>
    </w:pPr>
    <w:rPr/>
  </w:style>
  <w:style w:type="paragraph" w:styleId="Heading7">
    <w:name w:val="heading 7"/>
    <w:basedOn w:val="Normal"/>
    <w:next w:val="BodyText"/>
    <w:qFormat/>
    <w:pPr>
      <w:numPr>
        <w:ilvl w:val="6"/>
        <w:numId w:val="1"/>
      </w:numPr>
      <w:spacing w:before="0" w:after="240"/>
      <w:outlineLvl w:val="6"/>
    </w:pPr>
    <w:rPr>
      <w:color w:val="000000"/>
    </w:rPr>
  </w:style>
  <w:style w:type="paragraph" w:styleId="Heading8">
    <w:name w:val="heading 8"/>
    <w:basedOn w:val="Normal"/>
    <w:next w:val="BodyText"/>
    <w:qFormat/>
    <w:pPr>
      <w:numPr>
        <w:ilvl w:val="7"/>
        <w:numId w:val="1"/>
      </w:numPr>
      <w:spacing w:before="0" w:after="240"/>
      <w:outlineLvl w:val="7"/>
    </w:pPr>
    <w:rPr>
      <w:color w:val="000000"/>
    </w:rPr>
  </w:style>
  <w:style w:type="paragraph" w:styleId="Heading9">
    <w:name w:val="heading 9"/>
    <w:basedOn w:val="Normal"/>
    <w:next w:val="BodyText"/>
    <w:qFormat/>
    <w:pPr>
      <w:numPr>
        <w:ilvl w:val="8"/>
        <w:numId w:val="1"/>
      </w:numPr>
      <w:spacing w:before="0" w:after="240"/>
      <w:outlineLvl w:val="8"/>
    </w:pPr>
    <w:rPr>
      <w:color w:val="00000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3z0">
    <w:name w:val="WW8Num13z0"/>
    <w:qFormat/>
    <w:rPr>
      <w:color w:val="000000"/>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keepNext w:val="true"/>
      <w:keepLines/>
      <w:pBdr>
        <w:bottom w:val="thinThickSmallGap" w:sz="24" w:space="1" w:color="000000"/>
      </w:pBdr>
      <w:spacing w:before="0" w:after="240"/>
      <w:ind w:hanging="0" w:start="0" w:end="1728"/>
      <w:outlineLvl w:val="0"/>
    </w:pPr>
    <w:rPr>
      <w:rFonts w:ascii="Arial" w:hAnsi="Arial" w:cs="Arial"/>
      <w:b/>
      <w:spacing w:val="400"/>
      <w:sz w:val="32"/>
    </w:rPr>
  </w:style>
  <w:style w:type="paragraph" w:styleId="BodyText">
    <w:name w:val="Body Text"/>
    <w:basedOn w:val="Normal"/>
    <w:pPr>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tabs>
        <w:tab w:val="clear" w:pos="720"/>
        <w:tab w:val="left" w:pos="1080" w:leader="none"/>
      </w:tabs>
      <w:spacing w:before="240" w:after="0"/>
      <w:ind w:firstLine="720" w:start="0" w:end="0"/>
    </w:pPr>
    <w:rPr/>
  </w:style>
  <w:style w:type="paragraph" w:styleId="BodyNumHang">
    <w:name w:val="BodyNumHang"/>
    <w:basedOn w:val="BodyText"/>
    <w:qFormat/>
    <w:pPr>
      <w:widowControl w:val="false"/>
      <w:numPr>
        <w:ilvl w:val="0"/>
        <w:numId w:val="5"/>
      </w:numPr>
      <w:tabs>
        <w:tab w:val="left" w:pos="720" w:leader="none"/>
      </w:tabs>
      <w:ind w:hanging="720" w:start="2160" w:end="0"/>
    </w:pPr>
    <w:rPr/>
  </w:style>
  <w:style w:type="paragraph" w:styleId="Enclosure">
    <w:name w:val="Enclosure"/>
    <w:basedOn w:val="BodyText"/>
    <w:next w:val="Normal"/>
    <w:qFormat/>
    <w:pPr>
      <w:keepLines/>
      <w:spacing w:before="220" w:after="240"/>
      <w:ind w:hanging="0" w:start="0" w:end="0"/>
    </w:pPr>
    <w:rPr/>
  </w:style>
  <w:style w:type="paragraph" w:styleId="bcc">
    <w:name w:val="bcc"/>
    <w:basedOn w:val="Normal"/>
    <w:qFormat/>
    <w:pPr>
      <w:pageBreakBefore/>
    </w:pPr>
    <w:rPr/>
  </w:style>
  <w:style w:type="paragraph" w:styleId="BodyLettersHang">
    <w:name w:val="BodyLettersHang"/>
    <w:basedOn w:val="BodyNumHang"/>
    <w:qFormat/>
    <w:pPr>
      <w:numPr>
        <w:ilvl w:val="0"/>
        <w:numId w:val="3"/>
      </w:numPr>
      <w:ind w:hanging="720" w:start="2160" w:end="0"/>
    </w:pPr>
    <w:rPr/>
  </w:style>
  <w:style w:type="paragraph" w:styleId="BodyLettersInd">
    <w:name w:val="BodyLettersInd"/>
    <w:basedOn w:val="Normal"/>
    <w:qFormat/>
    <w:pPr>
      <w:widowControl w:val="false"/>
      <w:numPr>
        <w:ilvl w:val="0"/>
        <w:numId w:val="2"/>
      </w:numPr>
      <w:spacing w:before="0" w:after="240"/>
      <w:ind w:firstLine="1440" w:start="0" w:end="0"/>
    </w:pPr>
    <w:rPr/>
  </w:style>
  <w:style w:type="paragraph" w:styleId="BodyNumInd">
    <w:name w:val="BodyNumInd"/>
    <w:basedOn w:val="BodyText"/>
    <w:qFormat/>
    <w:pPr>
      <w:widowControl w:val="false"/>
      <w:numPr>
        <w:ilvl w:val="0"/>
        <w:numId w:val="4"/>
      </w:numPr>
      <w:tabs>
        <w:tab w:val="left" w:pos="720" w:leader="none"/>
      </w:tabs>
      <w:ind w:firstLine="1440" w:start="0" w:end="0"/>
    </w:pPr>
    <w:rPr/>
  </w:style>
  <w:style w:type="paragraph" w:styleId="BodyTextInd">
    <w:name w:val="BodyTextInd"/>
    <w:basedOn w:val="BodyText"/>
    <w:qFormat/>
    <w:pPr>
      <w:ind w:hanging="0" w:start="1440" w:end="0"/>
    </w:pPr>
    <w:rPr/>
  </w:style>
  <w:style w:type="paragraph" w:styleId="BodyTextNoInd">
    <w:name w:val="BodyTextNoInd"/>
    <w:basedOn w:val="Normal"/>
    <w:qFormat/>
    <w:pPr>
      <w:spacing w:before="0" w:after="240"/>
    </w:pPr>
    <w:rPr/>
  </w:style>
  <w:style w:type="paragraph" w:styleId="CenteredHeading">
    <w:name w:val="Centered Heading"/>
    <w:basedOn w:val="Normal"/>
    <w:next w:val="BodyText"/>
    <w:qFormat/>
    <w:pPr>
      <w:widowControl w:val="false"/>
      <w:spacing w:before="0" w:after="240"/>
      <w:jc w:val="center"/>
    </w:pPr>
    <w:rPr/>
  </w:style>
  <w:style w:type="paragraph" w:styleId="LeftHeading">
    <w:name w:val="Left Heading"/>
    <w:basedOn w:val="BodyText"/>
    <w:next w:val="BodyText"/>
    <w:qFormat/>
    <w:pPr>
      <w:widowControl w:val="false"/>
      <w:ind w:hanging="0" w:start="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lineRule="exact" w:line="240"/>
    </w:pPr>
    <w:rPr>
      <w:rFonts w:ascii="Times New Roman" w:hAnsi="Times New Roman" w:eastAsia="Times New Roman" w:cs="Times New Roman"/>
      <w:color w:val="auto"/>
      <w:sz w:val="20"/>
      <w:szCs w:val="20"/>
      <w:lang w:val="en-US" w:eastAsia="zh-CN" w:bidi="hi-IN"/>
    </w:rPr>
  </w:style>
  <w:style w:type="paragraph" w:styleId="NormalIndent">
    <w:name w:val="Normal Indent"/>
    <w:basedOn w:val="Normal"/>
    <w:qFormat/>
    <w:pPr>
      <w:ind w:hanging="0" w:start="720" w:end="0"/>
    </w:pPr>
    <w:rPr/>
  </w:style>
  <w:style w:type="paragraph" w:styleId="QuoteS">
    <w:name w:val="QuoteS"/>
    <w:basedOn w:val="Normal"/>
    <w:next w:val="BodyText"/>
    <w:qFormat/>
    <w:pPr>
      <w:widowControl w:val="false"/>
      <w:spacing w:before="0" w:after="240"/>
      <w:ind w:hanging="0" w:start="1440" w:end="1440"/>
    </w:pPr>
    <w:rPr/>
  </w:style>
  <w:style w:type="paragraph" w:styleId="QuoteD">
    <w:name w:val="QuoteD"/>
    <w:basedOn w:val="QuoteS"/>
    <w:qFormat/>
    <w:pPr>
      <w:spacing w:lineRule="auto" w:line="480" w:before="0" w:after="0"/>
    </w:pPr>
    <w:rPr/>
  </w:style>
  <w:style w:type="paragraph" w:styleId="RightHeading">
    <w:name w:val="Right Heading"/>
    <w:basedOn w:val="LeftHeading"/>
    <w:next w:val="BodyText"/>
    <w:qFormat/>
    <w:pPr>
      <w:jc w:val="end"/>
    </w:pPr>
    <w:rPr/>
  </w:style>
  <w:style w:type="paragraph" w:styleId="WPComment">
    <w:name w:val="WPComment"/>
    <w:basedOn w:val="BodyText"/>
    <w:qFormat/>
    <w:pPr>
      <w:ind w:hanging="0" w:start="0" w:end="0"/>
    </w:pPr>
    <w:rPr>
      <w:vanish/>
      <w:color w:val="FF0000"/>
    </w:rPr>
  </w:style>
  <w:style w:type="paragraph" w:styleId="MessageHeader">
    <w:name w:val="Message Header"/>
    <w:basedOn w:val="Normal"/>
    <w:qFormat/>
    <w:pPr>
      <w:spacing w:before="0" w:after="240"/>
    </w:pPr>
    <w:rPr>
      <w: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Memorandum.dot</Template>
  <TotalTime>71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2000-11-20T19:54:00Z</dcterms:created>
  <dc:creator>P2M</dc:creator>
  <dc:description/>
  <dc:language>en-CA</dc:language>
  <cp:lastModifiedBy>Peter Meringolo</cp:lastModifiedBy>
  <cp:lastPrinted>2000-11-20T16:48:00Z</cp:lastPrinted>
  <dcterms:modified xsi:type="dcterms:W3CDTF">2000-11-20T22:41:00Z</dcterms:modified>
  <cp:revision>9</cp:revision>
  <dc:subject>Review of the November 9 FERC Hearing</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ressee(s)">
    <vt:lpwstr>   </vt:lpwstr>
  </property>
  <property fmtid="{D5CDD505-2E9C-101B-9397-08002B2CF9AE}" pid="3" name="Caption Bank Document">
    <vt:lpwstr>   </vt:lpwstr>
  </property>
  <property fmtid="{D5CDD505-2E9C-101B-9397-08002B2CF9AE}" pid="4" name="Cause No.">
    <vt:lpwstr> </vt:lpwstr>
  </property>
  <property fmtid="{D5CDD505-2E9C-101B-9397-08002B2CF9AE}" pid="5" name="Client Name">
    <vt:lpwstr>Enron North America Corp</vt:lpwstr>
  </property>
  <property fmtid="{D5CDD505-2E9C-101B-9397-08002B2CF9AE}" pid="6" name="Client No.">
    <vt:lpwstr>031710</vt:lpwstr>
  </property>
  <property fmtid="{D5CDD505-2E9C-101B-9397-08002B2CF9AE}" pid="7" name="Date">
    <vt:lpwstr> </vt:lpwstr>
  </property>
  <property fmtid="{D5CDD505-2E9C-101B-9397-08002B2CF9AE}" pid="8" name="Doc Name">
    <vt:lpwstr> </vt:lpwstr>
  </property>
  <property fmtid="{D5CDD505-2E9C-101B-9397-08002B2CF9AE}" pid="9" name="Doc No.">
    <vt:lpwstr>SFRLIB1\P2M\5440661.01(38M1H01!.DOC)</vt:lpwstr>
  </property>
  <property fmtid="{D5CDD505-2E9C-101B-9397-08002B2CF9AE}" pid="10" name="Doc Path">
    <vt:lpwstr> </vt:lpwstr>
  </property>
  <property fmtid="{D5CDD505-2E9C-101B-9397-08002B2CF9AE}" pid="11" name="DocumentType">
    <vt:lpwstr>MEMO</vt:lpwstr>
  </property>
  <property fmtid="{D5CDD505-2E9C-101B-9397-08002B2CF9AE}" pid="12" name="FooterStore">
    <vt:lpwstr> </vt:lpwstr>
  </property>
  <property fmtid="{D5CDD505-2E9C-101B-9397-08002B2CF9AE}" pid="13" name="Local Office">
    <vt:lpwstr> </vt:lpwstr>
  </property>
  <property fmtid="{D5CDD505-2E9C-101B-9397-08002B2CF9AE}" pid="14" name="Matter Name">
    <vt:lpwstr>California Electricity Litigation</vt:lpwstr>
  </property>
  <property fmtid="{D5CDD505-2E9C-101B-9397-08002B2CF9AE}" pid="15" name="Matter No.">
    <vt:lpwstr>0003</vt:lpwstr>
  </property>
  <property fmtid="{D5CDD505-2E9C-101B-9397-08002B2CF9AE}" pid="16" name="Orig Doc Path">
    <vt:lpwstr> </vt:lpwstr>
  </property>
  <property fmtid="{D5CDD505-2E9C-101B-9397-08002B2CF9AE}" pid="17" name="Parties">
    <vt:lpwstr> </vt:lpwstr>
  </property>
  <property fmtid="{D5CDD505-2E9C-101B-9397-08002B2CF9AE}" pid="18" name="Signer(s)">
    <vt:lpwstr>   </vt:lpwstr>
  </property>
</Properties>
</file>