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Caption"/>
        <w:rPr/>
      </w:pPr>
      <w:r>
        <w:rPr/>
        <w:t>before the public utilities commission</w:t>
        <w:br/>
        <w:br/>
        <w:t>of the</w:t>
        <w:br/>
        <w:br/>
        <w:t>state of california</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snapToGrid w:val="false"/>
              <w:rPr/>
            </w:pPr>
            <w:r>
              <w:rPr/>
            </w:r>
          </w:p>
          <w:p>
            <w:pPr>
              <w:pStyle w:val="Normal"/>
              <w:rPr/>
            </w:pPr>
            <w:r>
              <w:rPr/>
            </w:r>
          </w:p>
          <w:p>
            <w:pPr>
              <w:pStyle w:val="Normal"/>
              <w:ind w:start="180" w:end="0"/>
              <w:rPr/>
            </w:pPr>
            <w:r>
              <w:rPr/>
              <w:t>Order Instituting Investigation into the Functioning of the Wholesale Electric Market and Associated Impact on Retail Sales</w:t>
            </w:r>
          </w:p>
          <w:p>
            <w:pPr>
              <w:pStyle w:val="Normal"/>
              <w:rPr/>
            </w:pPr>
            <w:r>
              <w:rPr/>
            </w:r>
          </w:p>
          <w:p>
            <w:pPr>
              <w:pStyle w:val="Normal"/>
              <w:rPr/>
            </w:pPr>
            <w:r>
              <w:rPr/>
            </w:r>
          </w:p>
          <w:p>
            <w:pPr>
              <w:pStyle w:val="Normal"/>
              <w:rPr/>
            </w:pPr>
            <w:r>
              <w:rPr/>
            </w:r>
          </w:p>
        </w:tc>
        <w:tc>
          <w:tcPr>
            <w:tcW w:w="4788" w:type="dxa"/>
            <w:tcBorders/>
          </w:tcPr>
          <w:p>
            <w:pPr>
              <w:pStyle w:val="Normal"/>
              <w:snapToGrid w:val="false"/>
              <w:ind w:start="252" w:end="0"/>
              <w:rPr/>
            </w:pPr>
            <w:r>
              <w:rPr/>
            </w:r>
          </w:p>
          <w:p>
            <w:pPr>
              <w:pStyle w:val="Normal"/>
              <w:ind w:start="252" w:end="0"/>
              <w:rPr/>
            </w:pPr>
            <w:r>
              <w:rPr/>
            </w:r>
          </w:p>
          <w:p>
            <w:pPr>
              <w:pStyle w:val="Normal"/>
              <w:ind w:start="252" w:end="0"/>
              <w:rPr/>
            </w:pPr>
            <w:r>
              <w:rPr/>
            </w:r>
          </w:p>
          <w:p>
            <w:pPr>
              <w:pStyle w:val="Normal"/>
              <w:ind w:start="252" w:end="0"/>
              <w:rPr/>
            </w:pPr>
            <w:r>
              <w:rPr/>
              <w:t>I.00-08-002</w:t>
            </w:r>
          </w:p>
        </w:tc>
      </w:tr>
    </w:tbl>
    <w:p>
      <w:pPr>
        <w:pStyle w:val="Normal"/>
        <w:rPr/>
      </w:pPr>
      <w:r>
        <w:rPr/>
      </w:r>
    </w:p>
    <w:p>
      <w:pPr>
        <w:pStyle w:val="Normal"/>
        <w:rPr/>
      </w:pPr>
      <w:r>
        <w:rPr/>
      </w:r>
    </w:p>
    <w:p>
      <w:pPr>
        <w:pStyle w:val="Normal"/>
        <w:rPr/>
      </w:pPr>
      <w:r>
        <w:rPr/>
      </w:r>
    </w:p>
    <w:p>
      <w:pPr>
        <w:pStyle w:val="Caption"/>
        <w:rPr/>
      </w:pPr>
      <w:r>
        <w:rPr>
          <w:u w:val="single"/>
        </w:rPr>
        <w:t>                                           </w:t>
      </w:r>
      <w:r>
        <w:rPr/>
        <w:br/>
        <w:br/>
        <w:t>RESPONSE OF Portland General Electric</w:t>
      </w:r>
      <w:r>
        <w:rPr>
          <w:caps w:val="false"/>
          <w:smallCaps w:val="false"/>
        </w:rPr>
        <w:t xml:space="preserve"> </w:t>
      </w:r>
      <w:r>
        <w:rPr/>
        <w:t>Corporation</w:t>
        <w:br/>
        <w:t>TO SUBPOENA DUCES TECUM</w:t>
        <w:br/>
      </w:r>
      <w:r>
        <w:rPr>
          <w:u w:val="single"/>
        </w:rPr>
        <w:t>                                           </w:t>
      </w:r>
      <w:r>
        <w:rPr/>
        <w:br/>
        <w:br/>
      </w:r>
    </w:p>
    <w:p>
      <w:pPr>
        <w:pStyle w:val="Normal"/>
        <w:ind w:start="2520" w:end="0"/>
        <w:rPr/>
      </w:pPr>
      <w:r>
        <w:rPr/>
        <w:t>BROBECK, PHLEGER &amp; HARRISON LLP</w:t>
      </w:r>
    </w:p>
    <w:p>
      <w:pPr>
        <w:pStyle w:val="Normal"/>
        <w:ind w:start="2520" w:end="0"/>
        <w:rPr/>
      </w:pPr>
      <w:r>
        <w:rPr>
          <w:caps/>
        </w:rPr>
        <w:t>Gary S. Fergus</w:t>
      </w:r>
      <w:r>
        <w:rPr/>
        <w:t xml:space="preserve"> (Bar No. 95318)</w:t>
      </w:r>
    </w:p>
    <w:p>
      <w:pPr>
        <w:pStyle w:val="Normal"/>
        <w:ind w:start="2520" w:end="0"/>
        <w:rPr/>
      </w:pPr>
      <w:r>
        <w:rPr>
          <w:caps/>
        </w:rPr>
        <w:t>Peter P. Meringolo (</w:t>
      </w:r>
      <w:r>
        <w:rPr/>
        <w:t>Bar No. 197136)</w:t>
      </w:r>
    </w:p>
    <w:p>
      <w:pPr>
        <w:pStyle w:val="Normal"/>
        <w:ind w:start="2520" w:end="0"/>
        <w:rPr/>
      </w:pPr>
      <w:r>
        <w:rPr/>
        <w:t>One Market Plaza</w:t>
      </w:r>
    </w:p>
    <w:p>
      <w:pPr>
        <w:pStyle w:val="Normal"/>
        <w:ind w:start="2520" w:end="0"/>
        <w:rPr/>
      </w:pPr>
      <w:r>
        <w:rPr/>
        <w:t>Spear Street Tower</w:t>
      </w:r>
    </w:p>
    <w:p>
      <w:pPr>
        <w:pStyle w:val="Normal"/>
        <w:ind w:start="2520" w:end="0"/>
        <w:rPr/>
      </w:pPr>
      <w:r>
        <w:rPr/>
        <w:t>San Francisco, California  94105</w:t>
      </w:r>
    </w:p>
    <w:p>
      <w:pPr>
        <w:pStyle w:val="Normal"/>
        <w:ind w:start="2520" w:end="0"/>
        <w:rPr/>
      </w:pPr>
      <w:r>
        <w:rPr/>
        <w:t>Telephone:  (415) 442-0900</w:t>
      </w:r>
    </w:p>
    <w:p>
      <w:pPr>
        <w:pStyle w:val="Normal"/>
        <w:ind w:start="2520" w:end="0"/>
        <w:rPr/>
      </w:pPr>
      <w:r>
        <w:rPr/>
      </w:r>
    </w:p>
    <w:p>
      <w:pPr>
        <w:pStyle w:val="Normal"/>
        <w:ind w:start="2520" w:end="0"/>
        <w:rPr/>
      </w:pPr>
      <w:r>
        <w:rPr/>
        <w:t>Attorneys for Portland General Electric</w:t>
      </w:r>
    </w:p>
    <w:p>
      <w:pPr>
        <w:pStyle w:val="Normal"/>
        <w:ind w:start="2520" w:end="0"/>
        <w:rPr/>
      </w:pPr>
      <w:r>
        <w:rPr/>
        <w:t xml:space="preserve">Corporation </w:t>
      </w:r>
    </w:p>
    <w:p>
      <w:pPr>
        <w:pStyle w:val="Normal"/>
        <w:rPr/>
      </w:pPr>
      <w:r>
        <w:rPr/>
      </w:r>
    </w:p>
    <w:p>
      <w:pPr>
        <w:pStyle w:val="Normal"/>
        <w:rPr/>
      </w:pPr>
      <w:r>
        <w:rPr/>
      </w:r>
    </w:p>
    <w:p>
      <w:pPr>
        <w:pStyle w:val="Normal"/>
        <w:rPr/>
      </w:pPr>
      <w:r>
        <w:rPr/>
      </w:r>
    </w:p>
    <w:p>
      <w:pPr>
        <w:pStyle w:val="BodyText"/>
        <w:rPr/>
      </w:pPr>
      <w:r>
        <w:rPr/>
        <w:t>Portland General Electric Corporation (“Portland General”) hereby responds to and objects to the subpoena duces tecum issued by the California Public Utilities Commission (“Commission”) on September 22, 2000.</w:t>
      </w:r>
    </w:p>
    <w:p>
      <w:pPr>
        <w:pStyle w:val="Heading"/>
        <w:rPr/>
      </w:pPr>
      <w:r>
        <w:rPr/>
        <w:t>GENERAL OBJECTIONS</w:t>
      </w:r>
    </w:p>
    <w:p>
      <w:pPr>
        <w:pStyle w:val="Style11"/>
        <w:numPr>
          <w:ilvl w:val="0"/>
          <w:numId w:val="12"/>
        </w:numPr>
        <w:rPr/>
      </w:pPr>
      <w:r>
        <w:rPr/>
        <w:t>Portland General objects to the requests to the extent that they are vague, ambiguous, overly broad, unduly burdensome, oppressive, or duplicative, or seek production of documents that are neither relevant to the issues in this proceeding nor reasonably likely to lead to the discovery of admissible evidence.</w:t>
      </w:r>
    </w:p>
    <w:p>
      <w:pPr>
        <w:pStyle w:val="Style11"/>
        <w:numPr>
          <w:ilvl w:val="0"/>
          <w:numId w:val="12"/>
        </w:numPr>
        <w:rPr/>
      </w:pPr>
      <w:r>
        <w:rPr/>
        <w:t xml:space="preserve">Portland General objects to the requests to the extent they seek the disclosure of information or documents subject to the attorney-client privilege, the attorney work product doctrine, or any other applicable privilege or protection.  </w:t>
      </w:r>
    </w:p>
    <w:p>
      <w:pPr>
        <w:pStyle w:val="Style11"/>
        <w:numPr>
          <w:ilvl w:val="0"/>
          <w:numId w:val="12"/>
        </w:numPr>
        <w:rPr/>
      </w:pPr>
      <w:r>
        <w:rPr/>
        <w:t>Portland General objects to the requests as duplicative and unduly burdensome to the extent that they seek the production of documents that are publicly available, available from other entities and sources including the California Independent System Operator (“ISO”) or the California Power Exchange (“PX”), or already in the Commission’s possession, custody, or control.</w:t>
      </w:r>
    </w:p>
    <w:p>
      <w:pPr>
        <w:pStyle w:val="Style11"/>
        <w:numPr>
          <w:ilvl w:val="0"/>
          <w:numId w:val="12"/>
        </w:numPr>
        <w:rPr/>
      </w:pPr>
      <w:r>
        <w:rPr/>
        <w:t xml:space="preserve">Portland General objects to the requests to the extent that they seek highly confidential and proprietary business information and trade secrets, which are irrelevant to any matter within the Commission’s regulatory jurisdiction and irrelevant to the subject matter of this investigation.  </w:t>
      </w:r>
    </w:p>
    <w:p>
      <w:pPr>
        <w:pStyle w:val="Style11"/>
        <w:numPr>
          <w:ilvl w:val="0"/>
          <w:numId w:val="12"/>
        </w:numPr>
        <w:rPr/>
      </w:pPr>
      <w:r>
        <w:rPr/>
        <w:t>Portland General objects to the Protective Order entered in this proceeding on September 22, 2000 as inadequate to prevent the disclosure of confidential material.  To the extent that any entity obtains a more stringent protective order, Portland General understands that any information produced in response to this subpoena will be protected by the most stringent protective order.</w:t>
      </w:r>
    </w:p>
    <w:p>
      <w:pPr>
        <w:pStyle w:val="Style11"/>
        <w:numPr>
          <w:ilvl w:val="0"/>
          <w:numId w:val="12"/>
        </w:numPr>
        <w:rPr/>
      </w:pPr>
      <w:r>
        <w:rPr/>
        <w:t xml:space="preserve">Portland General objects because it is neither a party to this proceeding nor a regulated entity within the Commission’s jurisdiction and, thus, the Commission is without authority to compel the production of the documents sought.  </w:t>
      </w:r>
    </w:p>
    <w:p>
      <w:pPr>
        <w:pStyle w:val="Style11"/>
        <w:numPr>
          <w:ilvl w:val="0"/>
          <w:numId w:val="12"/>
        </w:numPr>
        <w:rPr/>
      </w:pPr>
      <w:r>
        <w:rPr/>
        <w:t>Portland General objects that these requests, to the extent do not fall within the scope of the issues identified by the Commission for investigation in the August 3, 2000, Order Instituting Investigation, seek information neither relevant nor reasonably likely to lead to a production of relevant evidence.</w:t>
      </w:r>
    </w:p>
    <w:p>
      <w:pPr>
        <w:pStyle w:val="Style11"/>
        <w:numPr>
          <w:ilvl w:val="0"/>
          <w:numId w:val="12"/>
        </w:numPr>
        <w:rPr/>
      </w:pPr>
      <w:r>
        <w:rPr/>
        <w:t>Portland General objects to the subpoenas served upon them on the ground that FERC, not the Commission, has jurisdiction over the wholesale market for energy and interstate commerce.  To the extent the subpoenas request information pertaining to the wholesale market for energy and to non-California activities, the Commission is without jurisdiction.</w:t>
      </w:r>
    </w:p>
    <w:p>
      <w:pPr>
        <w:pStyle w:val="Style11"/>
        <w:numPr>
          <w:ilvl w:val="0"/>
          <w:numId w:val="12"/>
        </w:numPr>
        <w:rPr/>
      </w:pPr>
      <w:r>
        <w:rPr/>
        <w:t>Portland General objects that the subpoenas does not comply with Commission Rule 60(b) in that it was not accompanied by an affidavit showing good cause for the production of the documents described in the subpoena, specifying the exact documents to be produced, and setting forth in full detail the materiality of the requested documents to the issues raised in the proceeding.</w:t>
      </w:r>
    </w:p>
    <w:p>
      <w:pPr>
        <w:pStyle w:val="Style11"/>
        <w:numPr>
          <w:ilvl w:val="0"/>
          <w:numId w:val="12"/>
        </w:numPr>
        <w:rPr/>
      </w:pPr>
      <w:r>
        <w:rPr/>
        <w:t>Portland General’s responses are based upon the present knowledge, information, and belief of the Portland General and its current employees presently known or believed by Portland General to be the most likely to possess material information responsive to each request.  Portland General’s discovery efforts are continuing, and Portland General reserves the right to modify or supplement these responses as appropriate.</w:t>
      </w:r>
    </w:p>
    <w:p>
      <w:pPr>
        <w:pStyle w:val="Style11"/>
        <w:numPr>
          <w:ilvl w:val="0"/>
          <w:numId w:val="12"/>
        </w:numPr>
        <w:rPr/>
      </w:pPr>
      <w:r>
        <w:rPr/>
        <w:t xml:space="preserve">The Commission has subpoenaed Portland General along with Enron Power Marketing, Inc., Enron Energy Services Operations Inc. and Enron Energy Services Inc., and Enron Energy Marketing Corporation (collectively sometimes referred to as the “Enron Entities”).  On October 6, 2000, the Enron Entities set forth in an email proposals regarding their responses to these subpoenas, and on October 13, 2000, counsel for the Enron Entities and the Commission discussed these proposals via a conference call (the “Meet and Confer Process”).  Portland General’s responses reflect the agreements reached, both by the Enron Entities collectively and Portland General individually, during the Meet and Confer Process. </w:t>
      </w:r>
    </w:p>
    <w:p>
      <w:pPr>
        <w:pStyle w:val="Style11"/>
        <w:numPr>
          <w:ilvl w:val="0"/>
          <w:numId w:val="12"/>
        </w:numPr>
        <w:rPr/>
      </w:pPr>
      <w:r>
        <w:rPr/>
        <w:t>The foregoing General Objections shall be applicable to and included in any objections to the Commission’s requests below.  No specific objection set forth below is a waiver, in whole or in part, of any of the foregoing General Objections.</w:t>
      </w:r>
    </w:p>
    <w:p>
      <w:pPr>
        <w:pStyle w:val="Heading"/>
        <w:rPr/>
      </w:pPr>
      <w:r>
        <w:rPr/>
        <w:t>SPECIFIC OBJECTIONS AND RESPONSES</w:t>
      </w:r>
    </w:p>
    <w:p>
      <w:pPr>
        <w:pStyle w:val="Discovery"/>
        <w:rPr/>
      </w:pPr>
      <w:r>
        <w:rPr/>
        <w:t>REQUEST FOR PRODUCTION NO. 1:</w:t>
      </w:r>
    </w:p>
    <w:p>
      <w:pPr>
        <w:pStyle w:val="BodyText"/>
        <w:rPr/>
      </w:pPr>
      <w:r>
        <w:rPr/>
        <w:t>Any corporate organization charts prepared since April 1, 1998.</w:t>
      </w:r>
    </w:p>
    <w:p>
      <w:pPr>
        <w:pStyle w:val="Discovery"/>
        <w:rPr/>
      </w:pPr>
      <w:r>
        <w:rPr/>
        <w:t>RESPONSE TO REQUEST FOR PRODUCTION NO. 1:</w:t>
      </w:r>
    </w:p>
    <w:p>
      <w:pPr>
        <w:pStyle w:val="BodyText"/>
        <w:rPr/>
      </w:pPr>
      <w:r>
        <w:rPr/>
        <w:t>As set forth during the Meet and Confer Process, the Enron Entities, including Portland General, object to this request on the grounds that it is unduly burdensome and oppressive in that during this period, the Enron Entities have been a very dynamic organization having acquired, sold, divested, joint ventured, spun off and otherwise reorganized itself extensively during the past two years.  The burden and expense on the Enron Entities to locate, and produce every corporate organizational chart anywhere in its organization since April 1, 1998 greatly outweighs any conceivable benefit to the Commission.</w:t>
      </w:r>
    </w:p>
    <w:p>
      <w:pPr>
        <w:pStyle w:val="BodyText"/>
        <w:rPr/>
      </w:pPr>
      <w:r>
        <w:rPr/>
        <w:t xml:space="preserve">Subject to and without waiver of any objections, as a result of the Meet and Confer Process, on October 13, 2000, the Enron Entities, including Portland General, produced to the Commission documents sufficient to show their current organizational structure.  </w:t>
      </w:r>
      <w:r>
        <w:rPr>
          <w:i/>
        </w:rPr>
        <w:t xml:space="preserve">See generally </w:t>
      </w:r>
      <w:r>
        <w:rPr/>
        <w:t>Bates Nos. Enron Entities 000001-000025.</w:t>
      </w:r>
    </w:p>
    <w:p>
      <w:pPr>
        <w:pStyle w:val="Discovery"/>
        <w:rPr/>
      </w:pPr>
      <w:r>
        <w:rPr/>
        <w:t>REQUEST FOR PRODUCTION NO. 2:</w:t>
      </w:r>
    </w:p>
    <w:p>
      <w:pPr>
        <w:pStyle w:val="BodyText"/>
        <w:rPr/>
      </w:pPr>
      <w:r>
        <w:rPr/>
        <w:t>Any corporate telephone directories prepared since April 1, 1998.</w:t>
      </w:r>
    </w:p>
    <w:p>
      <w:pPr>
        <w:pStyle w:val="Discovery"/>
        <w:rPr/>
      </w:pPr>
      <w:r>
        <w:rPr/>
        <w:t>RESPONSE TO REQUEST FOR PRODUCTION NO. 2:</w:t>
      </w:r>
    </w:p>
    <w:p>
      <w:pPr>
        <w:pStyle w:val="BodyText"/>
        <w:rPr/>
      </w:pPr>
      <w:r>
        <w:rPr/>
        <w:t>As set forth during the Meet and Confer Process, the Enron Entities, including Portland General, object to this request, to the extent that it seeks every telephone directory that the Enron Entities have in their possession, as being unduly burdensome and oppressive.  The burden and expense on the Enron Entities greatly outweighs any conceivable benefit to the Commission.</w:t>
      </w:r>
    </w:p>
    <w:p>
      <w:pPr>
        <w:pStyle w:val="BodyText"/>
        <w:rPr/>
      </w:pPr>
      <w:r>
        <w:rPr/>
        <w:t xml:space="preserve">Subject to and without waiver of any objections, as a result of the Meet and Confer Process, on October 13, 2000, the Enron Entities, including Portland General, produced to the Commission their current telephone directory and an exemplar of a prior telephone directory.  </w:t>
      </w:r>
      <w:r>
        <w:rPr>
          <w:i/>
        </w:rPr>
        <w:t xml:space="preserve">See generally </w:t>
      </w:r>
      <w:r>
        <w:rPr/>
        <w:t>Bates Nos. Enron Entities 000001-000025.</w:t>
      </w:r>
    </w:p>
    <w:p>
      <w:pPr>
        <w:pStyle w:val="Discovery"/>
        <w:rPr/>
      </w:pPr>
      <w:r>
        <w:rPr/>
        <w:t>REQUEST FOR PRODUCTION NO. 3:</w:t>
      </w:r>
    </w:p>
    <w:p>
      <w:pPr>
        <w:pStyle w:val="BodyText"/>
        <w:rPr/>
      </w:pPr>
      <w:r>
        <w:rPr/>
        <w:t>Any corporate histories for respondent.</w:t>
      </w:r>
    </w:p>
    <w:p>
      <w:pPr>
        <w:pStyle w:val="Discovery"/>
        <w:rPr/>
      </w:pPr>
      <w:r>
        <w:rPr/>
        <w:t xml:space="preserve">RESPONSE TO REQUEST FOR PRODUCTION NO. 3. </w:t>
      </w:r>
    </w:p>
    <w:p>
      <w:pPr>
        <w:pStyle w:val="BodyText"/>
        <w:rPr/>
      </w:pPr>
      <w:r>
        <w:rPr/>
        <w:t xml:space="preserve">As set forth during the Meet and Confer Process, the Enron Entities, including Portland General, object to this request on the grounds that it is overly broad and not reasonably calculated to lead to the discovery of admissible evidence in that it is not limited in time or scope.  Insofar as the Enron Entities understand the scope of this inquiry, it relates to the period after April 1, 1998 when the California legislature changed the California electricity market over the Enron Entities’ objections.  The Enron Entities object to the phrase “corporate histories” as vague and ambiguous.  </w:t>
      </w:r>
    </w:p>
    <w:p>
      <w:pPr>
        <w:pStyle w:val="BodyText"/>
        <w:rPr/>
      </w:pPr>
      <w:r>
        <w:rPr/>
        <w:t xml:space="preserve">Subject to and without waiver of any objections, as a result of the Meet and Confer Process, and to the extent that the Enron Entities understand the term “corporate histories,” on October 13, 2000, the Enron Entities, including Portland General, produced such documents relevant to the period after April 1, 1998.  </w:t>
      </w:r>
      <w:r>
        <w:rPr>
          <w:i/>
        </w:rPr>
        <w:t xml:space="preserve">See generally </w:t>
      </w:r>
      <w:r>
        <w:rPr/>
        <w:t xml:space="preserve">Bates Nos. Enron Entities 000001-000025.  In addition, Portland General has published books on its corporate history.  Upon the Commission’s request, Portland General can provide a list of those books.     </w:t>
      </w:r>
    </w:p>
    <w:p>
      <w:pPr>
        <w:pStyle w:val="Discovery"/>
        <w:rPr/>
      </w:pPr>
      <w:r>
        <w:rPr/>
        <w:t>REQUEST FOR PRODUCTION NO. 4:</w:t>
      </w:r>
    </w:p>
    <w:p>
      <w:pPr>
        <w:pStyle w:val="BodyText"/>
        <w:rPr/>
      </w:pPr>
      <w:r>
        <w:rPr/>
        <w:t>Any documents, including what are commonly called “family trees,” describing the relationship between respondent and all relevant affiliates (e.g. generation LLCs, marketing affiliates, corporate parents, others).</w:t>
      </w:r>
    </w:p>
    <w:p>
      <w:pPr>
        <w:pStyle w:val="Discovery"/>
        <w:rPr/>
      </w:pPr>
      <w:r>
        <w:rPr/>
        <w:t>RESPONSE TO REQUEST NO.  4:</w:t>
      </w:r>
    </w:p>
    <w:p>
      <w:pPr>
        <w:pStyle w:val="BodyText"/>
        <w:rPr/>
      </w:pPr>
      <w:r>
        <w:rPr/>
        <w:t xml:space="preserve">As set forth during the Meet and Confer Process, the Enron Entities, including Portland General, object to this request on the grounds that it is overly broad and not reasonably calculated to lead to the discovery of admissible evidence in that it is not limited in time or scope.  Insofar as the Enron Entities understand the scope of this inquiry, it relates to the period after April 1, 1998 when the California legislature changed the California electricity market over the Enron Entities’ objections.  </w:t>
      </w:r>
    </w:p>
    <w:p>
      <w:pPr>
        <w:pStyle w:val="BodyText"/>
        <w:rPr/>
      </w:pPr>
      <w:r>
        <w:rPr/>
        <w:t xml:space="preserve">Subject to and without waiver of any objections, as a result of the Meet and Confer Process, to the extent that the Enron Entities identified and located “family trees” that relate to their operations in the California Electricity Market for the period after April 1, 1998, the Enron Entities, including Portland General, produced exemplars of such documents on October 13, 2000.  </w:t>
      </w:r>
      <w:r>
        <w:rPr>
          <w:i/>
        </w:rPr>
        <w:t xml:space="preserve">See generally </w:t>
      </w:r>
      <w:r>
        <w:rPr/>
        <w:t>Bates Nos. Enron Entities 000001-000025.</w:t>
      </w:r>
    </w:p>
    <w:p>
      <w:pPr>
        <w:pStyle w:val="Discovery"/>
        <w:rPr/>
      </w:pPr>
      <w:r>
        <w:rPr/>
        <w:t>REQUEST FOR PRODUCTION NO. 5:</w:t>
      </w:r>
    </w:p>
    <w:p>
      <w:pPr>
        <w:pStyle w:val="BodyText"/>
        <w:rPr/>
      </w:pPr>
      <w:r>
        <w:rPr/>
        <w:t>Any documents related to respondent’s role as scheduling coordinator and/or marketer for any entity.</w:t>
      </w:r>
    </w:p>
    <w:p>
      <w:pPr>
        <w:pStyle w:val="Discovery"/>
        <w:rPr/>
      </w:pPr>
      <w:r>
        <w:rPr/>
        <w:t>RESPONSE TO REQUEST FOR PRODUCTION NO. 5:</w:t>
      </w:r>
    </w:p>
    <w:p>
      <w:pPr>
        <w:pStyle w:val="BodyText"/>
        <w:rPr/>
      </w:pPr>
      <w:r>
        <w:rPr/>
        <w:t xml:space="preserve">Portland General objects to this request on the grounds that it is overly broad, unduly burdensome and duplicative of other requests.  Portland General objects to the phrase “related to respondent’s role” as vague and ambiguous.  Portland General objects that this request is not reasonably calculated to lead to the discovery of admissible evidence on topics within the jurisdiction of the Commission.  The burden and expense on Portland General greatly exceeds and conceivable benefit to the Commission.  Portland General further objects to this request to the extent that it impermissibly seeks documents protected from disclosure by the attorney client privilege and the attorney work product doctrine. </w:t>
      </w:r>
    </w:p>
    <w:p>
      <w:pPr>
        <w:pStyle w:val="BodyText"/>
        <w:rPr/>
      </w:pPr>
      <w:r>
        <w:rPr/>
        <w:t xml:space="preserve">Subject to and without waiver of any objections, Portland General believes that the information produced on October 13, 2000 in response to Requests Nos. 1 through 4 is sufficient to illustrate the Portland General is not a scheduling coordinator and/or marketer for any entity.  </w:t>
      </w:r>
    </w:p>
    <w:p>
      <w:pPr>
        <w:pStyle w:val="Discovery"/>
        <w:rPr/>
      </w:pPr>
      <w:r>
        <w:rPr/>
        <w:t>REQUEST FOR PRODUCTION NO. 6:</w:t>
      </w:r>
    </w:p>
    <w:p>
      <w:pPr>
        <w:pStyle w:val="BodyText"/>
        <w:rPr/>
      </w:pPr>
      <w:r>
        <w:rPr/>
        <w:t>Any documents related to respondent’s relationship with the owner or operator of any electric generating unit located in the WSCC region.</w:t>
      </w:r>
    </w:p>
    <w:p>
      <w:pPr>
        <w:pStyle w:val="Discovery"/>
        <w:rPr/>
      </w:pPr>
      <w:r>
        <w:rPr/>
        <w:t>RESPONSE TO REQUEST FOR PRODUCTION NO. 6:</w:t>
      </w:r>
    </w:p>
    <w:p>
      <w:pPr>
        <w:pStyle w:val="BodyText"/>
        <w:rPr/>
      </w:pPr>
      <w:r>
        <w:rPr/>
        <w:t xml:space="preserve">Portland General objects to this request on the grounds that it is overly broad, unduly burdensome and duplicative of other requests.  Portland General objects to the phrase “related to respondent’s relationship with” as vague and ambiguous.  Portland General objects that this request is not reasonably calculated to lead to the discovery of admissible evidence on topics within the jurisdiction of the Commission.  The burden and expense on the Portland General greatly exceeds and conceivable benefit to the Commission.  Portland General further objects to this request to the extent that it impermissibly seeks documents protected from disclosure by the attorney client privilege and the attorney work product doctrine.  </w:t>
      </w:r>
    </w:p>
    <w:p>
      <w:pPr>
        <w:pStyle w:val="BodyText"/>
        <w:rPr/>
      </w:pPr>
      <w:r>
        <w:rPr/>
        <w:t>Subject to and without waiver of any objections, Portland General believes that the information produced on October 13, 2000 in response to Requests Nos. 1 through 4 is sufficient to illustrate the Portland General’s “relationship with the owner or operator of any electric generating unit located in the WSCC region.”</w:t>
      </w:r>
    </w:p>
    <w:p>
      <w:pPr>
        <w:pStyle w:val="Discovery"/>
        <w:rPr/>
      </w:pPr>
      <w:r>
        <w:rPr/>
        <w:t>REQUEST FOR PRODUCTION NO. 7:</w:t>
      </w:r>
    </w:p>
    <w:p>
      <w:pPr>
        <w:pStyle w:val="BodyText"/>
        <w:rPr/>
      </w:pPr>
      <w:r>
        <w:rPr/>
        <w:t>Any Profit and Loss (“P&amp;L”) statements since April 1, 1998.</w:t>
      </w:r>
    </w:p>
    <w:p>
      <w:pPr>
        <w:pStyle w:val="Discovery"/>
        <w:rPr/>
      </w:pPr>
      <w:r>
        <w:rPr/>
        <w:t>RESPONSE TO REQUEST FOR PRODUCTION NO. 7:</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w:t>
      </w:r>
    </w:p>
    <w:p>
      <w:pPr>
        <w:pStyle w:val="BodyText"/>
        <w:rPr/>
      </w:pPr>
      <w:r>
        <w:rPr/>
        <w:t xml:space="preserve">Subject to and without waiver of any objections, as a result of the Meet and Confer Process, on October 13, 2000, the Enron Entities, including Portland General, produced public filings for the period requested.  </w:t>
      </w:r>
      <w:r>
        <w:rPr>
          <w:i/>
        </w:rPr>
        <w:t xml:space="preserve">See generally </w:t>
      </w:r>
      <w:r>
        <w:rPr/>
        <w:t xml:space="preserve">Bates Nos. Enron Entities 000001-000025.  In addition, on November 15, 2000, Portland General produced two diskettes (Bates Nos. P002116-02117) containing electronic transaction data for the wholesale purchase and sale of energy delivered which includes economic data for the year 2000.  </w:t>
      </w:r>
    </w:p>
    <w:p>
      <w:pPr>
        <w:pStyle w:val="Discovery"/>
        <w:rPr/>
      </w:pPr>
      <w:r>
        <w:rPr/>
        <w:t>REQUEST FOR PRODUCTION NO. 8:</w:t>
      </w:r>
    </w:p>
    <w:p>
      <w:pPr>
        <w:pStyle w:val="BodyText"/>
        <w:rPr/>
      </w:pPr>
      <w:r>
        <w:rPr/>
        <w:t>Any Documents showing Quarterly profits of respondent covering the period since April 1, 1998.</w:t>
      </w:r>
    </w:p>
    <w:p>
      <w:pPr>
        <w:pStyle w:val="Discovery"/>
        <w:rPr/>
      </w:pPr>
      <w:r>
        <w:rPr/>
        <w:t>RESPONSE TO REQUEST FOR PRODUCTION NO. 8:</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w:t>
      </w:r>
    </w:p>
    <w:p>
      <w:pPr>
        <w:pStyle w:val="BodyText"/>
        <w:rPr/>
      </w:pPr>
      <w:r>
        <w:rPr/>
        <w:t xml:space="preserve">Subject to and without waiver of any objections, as a result of the Meet and Confer Process, on October 13, 2000, the Enron Entities, including Portland General, produced public filings for the period requested.  </w:t>
      </w:r>
      <w:r>
        <w:rPr>
          <w:i/>
        </w:rPr>
        <w:t xml:space="preserve">See generally </w:t>
      </w:r>
      <w:r>
        <w:rPr/>
        <w:t xml:space="preserve">Bates Nos. Enron Entities 000001-000025.  In addition, on November 15, 2000, Portland General produced two diskettes (Bates Nos. P002116-02117) containing electronic transaction data for the wholesale purchase and sale of energy delivered which includes economic data for the year 2000.  </w:t>
      </w:r>
    </w:p>
    <w:p>
      <w:pPr>
        <w:pStyle w:val="Discovery"/>
        <w:rPr/>
      </w:pPr>
      <w:r>
        <w:rPr/>
        <w:t>REQUEST FOR PRODUCTION NO. 9:</w:t>
      </w:r>
    </w:p>
    <w:p>
      <w:pPr>
        <w:pStyle w:val="BodyText"/>
        <w:rPr/>
      </w:pPr>
      <w:r>
        <w:rPr/>
        <w:t>Any Unconsolidated Income Statements for respondent covering the period since April 1, 1998.</w:t>
      </w:r>
    </w:p>
    <w:p>
      <w:pPr>
        <w:pStyle w:val="Discovery"/>
        <w:rPr/>
      </w:pPr>
      <w:r>
        <w:rPr/>
        <w:t>RESPONSE TO REQUEST FOR PRODUCTION NO. 9:</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w:t>
      </w:r>
    </w:p>
    <w:p>
      <w:pPr>
        <w:pStyle w:val="BodyText"/>
        <w:rPr/>
      </w:pPr>
      <w:r>
        <w:rPr/>
        <w:t xml:space="preserve">Subject to and without waiver of any objections, as a result of the Meet and Confer Process, on October 13, 2000, the Enron Entities, including Portland General, produced public filings for the period requested.  </w:t>
      </w:r>
      <w:r>
        <w:rPr>
          <w:i/>
        </w:rPr>
        <w:t xml:space="preserve">See generally </w:t>
      </w:r>
      <w:r>
        <w:rPr/>
        <w:t xml:space="preserve">Bates Nos. Enron Entities 000001-000025.  In addition, on November 15, 2000, Portland General produced two diskettes (Bates Nos. P002116-02117) containing electronic transaction data for the wholesale purchase and sale of energy delivered which includes economic data for the year 2000.  </w:t>
      </w:r>
    </w:p>
    <w:p>
      <w:pPr>
        <w:pStyle w:val="Discovery"/>
        <w:rPr/>
      </w:pPr>
      <w:r>
        <w:rPr/>
        <w:t>REQUEST FOR PRODUCTION NO. 10:</w:t>
      </w:r>
    </w:p>
    <w:p>
      <w:pPr>
        <w:pStyle w:val="BodyText"/>
        <w:rPr/>
      </w:pPr>
      <w:r>
        <w:rPr/>
        <w:t>Balance Sheets of respondent since April 1, 1998.</w:t>
      </w:r>
    </w:p>
    <w:p>
      <w:pPr>
        <w:pStyle w:val="Discovery"/>
        <w:rPr/>
      </w:pPr>
      <w:r>
        <w:rPr/>
        <w:t>RESPONSE TO REQUESTION FOR PRODUCTION NO. 10:</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w:t>
      </w:r>
    </w:p>
    <w:p>
      <w:pPr>
        <w:pStyle w:val="BodyText"/>
        <w:rPr/>
      </w:pPr>
      <w:r>
        <w:rPr/>
        <w:t xml:space="preserve">Subject to and without waiver of any objections, as a result of the Meet and Confer Process, on October 13, 2000, the Enron Entities, including Portland General, produced public filings for the period requested.  </w:t>
      </w:r>
      <w:r>
        <w:rPr>
          <w:i/>
        </w:rPr>
        <w:t xml:space="preserve">See generally </w:t>
      </w:r>
      <w:r>
        <w:rPr/>
        <w:t xml:space="preserve">Bates Nos. Enron Entities 000001-000025.  In addition, on November 15, 2000, Portland General produced two diskettes (Bates Nos. P002116-02117) containing electronic transaction data for the wholesale purchase and sale of energy delivered which includes economic data for the year 2000.  </w:t>
      </w:r>
    </w:p>
    <w:p>
      <w:pPr>
        <w:pStyle w:val="Discovery"/>
        <w:rPr/>
      </w:pPr>
      <w:r>
        <w:rPr/>
        <w:t>REQUEST FOR PRODUCTION NO. 11:</w:t>
      </w:r>
    </w:p>
    <w:p>
      <w:pPr>
        <w:pStyle w:val="BodyText"/>
        <w:rPr/>
      </w:pPr>
      <w:r>
        <w:rPr/>
        <w:t>Any documents containing, or pertaining to, forecasts or estimates of revenues for respondent since April 1, 1998.</w:t>
      </w:r>
    </w:p>
    <w:p>
      <w:pPr>
        <w:pStyle w:val="Discovery"/>
        <w:rPr/>
      </w:pPr>
      <w:r>
        <w:rPr/>
        <w:t>RESPONSE TO REQUEST FOR PRODUCTION NO. 11:</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w:t>
      </w:r>
    </w:p>
    <w:p>
      <w:pPr>
        <w:pStyle w:val="BodyText"/>
        <w:rPr/>
      </w:pPr>
      <w:r>
        <w:rPr/>
        <w:t xml:space="preserve">Subject to and without waiver of any objections, as a result of the Meet and Confer Process, on October 13, 2000, the Enron Entities, including Portland General, produced public filings for the period requested.  </w:t>
      </w:r>
      <w:r>
        <w:rPr>
          <w:i/>
        </w:rPr>
        <w:t xml:space="preserve">See generally </w:t>
      </w:r>
      <w:r>
        <w:rPr/>
        <w:t xml:space="preserve">Bates Nos. Enron Entities 000001-000025.  In addition, on November 15, 2000, Portland General produced two diskettes (Bates Nos. P002116-02117) containing electronic transaction data for the wholesale purchase and sale of energy delivered which includes economic data for the year 2000.  </w:t>
      </w:r>
    </w:p>
    <w:p>
      <w:pPr>
        <w:pStyle w:val="Discovery"/>
        <w:rPr/>
      </w:pPr>
      <w:r>
        <w:rPr/>
        <w:t>REQUEST FOR PRODUCTION NO. 12:</w:t>
      </w:r>
    </w:p>
    <w:p>
      <w:pPr>
        <w:pStyle w:val="BodyText"/>
        <w:rPr/>
      </w:pPr>
      <w:r>
        <w:rPr/>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bodytextnoindent"/>
        <w:numPr>
          <w:ilvl w:val="0"/>
          <w:numId w:val="11"/>
        </w:numPr>
        <w:rPr/>
      </w:pPr>
      <w:r>
        <w:rPr/>
        <w:t>Any documents pertaining to scheduled and forced maintenance for each unit;</w:t>
      </w:r>
    </w:p>
    <w:p>
      <w:pPr>
        <w:pStyle w:val="bodytextnoindent"/>
        <w:numPr>
          <w:ilvl w:val="0"/>
          <w:numId w:val="11"/>
        </w:numPr>
        <w:rPr/>
      </w:pPr>
      <w:r>
        <w:rPr/>
        <w:t>Documents that refer or relate to expenditures on maintenance.</w:t>
      </w:r>
    </w:p>
    <w:p>
      <w:pPr>
        <w:pStyle w:val="bodytextnoindent"/>
        <w:numPr>
          <w:ilvl w:val="0"/>
          <w:numId w:val="11"/>
        </w:numPr>
        <w:rPr/>
      </w:pPr>
      <w:r>
        <w:rPr/>
        <w:t>Any documents showing the availability of each unit.</w:t>
      </w:r>
    </w:p>
    <w:p>
      <w:pPr>
        <w:pStyle w:val="Discovery"/>
        <w:rPr/>
      </w:pPr>
      <w:r>
        <w:rPr/>
        <w:t>RESPONSE TO REQUEST FOR PRODUCTION NO. 12:</w:t>
      </w:r>
    </w:p>
    <w:p>
      <w:pPr>
        <w:pStyle w:val="BodyText"/>
        <w:rPr/>
      </w:pPr>
      <w:r>
        <w:rPr/>
        <w:t xml:space="preserve">Portland General objects to this request on the grounds that it is not relevant to the subject matter of this inquiry and not reasonably calculated to lead to the discovery of admissible evidence.  Portland General is a net importer of energy and can only generate about one half of its total energy demand, and therefore, its impact on the California wholesale market is necessarily limited.  Moreover, the production of the requested documents would involve a tremendous volume of documents, as Portland General owned twenty generating facilities of a variety of types and sizes during 2000.  In light of the irrelevance of this information, Portland General objects to this request on the grounds that it is overly broad and unduly burdensome.  </w:t>
      </w:r>
    </w:p>
    <w:p>
      <w:pPr>
        <w:pStyle w:val="BodyText"/>
        <w:rPr>
          <w:i/>
          <w:i/>
        </w:rPr>
      </w:pPr>
      <w:r>
        <w:rPr/>
        <w:t xml:space="preserve">Subject to and without waiver of any objections, on October 27, 2000, Portland General produced documents pertaining to maintenance on a system-wide and/or aggregate basis.  </w:t>
      </w:r>
      <w:r>
        <w:rPr>
          <w:i/>
        </w:rPr>
        <w:t xml:space="preserve">See generally </w:t>
      </w:r>
      <w:r>
        <w:rPr/>
        <w:t xml:space="preserve">Bates Nos. P000001-002115. </w:t>
      </w:r>
    </w:p>
    <w:p>
      <w:pPr>
        <w:pStyle w:val="Discovery"/>
        <w:rPr/>
      </w:pPr>
      <w:r>
        <w:rPr/>
        <w:t>REQUEST FOR PRODUCTION NO. 13:</w:t>
      </w:r>
    </w:p>
    <w:p>
      <w:pPr>
        <w:pStyle w:val="BodyText"/>
        <w:rPr/>
      </w:pPr>
      <w:r>
        <w:rPr/>
        <w:t>Any documents reflecting dates, quantities, prices, and, for each transaction, identification of buyers (including identities of all buyers that are affiliated with respondent) with respect to all sales made by each entity or any of their affiliates to any California buyer, including the PX, the ISO, or any re-seller or end-user located in California, since the later of April 1, 1998, or the date respondent acquired control of (e.g. purchased, leased, acted as scheduling coordinator, or otherwise possessed the right to use or resell generation output) a generating unit(s) in California or the WSCC region.  Sales information (including price, quantity, date) should reflect any sales or transfers to or through the following:</w:t>
      </w:r>
    </w:p>
    <w:p>
      <w:pPr>
        <w:pStyle w:val="bodytextnoindent"/>
        <w:numPr>
          <w:ilvl w:val="0"/>
          <w:numId w:val="11"/>
        </w:numPr>
        <w:rPr/>
      </w:pPr>
      <w:r>
        <w:rPr/>
        <w:t>CTS Block Forward Markets</w:t>
      </w:r>
    </w:p>
    <w:p>
      <w:pPr>
        <w:pStyle w:val="bodytextnoindent"/>
        <w:numPr>
          <w:ilvl w:val="0"/>
          <w:numId w:val="11"/>
        </w:numPr>
        <w:rPr/>
      </w:pPr>
      <w:r>
        <w:rPr/>
        <w:t xml:space="preserve">PX Materials </w:t>
      </w:r>
    </w:p>
    <w:p>
      <w:pPr>
        <w:pStyle w:val="bodytextnoindent"/>
        <w:numPr>
          <w:ilvl w:val="0"/>
          <w:numId w:val="11"/>
        </w:numPr>
        <w:rPr/>
      </w:pPr>
      <w:r>
        <w:rPr/>
        <w:t>ISO Markets</w:t>
      </w:r>
    </w:p>
    <w:p>
      <w:pPr>
        <w:pStyle w:val="bodytextnoindent"/>
        <w:numPr>
          <w:ilvl w:val="0"/>
          <w:numId w:val="11"/>
        </w:numPr>
        <w:rPr/>
      </w:pPr>
      <w:r>
        <w:rPr/>
        <w:t>Bilateral Markets (e.g. Palo Verde)</w:t>
      </w:r>
    </w:p>
    <w:p>
      <w:pPr>
        <w:pStyle w:val="bodytextnoindent"/>
        <w:numPr>
          <w:ilvl w:val="0"/>
          <w:numId w:val="11"/>
        </w:numPr>
        <w:rPr/>
      </w:pPr>
      <w:r>
        <w:rPr/>
        <w:t>Bilateral Contracts</w:t>
      </w:r>
    </w:p>
    <w:p>
      <w:pPr>
        <w:pStyle w:val="Discovery"/>
        <w:rPr/>
      </w:pPr>
      <w:r>
        <w:rPr/>
        <w:t>RESPONSE TO REQUEST FOR PRODUCTION NO. 13:</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Portland General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BodyText"/>
        <w:rPr/>
      </w:pPr>
      <w:r>
        <w:rPr/>
        <w:t>Subject to and without waiver of any objections, on November 15, 2000, Portland General produced two diskettes (Bates Nos. P002116-02117) containing electronic transaction data for the wholesale purchase and sale of energy delivered for the year 2000.</w:t>
      </w:r>
    </w:p>
    <w:p>
      <w:pPr>
        <w:pStyle w:val="Discovery"/>
        <w:rPr/>
      </w:pPr>
      <w:r>
        <w:rPr/>
        <w:t>REQUEST FOR PRODUCTION NO. 14:</w:t>
      </w:r>
    </w:p>
    <w:p>
      <w:pPr>
        <w:pStyle w:val="BodyText"/>
        <w:rPr/>
      </w:pPr>
      <w:r>
        <w:rPr/>
        <w:t>For each generating unit located in California or the WSCC region over which respondent has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bodytextnoindent"/>
        <w:numPr>
          <w:ilvl w:val="0"/>
          <w:numId w:val="11"/>
        </w:numPr>
        <w:rPr/>
      </w:pPr>
      <w:r>
        <w:rPr/>
        <w:t>Dispatch notices received from the ISO;</w:t>
      </w:r>
    </w:p>
    <w:p>
      <w:pPr>
        <w:pStyle w:val="bodytextnoindent"/>
        <w:numPr>
          <w:ilvl w:val="0"/>
          <w:numId w:val="11"/>
        </w:numPr>
        <w:rPr/>
      </w:pPr>
      <w:r>
        <w:rPr/>
        <w:t>Day ahead schedules for each unit;</w:t>
      </w:r>
    </w:p>
    <w:p>
      <w:pPr>
        <w:pStyle w:val="bodytextnoindent"/>
        <w:numPr>
          <w:ilvl w:val="0"/>
          <w:numId w:val="11"/>
        </w:numPr>
        <w:rPr/>
      </w:pPr>
      <w:r>
        <w:rPr/>
        <w:t>Hour ahead schedules for each unit;</w:t>
      </w:r>
    </w:p>
    <w:p>
      <w:pPr>
        <w:pStyle w:val="bodytextnoindent"/>
        <w:numPr>
          <w:ilvl w:val="0"/>
          <w:numId w:val="11"/>
        </w:numPr>
        <w:rPr/>
      </w:pPr>
      <w:r>
        <w:rPr/>
        <w:t>Instructed deviations for each unit;</w:t>
      </w:r>
    </w:p>
    <w:p>
      <w:pPr>
        <w:pStyle w:val="bodytextnoindent"/>
        <w:numPr>
          <w:ilvl w:val="0"/>
          <w:numId w:val="11"/>
        </w:numPr>
        <w:rPr/>
      </w:pPr>
      <w:r>
        <w:rPr/>
        <w:t>Any documents related to any RMR calls for which respondent failed to provide requested energy;</w:t>
      </w:r>
    </w:p>
    <w:p>
      <w:pPr>
        <w:pStyle w:val="bodytextnoindent"/>
        <w:numPr>
          <w:ilvl w:val="0"/>
          <w:numId w:val="11"/>
        </w:numPr>
        <w:rPr/>
      </w:pPr>
      <w:r>
        <w:rPr/>
        <w:t>Documents, in your control, related to actual hourly output for every unit;</w:t>
      </w:r>
    </w:p>
    <w:p>
      <w:pPr>
        <w:pStyle w:val="bodytextnoindent"/>
        <w:numPr>
          <w:ilvl w:val="0"/>
          <w:numId w:val="11"/>
        </w:numPr>
        <w:rPr/>
      </w:pPr>
      <w:r>
        <w:rPr/>
        <w:t>All settlement statements.</w:t>
      </w:r>
    </w:p>
    <w:p>
      <w:pPr>
        <w:pStyle w:val="Discovery"/>
        <w:rPr/>
      </w:pPr>
      <w:r>
        <w:rPr/>
        <w:t>RESPONSE TO REQUEST FOR PRODUCTION NO. 14:</w:t>
      </w:r>
    </w:p>
    <w:p>
      <w:pPr>
        <w:pStyle w:val="BodyText"/>
        <w:rPr/>
      </w:pPr>
      <w:r>
        <w:rPr/>
        <w:t xml:space="preserve">Portland General objects to this request on the grounds that it is not relevant to the subject matter of this inquiry and not reasonably calculated to lead to the discovery of admissible evidence.  Portland General is a net importer of energy and can only generate about one half of its total energy demand, and therefore, its impact on the California wholesale market is necessarily limited.  Moreover, the production of the requested documents would involve a tremendous volume of documents, as Portland General owned twenty generating facilities of a variety of types and sizes during 2000.  In light of the irrelevance of this information, Portland General objects to this request on the grounds that it is overly broad, unduly burdensome.  </w:t>
      </w:r>
    </w:p>
    <w:p>
      <w:pPr>
        <w:pStyle w:val="BodyText"/>
        <w:rPr/>
      </w:pPr>
      <w:r>
        <w:rPr/>
        <w:t xml:space="preserve">Subject to and without waiver of any objections, on November 15, 2000, Portland General produced two diskettes (Bates Nos. P002116-02117) containing electronic transaction data for the wholesale purchase and sale of energy delivered for the year 2000.  In addition, on October 27, 2000, Portland General produced certain long term contracts for the sale of electricity.  </w:t>
      </w:r>
      <w:r>
        <w:rPr>
          <w:i/>
        </w:rPr>
        <w:t xml:space="preserve">See generally </w:t>
      </w:r>
      <w:r>
        <w:rPr/>
        <w:t>Bates Nos. P000001-002115.</w:t>
      </w:r>
    </w:p>
    <w:p>
      <w:pPr>
        <w:pStyle w:val="Discovery"/>
        <w:rPr/>
      </w:pPr>
      <w:r>
        <w:rPr/>
        <w:t>REQUEST FOR PRODUCTION NO. 15:</w:t>
      </w:r>
    </w:p>
    <w:p>
      <w:pPr>
        <w:pStyle w:val="BodyText"/>
        <w:rPr/>
      </w:pPr>
      <w:r>
        <w:rPr/>
        <w:t>For any sales of energy or ancillary services outside of California from each generating unit located in California over which respondent has acquired control (e.g. purchased, leased, acted as scheduling coordinator, or otherwise possessed the right to use or resell generation output), please provide all documents related to or reflecting the following information:</w:t>
      </w:r>
    </w:p>
    <w:p>
      <w:pPr>
        <w:pStyle w:val="bodytextnoindent"/>
        <w:numPr>
          <w:ilvl w:val="0"/>
          <w:numId w:val="11"/>
        </w:numPr>
        <w:rPr/>
      </w:pPr>
      <w:r>
        <w:rPr/>
        <w:t xml:space="preserve">dates, quantities, prices, and, for each transaction, identification of buyers (including identification of any affiliated buyers) with respect to all exports made by each entity or any of their affiliates since May 1, 1999; </w:t>
      </w:r>
    </w:p>
    <w:p>
      <w:pPr>
        <w:pStyle w:val="bodytextnoindent"/>
        <w:numPr>
          <w:ilvl w:val="0"/>
          <w:numId w:val="11"/>
        </w:numPr>
        <w:rPr/>
      </w:pPr>
      <w:r>
        <w:rPr/>
        <w:t>whether, and if so, when and at what price such exports were re-sold into California, documentation should include date, quantity, price, buyer and market, if applicable;</w:t>
      </w:r>
    </w:p>
    <w:p>
      <w:pPr>
        <w:pStyle w:val="bodytextnoindent"/>
        <w:numPr>
          <w:ilvl w:val="0"/>
          <w:numId w:val="11"/>
        </w:numPr>
        <w:rPr/>
      </w:pPr>
      <w:r>
        <w:rPr/>
        <w:t>dates, quantities, prices, and, for each transaction, identification of buyers (including identification of any affiliate buyers) with respect to all proposed exports foregone by each entity or any of their affiliates since May 1, 1999, due to an alleged concern over curtailment of the proposed export.</w:t>
      </w:r>
    </w:p>
    <w:p>
      <w:pPr>
        <w:pStyle w:val="Discovery"/>
        <w:rPr/>
      </w:pPr>
      <w:r>
        <w:rPr/>
        <w:t>RESPONSE TO REQUEST FOR PRODUCTION NO. 15:</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Portland General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BodyText"/>
        <w:rPr/>
      </w:pPr>
      <w:r>
        <w:rPr/>
        <w:t>Subject to and without waiver of any objections, on November 15, 2000, Portland General produced two diskettes (Bates Nos. P002116-02117) containing electronic transaction data for the wholesale purchase and sale of energy delivered for the year 2000.</w:t>
      </w:r>
    </w:p>
    <w:p>
      <w:pPr>
        <w:pStyle w:val="Discovery"/>
        <w:rPr/>
      </w:pPr>
      <w:r>
        <w:rPr/>
        <w:t>REQUEST FOR PRODUCTION NO. 16:</w:t>
      </w:r>
    </w:p>
    <w:p>
      <w:pPr>
        <w:pStyle w:val="BodyText"/>
        <w:rPr/>
      </w:pPr>
      <w:r>
        <w:rPr/>
        <w:t>Please provide all documents pertaining to or related to any contracts or other agreements between respondent and any purchaser or reseller for the purchase or sale of energy or capacity in the WSCC region since April 1, 1998.  Said documents should include the term of the contract or agreement, the name of buyer/seller, quantity, price relevant receipt and/or delivery points and whether the buyer/seller is affiliated with respondent.</w:t>
      </w:r>
    </w:p>
    <w:p>
      <w:pPr>
        <w:pStyle w:val="Discovery"/>
        <w:rPr/>
      </w:pPr>
      <w:r>
        <w:rPr/>
        <w:t>RESPONSE TO REQUEST FOR PRODUCTION NO. 16:</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Portland General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BodyText"/>
        <w:rPr/>
      </w:pPr>
      <w:r>
        <w:rPr/>
        <w:t xml:space="preserve">Subject to and without waiver of any objections, on November 15, 2000, Portland General produced two diskettes (Bates Nos. P002116-02117) containing electronic transaction data for the wholesale purchase and sale of energy delivered for the year 2000.  In addition, on October 27, 2000, Portland General produced certain long term contracts for the sale of electricity.  </w:t>
      </w:r>
      <w:r>
        <w:rPr>
          <w:i/>
        </w:rPr>
        <w:t xml:space="preserve">See generally </w:t>
      </w:r>
      <w:r>
        <w:rPr/>
        <w:t xml:space="preserve">Bates Nos. P000001-002115. </w:t>
      </w:r>
    </w:p>
    <w:p>
      <w:pPr>
        <w:pStyle w:val="Discovery"/>
        <w:rPr/>
      </w:pPr>
      <w:r>
        <w:rPr/>
        <w:t>REQUEST FOR PRODUCTION NO. 17:</w:t>
      </w:r>
    </w:p>
    <w:p>
      <w:pPr>
        <w:pStyle w:val="BodyText"/>
        <w:rPr/>
      </w:pPr>
      <w:r>
        <w:rPr/>
        <w:t>Please provide all documents pertaining to or related to any “scheduling coordinator transfers”, “Inter-SC trades”, “spread transactions” or other agreements between respondent and any purchaser/seller/counterparty for the purchase, sale, transfer of energy or capacity in the WSCC region since April 1, 1998.  Said documents should include the term of the contract, trade, relevant receipt and/or delivery points and whether the buyer/seller/counterparty is affiliated with respondent.</w:t>
      </w:r>
    </w:p>
    <w:p>
      <w:pPr>
        <w:pStyle w:val="Discovery"/>
        <w:rPr/>
      </w:pPr>
      <w:r>
        <w:rPr/>
        <w:t>RESPONSE TO REQUEST FOR PRODUCTION NO. 17:</w:t>
      </w:r>
    </w:p>
    <w:p>
      <w:pPr>
        <w:pStyle w:val="BodyText"/>
        <w:rPr/>
      </w:pPr>
      <w:r>
        <w:rPr/>
        <w:t>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Portland General also objects to this request on the grounds that it is overly broad, unduly burdensome and duplicative of other requests, especially to the extent that the Commission will be obtaining trading data for the purchase and sale of energy delivered in California from the ISO and PX.  Portland General objects to the undefined phrases “scheduling coordinator transfers,” “Inter-SC trades,” and “spread transactions,” as vague and ambiguous.</w:t>
      </w:r>
    </w:p>
    <w:p>
      <w:pPr>
        <w:pStyle w:val="BodyText"/>
        <w:rPr/>
      </w:pPr>
      <w:r>
        <w:rPr/>
        <w:t xml:space="preserve">Subject to and without waiver of any objections, on November 15, 2000, Portland General produced two diskettes (Bates Nos. P002116-02117) containing electronic transaction data for the wholesale purchase and sale of energy delivered for the year 2000.  </w:t>
      </w:r>
    </w:p>
    <w:p>
      <w:pPr>
        <w:pStyle w:val="Discovery"/>
        <w:rPr/>
      </w:pPr>
      <w:r>
        <w:rPr/>
        <w:t>REQUEST FOR PRODUCTION NO. 18:</w:t>
      </w:r>
    </w:p>
    <w:p>
      <w:pPr>
        <w:pStyle w:val="BodyText"/>
        <w:rPr/>
      </w:pPr>
      <w:r>
        <w:rPr/>
        <w:t>For each generating unit located in California, or the WSCC region, over which respondent has acquired control (e.g. purchased, leased, acted as scheduling coordinator, or otherwise possessed the right use or resell generation output), please provide the following documents for the period since the later of April 1, 1998 or the date respondent acquired control of the unit(s):</w:t>
      </w:r>
    </w:p>
    <w:p>
      <w:pPr>
        <w:pStyle w:val="bodytextnoindent"/>
        <w:numPr>
          <w:ilvl w:val="0"/>
          <w:numId w:val="11"/>
        </w:numPr>
        <w:rPr/>
      </w:pPr>
      <w:r>
        <w:rPr/>
        <w:t>Any documents which refer or relate to fuel costs (e.g., contracts for gas purchases, invoices for spot purchases of gas);</w:t>
      </w:r>
    </w:p>
    <w:p>
      <w:pPr>
        <w:pStyle w:val="bodytextnoindent"/>
        <w:numPr>
          <w:ilvl w:val="0"/>
          <w:numId w:val="11"/>
        </w:numPr>
        <w:rPr/>
      </w:pPr>
      <w:r>
        <w:rPr/>
        <w:t>Any documents which refer or relate to a unit’s heat rate (e.g. heat rate test data);</w:t>
      </w:r>
    </w:p>
    <w:p>
      <w:pPr>
        <w:pStyle w:val="bodytextnoindent"/>
        <w:numPr>
          <w:ilvl w:val="0"/>
          <w:numId w:val="11"/>
        </w:numPr>
        <w:rPr/>
      </w:pPr>
      <w:r>
        <w:rPr/>
        <w:t>Any contracts for O&amp;M services;</w:t>
      </w:r>
    </w:p>
    <w:p>
      <w:pPr>
        <w:pStyle w:val="bodytextnoindent"/>
        <w:numPr>
          <w:ilvl w:val="0"/>
          <w:numId w:val="11"/>
        </w:numPr>
        <w:rPr/>
      </w:pPr>
      <w:r>
        <w:rPr/>
        <w:t>Any documents which refer or relate to a unit’s A&amp;G costs;</w:t>
      </w:r>
    </w:p>
    <w:p>
      <w:pPr>
        <w:pStyle w:val="bodytextnoindent"/>
        <w:numPr>
          <w:ilvl w:val="0"/>
          <w:numId w:val="11"/>
        </w:numPr>
        <w:rPr/>
      </w:pPr>
      <w:r>
        <w:rPr/>
        <w:t>Any documents which refer or relate to a unit’s “start-up costs;”</w:t>
      </w:r>
    </w:p>
    <w:p>
      <w:pPr>
        <w:pStyle w:val="bodytextnoindent"/>
        <w:numPr>
          <w:ilvl w:val="0"/>
          <w:numId w:val="11"/>
        </w:numPr>
        <w:rPr/>
      </w:pPr>
      <w:r>
        <w:rPr/>
        <w:t>Any documents which refer or relate to a unit’s “no-load costs;”</w:t>
      </w:r>
    </w:p>
    <w:p>
      <w:pPr>
        <w:pStyle w:val="bodytextnoindent"/>
        <w:numPr>
          <w:ilvl w:val="0"/>
          <w:numId w:val="11"/>
        </w:numPr>
        <w:rPr/>
      </w:pPr>
      <w:r>
        <w:rPr/>
        <w:t>Any documents which refer or related to a unit’s average fixed costs, please specify depreciation schedule used;</w:t>
      </w:r>
    </w:p>
    <w:p>
      <w:pPr>
        <w:pStyle w:val="bodytextnoindent"/>
        <w:numPr>
          <w:ilvl w:val="0"/>
          <w:numId w:val="11"/>
        </w:numPr>
        <w:rPr/>
      </w:pPr>
      <w:r>
        <w:rPr/>
        <w:t>Any documents which refer or relate to a unit’s average going forward costs (for all units in addition to Regulatory Must Run or RMR units)</w:t>
      </w:r>
    </w:p>
    <w:p>
      <w:pPr>
        <w:pStyle w:val="bodytextnoindent"/>
        <w:numPr>
          <w:ilvl w:val="0"/>
          <w:numId w:val="11"/>
        </w:numPr>
        <w:rPr/>
      </w:pPr>
      <w:r>
        <w:rPr/>
        <w:t>Any documents which refer or relate to actual purchase price and seller of emissions credits, including but not limited to RECLAIM Trading Credits, or emissions offsets for all emissions credits, including but not limited to RECLAIM Trading Credits, or emissions offsets purchased;</w:t>
      </w:r>
    </w:p>
    <w:p>
      <w:pPr>
        <w:pStyle w:val="bodytextnoindent"/>
        <w:numPr>
          <w:ilvl w:val="0"/>
          <w:numId w:val="11"/>
        </w:numPr>
        <w:rPr/>
      </w:pPr>
      <w:r>
        <w:rPr/>
        <w:t>Any documents which refer or relate to data on remaining emissions credits, including but not limited to RECLAIM Trading Credits, or emissions offsets the generator owns.</w:t>
      </w:r>
    </w:p>
    <w:p>
      <w:pPr>
        <w:pStyle w:val="Discovery"/>
        <w:rPr/>
      </w:pPr>
      <w:r>
        <w:rPr/>
        <w:t>RESPONSE TO REQUEST FOR PRODUCTION NO. 18:</w:t>
      </w:r>
    </w:p>
    <w:p>
      <w:pPr>
        <w:pStyle w:val="BodyText"/>
        <w:rPr/>
      </w:pPr>
      <w:r>
        <w:rPr/>
        <w:t xml:space="preserve">Portland General objects to this request on the grounds that it is not relevant to the subject matter of this inquiry and not reasonably calculated to lead to the discovery of admissible evidence.  Portland General is a net importer of energy and can only generate about one half of its total energy demand, and therefore, its impact on the California wholesale market is necessarily limited.  Moreover, the production of the requested documents would involve a tremendous volume of documents, as Portland General owned twenty generating facilities of a variety of types and sizes during 2000.  In light of the irrelevance of this information,  Portland General objects to this request on the grounds that it is overly broad, unduly burdensome.  </w:t>
      </w:r>
    </w:p>
    <w:p>
      <w:pPr>
        <w:pStyle w:val="BodyText"/>
        <w:rPr/>
      </w:pPr>
      <w:r>
        <w:rPr/>
        <w:t xml:space="preserve">Subject to and without waiver of any objections, on October 27, 2000, Portland General produced documents pertaining to costs and expenses on a system-wide and/or aggregate basis.   </w:t>
      </w:r>
      <w:r>
        <w:rPr>
          <w:i/>
        </w:rPr>
        <w:t xml:space="preserve">See generally </w:t>
      </w:r>
      <w:r>
        <w:rPr/>
        <w:t xml:space="preserve">Bates Nos. P000001-002115. </w:t>
      </w:r>
    </w:p>
    <w:p>
      <w:pPr>
        <w:pStyle w:val="Discovery"/>
        <w:rPr/>
      </w:pPr>
      <w:r>
        <w:rPr/>
        <w:t>REQUEST FOR PRODUCTION NO. 19:</w:t>
      </w:r>
    </w:p>
    <w:p>
      <w:pPr>
        <w:pStyle w:val="BodyText"/>
        <w:rPr/>
      </w:pPr>
      <w:r>
        <w:rPr/>
        <w:t>For all energy or capacity over which respondent has had control (e.g., generating units purchased, leased, acted as scheduling coordinator, or otherwise possessed the right to use or resell generation output; energy or capacity acquired through any contract/agreement or wheeled), please provide all documents related to hourly bid and quantity data and any settlement documents, for the period April 1, 1998 to date, for all energy or capacity bid into any PX or ISO market.</w:t>
      </w:r>
    </w:p>
    <w:p>
      <w:pPr>
        <w:pStyle w:val="Discovery"/>
        <w:rPr/>
      </w:pPr>
      <w:r>
        <w:rPr/>
        <w:t>RESPONSE TO REQUEST FOR PRODUCTION NO. 19:</w:t>
      </w:r>
    </w:p>
    <w:p>
      <w:pPr>
        <w:pStyle w:val="BodyText"/>
        <w:rPr/>
      </w:pPr>
      <w:r>
        <w:rPr/>
        <w:t xml:space="preserve">Portland General objects to this request to the extent that it seeks information not available to the public on the grounds that it is not relevant to the subject matter of this inquiry and not reasonably calculated to lead to the discovery of admissible evidence.  Portland General further objects that the Commission has exceeded its jurisdiction by this request to the extent that it improperly seeks information pertaining to the wholesale energy market and to non-California activities.  Because this information is irrelevant and because this request is improper, Portland General objects that this request is overly broad and unduly burdensome.  Portland General also objects to this request on the grounds that it is overly broad, unduly burdensome and duplicative of other requests, especially to the extent that the Commission will be obtaining trading data for the purchase and sale of energy delivered in California from the ISO and PX.  </w:t>
      </w:r>
    </w:p>
    <w:p>
      <w:pPr>
        <w:pStyle w:val="BodyText"/>
        <w:rPr/>
      </w:pPr>
      <w:r>
        <w:rPr/>
        <w:t xml:space="preserve">Subject to and without waiver of any objections, on November 15, 2000, Portland General produced two diskettes (Bates Nos. P002116-02117) containing electronic transaction data for the wholesale purchase and sale of energy delivered for the year 2000.  </w:t>
      </w:r>
    </w:p>
    <w:p>
      <w:pPr>
        <w:pStyle w:val="Discovery"/>
        <w:rPr/>
      </w:pPr>
      <w:r>
        <w:rPr/>
        <w:t>REQUEST FOR PRODUCTION NO. 20:</w:t>
      </w:r>
    </w:p>
    <w:p>
      <w:pPr>
        <w:pStyle w:val="BodyText"/>
        <w:tabs>
          <w:tab w:val="clear" w:pos="720"/>
          <w:tab w:val="center" w:pos="6840" w:leader="none"/>
        </w:tabs>
        <w:rPr/>
      </w:pPr>
      <w:r>
        <w:rPr/>
        <w:t>Please provide copies of:  (a) all data requests which respondent has received from FERC in connection with FERC’s Bulk Power Investigation required by the FERC Order Directing Staff Investigation, 92 FERC  61,150 (2000)(“Bulk Power Investigation”); and (b) all responses and responsive documents which respondent has provided to FERC in connection with FERC’s Bulk Power Investigation.</w:t>
      </w:r>
    </w:p>
    <w:p>
      <w:pPr>
        <w:pStyle w:val="Discovery"/>
        <w:rPr/>
      </w:pPr>
      <w:r>
        <w:rPr/>
        <w:t>RESPONSE TO REQUEST FOR PRODUCTION NO. 20:</w:t>
      </w:r>
    </w:p>
    <w:p>
      <w:pPr>
        <w:pStyle w:val="BodyText"/>
        <w:rPr/>
      </w:pPr>
      <w:r>
        <w:rPr/>
        <w:t xml:space="preserve">As a result of the Meet and Confer Process, on October 13, 2000, the Enron Entities, including Portland General, produced the requests for data they received from FERC and, if any, the Enron Entities’ responses to those requests.  </w:t>
      </w:r>
      <w:r>
        <w:rPr>
          <w:i/>
        </w:rPr>
        <w:t xml:space="preserve">See generally </w:t>
      </w:r>
      <w:r>
        <w:rPr/>
        <w:t>Bates Nos. Enron Entities 000001-000025.</w:t>
      </w:r>
    </w:p>
    <w:p>
      <w:pPr>
        <w:pStyle w:val="Normal"/>
        <w:rPr/>
      </w:pPr>
      <w:r>
        <w:rPr/>
      </w:r>
    </w:p>
    <w:p>
      <w:pPr>
        <w:pStyle w:val="Normal"/>
        <w:rPr/>
      </w:pPr>
      <w:r>
        <w:rPr>
          <w:caps/>
        </w:rPr>
        <w:t>Dated</w:t>
      </w:r>
      <w:r>
        <w:rPr/>
        <w:t>:  November 16, 2000</w:t>
        <w:tab/>
        <w:tab/>
      </w:r>
      <w:r>
        <w:rPr>
          <w:caps/>
        </w:rPr>
        <w:t>Brobeck, Phleger &amp; Harrison LLP</w:t>
      </w:r>
    </w:p>
    <w:p>
      <w:pPr>
        <w:pStyle w:val="Normal"/>
        <w:rPr>
          <w:caps/>
        </w:rPr>
      </w:pPr>
      <w:r>
        <w:rPr>
          <w:caps/>
        </w:rPr>
      </w:r>
    </w:p>
    <w:p>
      <w:pPr>
        <w:pStyle w:val="Normal"/>
        <w:rPr>
          <w:caps/>
        </w:rPr>
      </w:pPr>
      <w:r>
        <w:rPr>
          <w:caps/>
        </w:rPr>
      </w:r>
    </w:p>
    <w:p>
      <w:pPr>
        <w:pStyle w:val="Normal"/>
        <w:rPr>
          <w:caps/>
        </w:rPr>
      </w:pPr>
      <w:r>
        <w:rPr>
          <w:caps/>
        </w:rPr>
      </w:r>
    </w:p>
    <w:p>
      <w:pPr>
        <w:pStyle w:val="Normal"/>
        <w:rPr>
          <w:caps/>
        </w:rPr>
      </w:pPr>
      <w:r>
        <w:rPr>
          <w:caps/>
        </w:rPr>
      </w:r>
    </w:p>
    <w:p>
      <w:pPr>
        <w:pStyle w:val="Normal"/>
        <w:tabs>
          <w:tab w:val="clear" w:pos="720"/>
          <w:tab w:val="left" w:pos="4320" w:leader="none"/>
          <w:tab w:val="right" w:pos="9180" w:leader="none"/>
        </w:tabs>
        <w:rPr/>
      </w:pPr>
      <w:r>
        <w:rPr/>
        <w:tab/>
        <w:t xml:space="preserve">By: </w:t>
      </w:r>
      <w:r>
        <w:rPr>
          <w:u w:val="single"/>
        </w:rPr>
        <w:t> </w:t>
        <w:tab/>
        <w:tab/>
      </w:r>
    </w:p>
    <w:p>
      <w:pPr>
        <w:pStyle w:val="Normal"/>
        <w:tabs>
          <w:tab w:val="clear" w:pos="720"/>
          <w:tab w:val="center" w:pos="6840" w:leader="none"/>
          <w:tab w:val="right" w:pos="9180" w:leader="none"/>
        </w:tabs>
        <w:rPr/>
      </w:pPr>
      <w:r>
        <w:rPr/>
        <w:tab/>
        <w:t>Gary S. Fergus</w:t>
        <w:br/>
        <w:tab/>
        <w:t>Attorneys for the Enron Entities</w:t>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SFRLIB1\P2M\5439022.01(38KRY01!.DOC)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SFRLIB1\P2M\5439022.01(38KRY01!.DOC)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rPr>
        <w:sz w:val="26"/>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color w:val="000000"/>
    </w:rPr>
  </w:style>
  <w:style w:type="character" w:styleId="WW8Num19z0">
    <w:name w:val="WW8Num19z0"/>
    <w:qFormat/>
    <w:rPr>
      <w:rFonts w:ascii="Symbol" w:hAnsi="Symbol" w:cs="Symbol"/>
    </w:rPr>
  </w:style>
  <w:style w:type="character" w:styleId="WW8Num20z0">
    <w:name w:val="WW8Num20z0"/>
    <w:qFormat/>
    <w:rPr>
      <w:b w:val="false"/>
      <w:i w:val="false"/>
      <w:sz w:val="2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lineRule="exact" w:line="480"/>
      <w:jc w:val="center"/>
      <w:outlineLvl w:val="0"/>
    </w:pPr>
    <w:rPr>
      <w:b/>
      <w:u w:val="single"/>
    </w:rPr>
  </w:style>
  <w:style w:type="paragraph" w:styleId="BodyText">
    <w:name w:val="Body Text"/>
    <w:basedOn w:val="Normal"/>
    <w:pPr>
      <w:spacing w:lineRule="exact" w:line="48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jc w:val="center"/>
    </w:pPr>
    <w:rPr>
      <w:caps/>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keepNext w:val="true"/>
      <w:spacing w:lineRule="exact" w:line="480"/>
    </w:pPr>
    <w:rPr>
      <w:b/>
      <w:caps/>
      <w:u w:val="single"/>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Style11">
    <w:name w:val="Style1"/>
    <w:basedOn w:val="BodyText"/>
    <w:qFormat/>
    <w:pPr>
      <w:numPr>
        <w:ilvl w:val="0"/>
        <w:numId w:val="12"/>
      </w:numPr>
      <w:ind w:firstLine="1440" w:start="0" w:end="0"/>
    </w:pPr>
    <w:rPr/>
  </w:style>
  <w:style w:type="paragraph" w:styleId="bodytextnoindent">
    <w:name w:val="bodytextnoindent"/>
    <w:basedOn w:val="BodyText"/>
    <w:qFormat/>
    <w:pPr>
      <w:numPr>
        <w:ilvl w:val="0"/>
        <w:numId w:val="11"/>
      </w:num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2000-11-15T22:06:00Z</dcterms:created>
  <dc:creator>P2M</dc:creator>
  <dc:description/>
  <dc:language>en-CA</dc:language>
  <cp:lastModifiedBy>Peter Meringolo</cp:lastModifiedBy>
  <cp:lastPrinted>2000-11-16T11:34:00Z</cp:lastPrinted>
  <dcterms:modified xsi:type="dcterms:W3CDTF">2000-11-16T17:13:00Z</dcterms:modified>
  <cp:revision>21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SFRLIB1\P2M\5439022.01(38KRY01!.DOC)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