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Verdana" w:hAnsi="Verdana" w:cs="Verdana"/>
          <w:b/>
          <w:sz w:val="32"/>
        </w:rPr>
      </w:pPr>
      <w:r>
        <w:rPr>
          <w:rFonts w:cs="Verdana" w:ascii="Verdana" w:hAnsi="Verdana"/>
          <w:b/>
          <w:sz w:val="32"/>
        </w:rPr>
        <w:t>California Electricity Investigations</w:t>
      </w:r>
    </w:p>
    <w:p>
      <w:pPr>
        <w:pStyle w:val="Normal"/>
        <w:jc w:val="center"/>
        <w:rPr>
          <w:rFonts w:ascii="Verdana" w:hAnsi="Verdana" w:cs="Verdana"/>
          <w:b/>
          <w:sz w:val="32"/>
        </w:rPr>
      </w:pPr>
      <w:r>
        <w:rPr>
          <w:rFonts w:cs="Verdana" w:ascii="Verdana" w:hAnsi="Verdana"/>
          <w:b/>
          <w:sz w:val="32"/>
        </w:rPr>
        <w:t>Executive Summary</w:t>
      </w:r>
    </w:p>
    <w:p>
      <w:pPr>
        <w:pStyle w:val="Normal"/>
        <w:jc w:val="center"/>
        <w:rPr>
          <w:rFonts w:ascii="Verdana" w:hAnsi="Verdana" w:cs="Verdana"/>
          <w:sz w:val="24"/>
        </w:rPr>
      </w:pPr>
      <w:r>
        <w:rPr>
          <w:rFonts w:cs="Verdana" w:ascii="Verdana" w:hAnsi="Verdana"/>
          <w:sz w:val="24"/>
        </w:rPr>
        <w:t>October 30, 2000</w:t>
      </w:r>
    </w:p>
    <w:p>
      <w:pPr>
        <w:sectPr>
          <w:footerReference w:type="default" r:id="rId2"/>
          <w:type w:val="nextPage"/>
          <w:pgSz w:w="12240" w:h="15840"/>
          <w:pgMar w:left="720" w:right="720" w:gutter="0" w:header="0" w:top="1440" w:footer="720" w:bottom="1440"/>
          <w:pgNumType w:fmt="decimal"/>
          <w:formProt w:val="false"/>
          <w:textDirection w:val="lrTb"/>
          <w:docGrid w:type="default" w:linePitch="360" w:charSpace="0"/>
        </w:sectPr>
      </w:pPr>
    </w:p>
    <w:p>
      <w:pPr>
        <w:pStyle w:val="Normal"/>
        <w:jc w:val="both"/>
        <w:rPr/>
      </w:pPr>
      <w:r>
        <w:rPr>
          <w:rFonts w:cs="Verdana" w:ascii="Verdana" w:hAnsi="Verdana"/>
          <w:b/>
          <w:sz w:val="24"/>
        </w:rPr>
        <w:t>Overview</w:t>
      </w:r>
      <w:r>
        <w:rPr>
          <w:rFonts w:cs="Verdana" w:ascii="Verdana" w:hAnsi="Verdana"/>
          <w:sz w:val="24"/>
        </w:rPr>
        <w:t xml:space="preserve"> As a result of the high electrical energy prices in California during the summer of 2000, Enron is aware of at least six separate investigations by governmental entities:  FERC, California PUC, United States General Accounting Office, California Controller, the California Legislature and California State Attorney General.  At least one PUC commissioner has stated publicly that it is the Commission’s goal to extract profits from market participants to pay for high energy prices.  On October 27th, PG&amp;E filed an application to pass on $3.0 billion dollars in electrical costs to ratepayers. </w:t>
      </w:r>
    </w:p>
    <w:p>
      <w:pPr>
        <w:pStyle w:val="Normal"/>
        <w:ind w:firstLine="720" w:end="0"/>
        <w:jc w:val="both"/>
        <w:rPr>
          <w:rFonts w:ascii="Verdana" w:hAnsi="Verdana" w:cs="Verdana"/>
          <w:sz w:val="24"/>
        </w:rPr>
      </w:pPr>
      <w:r>
        <w:rPr>
          <w:rFonts w:cs="Verdana" w:ascii="Verdana" w:hAnsi="Verdana"/>
          <w:sz w:val="24"/>
        </w:rPr>
        <w:t>You have asked us to consider what legal theories these various investigators or others might use against Enron to establish civil or criminal liability.  Because we do not have a detailed understanding of all of the transactions that occurred during the summer of 2000, a large portion of our analysis is necessarily theoretical.  We do not attempt to speculate on specific Enron fact patterns here.  Instead, we provide here a broad brush overview focusing on the wholesale market and discuss particular theories in detail below.</w:t>
      </w:r>
    </w:p>
    <w:p>
      <w:pPr>
        <w:pStyle w:val="Normal"/>
        <w:jc w:val="both"/>
        <w:rPr/>
      </w:pPr>
      <w:r>
        <w:rPr>
          <w:rFonts w:cs="Verdana" w:ascii="Verdana" w:hAnsi="Verdana"/>
          <w:b/>
          <w:sz w:val="24"/>
        </w:rPr>
        <w:t>Summary of Predominant Legal Theories</w:t>
      </w:r>
      <w:r>
        <w:rPr>
          <w:rFonts w:cs="Verdana" w:ascii="Verdana" w:hAnsi="Verdana"/>
          <w:sz w:val="24"/>
        </w:rPr>
        <w:t xml:space="preserve"> Most of the legal theories we considered have a common theme – conduct in the market that is deemed to be deceptive,  fraudulent or have improperly influenced the price of electricity.  </w:t>
        <w:tab/>
        <w:t xml:space="preserve">Assuming that there is no preemption by FERC (discussed below), then the most likely legal theories for most claimants will be (1) federal and state antitrust claims for either price fixing or collusive behavior with other market participants to affect price; and (2) California state unfair competition law, Business and Professions Code §17200.   If Enron is found to have engaged in deceptive or fraudulent practices, there is also the risk of other criminal legal theories such as wire fraud, RICO, fraud involving markets and fictitious commodity transactions.  In addition, depending upon the conduct, there may be the potential for criminal charges prosecuted against both individuals and the company.  </w:t>
      </w:r>
    </w:p>
    <w:p>
      <w:pPr>
        <w:pStyle w:val="Normal"/>
        <w:ind w:firstLine="720" w:end="0"/>
        <w:jc w:val="both"/>
        <w:rPr/>
      </w:pPr>
      <w:r>
        <w:rPr>
          <w:rFonts w:cs="Verdana" w:ascii="Verdana" w:hAnsi="Verdana"/>
          <w:sz w:val="24"/>
        </w:rPr>
        <w:t xml:space="preserve">On the other hand, if the company has profited </w:t>
      </w:r>
      <w:r>
        <w:rPr>
          <w:rFonts w:cs="Verdana" w:ascii="Verdana" w:hAnsi="Verdana"/>
          <w:b/>
          <w:i/>
          <w:sz w:val="24"/>
        </w:rPr>
        <w:t>solely</w:t>
      </w:r>
      <w:r>
        <w:rPr>
          <w:rFonts w:cs="Verdana" w:ascii="Verdana" w:hAnsi="Verdana"/>
          <w:sz w:val="24"/>
        </w:rPr>
        <w:t xml:space="preserve"> because of its skill, by accident or the result of a regulatory scheme created by others, it is unlikely that these legal theories will be successful ultimately.  Given the amount of money at stake (reported to be between 3 and 4 billion), we believe it is safe to assume that many potential claimants will believe it worthwhile to look long and hard  before reaching a conclusion as to where Enron’s conduct falls on the continuum.  </w:t>
      </w:r>
    </w:p>
    <w:p>
      <w:pPr>
        <w:pStyle w:val="Normal"/>
        <w:ind w:firstLine="720" w:end="0"/>
        <w:jc w:val="both"/>
        <w:rPr>
          <w:rFonts w:ascii="Verdana" w:hAnsi="Verdana" w:cs="Verdana"/>
          <w:sz w:val="24"/>
        </w:rPr>
      </w:pPr>
      <w:r>
        <w:rPr>
          <w:rFonts w:cs="Verdana" w:ascii="Verdana" w:hAnsi="Verdana"/>
          <w:sz w:val="24"/>
        </w:rPr>
        <w:t>There is the possibility that some claimants and legal theories will be preempted because of FERC’s primary jurisdiction over the wholesale market.  For purposes of this analysis, we have assumed that if FERC’s jurisdiction preempts all other federal and state claims, then Enron is in somewhat uncharted waters.  Historically FERC has taken the view that it can not retroactively change rates it has approved.  If that view prevails, then it would seem unlikely that FERC would require some form of disgorgement of profits or payment of damages.</w:t>
      </w:r>
    </w:p>
    <w:p>
      <w:pPr>
        <w:pStyle w:val="Normal"/>
        <w:jc w:val="both"/>
        <w:rPr/>
      </w:pPr>
      <w:r>
        <w:rPr>
          <w:rFonts w:cs="Verdana" w:ascii="Verdana" w:hAnsi="Verdana"/>
          <w:b/>
          <w:sz w:val="24"/>
        </w:rPr>
        <w:t>Potential Claimants</w:t>
      </w:r>
      <w:r>
        <w:rPr>
          <w:rFonts w:cs="Verdana" w:ascii="Verdana" w:hAnsi="Verdana"/>
          <w:sz w:val="24"/>
        </w:rPr>
        <w:t xml:space="preserve"> Enron potentially could face claims from the federal government in the form of FERC or the Justice Department, state governments in the WSCC region, market participants as well as commercial and retail customers under  the above described federal and state regulatory, statutory and common law theories.</w:t>
      </w:r>
    </w:p>
    <w:p>
      <w:pPr>
        <w:pStyle w:val="Normal"/>
        <w:jc w:val="both"/>
        <w:rPr/>
      </w:pPr>
      <w:r>
        <w:rPr>
          <w:rFonts w:cs="Verdana" w:ascii="Verdana" w:hAnsi="Verdana"/>
          <w:b/>
          <w:sz w:val="24"/>
        </w:rPr>
        <w:t>Summary</w:t>
      </w:r>
      <w:r>
        <w:rPr>
          <w:rFonts w:cs="Verdana" w:ascii="Verdana" w:hAnsi="Verdana"/>
          <w:sz w:val="24"/>
        </w:rPr>
        <w:t xml:space="preserve"> We believe it is imperative that Enron understand in detail what evidence exists with respect to its conduct in the California electricity market as soon as possible.  Many of the legal theories described above are dependent upon the intent of the participants and whether there were any redeeming purposes for the conduct in question.  With the passage of time it may be difficult for Enron to establish the state of mind at the time of the conduct.  Moreover, given the diverse group of potential claimants with the incentive to prove illegal intent,    we believe that Enron must take steps to understand its overall position and evidence that is available now.  Even if the company is able to prevail on every legal theory in the end, the company may soon find itself in the position of having to prove its position in many different forums. </w:t>
      </w:r>
    </w:p>
    <w:p>
      <w:pPr>
        <w:pStyle w:val="BodyText"/>
        <w:tabs>
          <w:tab w:val="clear" w:pos="720"/>
          <w:tab w:val="left" w:pos="3510" w:leader="none"/>
        </w:tabs>
        <w:ind w:hanging="0" w:end="0"/>
        <w:jc w:val="both"/>
        <w:rPr>
          <w:rFonts w:ascii="Verdana" w:hAnsi="Verdana" w:cs="Verdana"/>
          <w:b/>
          <w:sz w:val="24"/>
        </w:rPr>
      </w:pPr>
      <w:r>
        <w:rPr>
          <w:rFonts w:cs="Verdana" w:ascii="Verdana" w:hAnsi="Verdana"/>
          <w:b/>
          <w:sz w:val="24"/>
        </w:rPr>
      </w:r>
    </w:p>
    <w:p>
      <w:pPr>
        <w:pStyle w:val="Normal"/>
        <w:rPr>
          <w:rFonts w:ascii="Verdana" w:hAnsi="Verdana" w:cs="Verdana"/>
          <w:sz w:val="24"/>
        </w:rPr>
      </w:pPr>
      <w:r>
        <w:rPr>
          <w:rFonts w:cs="Verdana" w:ascii="Verdana" w:hAnsi="Verdana"/>
          <w:sz w:val="24"/>
        </w:rPr>
        <w:t>October 30, 2000</w:t>
      </w:r>
    </w:p>
    <w:p>
      <w:pPr>
        <w:pStyle w:val="Normal"/>
        <w:rPr>
          <w:rFonts w:ascii="Verdana" w:hAnsi="Verdana" w:cs="Verdana"/>
          <w:sz w:val="24"/>
        </w:rPr>
      </w:pPr>
      <w:r>
        <w:rPr>
          <w:rFonts w:cs="Verdana" w:ascii="Verdana" w:hAnsi="Verdana"/>
          <w:sz w:val="24"/>
        </w:rPr>
        <w:t>Gary Fergus</w:t>
      </w:r>
    </w:p>
    <w:p>
      <w:pPr>
        <w:pStyle w:val="Normal"/>
        <w:rPr>
          <w:b/>
        </w:rPr>
      </w:pPr>
      <w:r>
        <w:rPr>
          <w:rFonts w:cs="Verdana" w:ascii="Verdana" w:hAnsi="Verdana"/>
          <w:sz w:val="24"/>
        </w:rPr>
        <w:t>Peter Meringolo</w:t>
      </w:r>
      <w:r>
        <w:br w:type="page"/>
      </w:r>
    </w:p>
    <w:p>
      <w:pPr>
        <w:pStyle w:val="Normal"/>
        <w:rPr/>
      </w:pPr>
      <w:r>
        <w:rPr>
          <w:rFonts w:cs="Verdana" w:ascii="Verdana" w:hAnsi="Verdana"/>
          <w:b/>
          <w:sz w:val="24"/>
        </w:rPr>
        <w:t>Summary of the Rumors</w:t>
      </w:r>
      <w:r>
        <w:rPr/>
        <w:t xml:space="preserve"> </w:t>
      </w:r>
    </w:p>
    <w:p>
      <w:pPr>
        <w:pStyle w:val="BodyText"/>
        <w:numPr>
          <w:ilvl w:val="0"/>
          <w:numId w:val="2"/>
        </w:numPr>
        <w:tabs>
          <w:tab w:val="clear" w:pos="720"/>
          <w:tab w:val="left" w:pos="3510" w:leader="none"/>
        </w:tabs>
        <w:spacing w:lineRule="exact" w:line="240"/>
        <w:jc w:val="both"/>
        <w:rPr>
          <w:rFonts w:ascii="Verdana" w:hAnsi="Verdana" w:cs="Verdana"/>
        </w:rPr>
      </w:pPr>
      <w:r>
        <w:rPr>
          <w:rFonts w:cs="Verdana" w:ascii="Verdana" w:hAnsi="Verdana"/>
        </w:rPr>
        <w:t xml:space="preserve">According to an October 13, 2000 press release, the California Attorney General is investigating Reliant for price gouging.  </w:t>
      </w:r>
    </w:p>
    <w:p>
      <w:pPr>
        <w:pStyle w:val="BodyText"/>
        <w:numPr>
          <w:ilvl w:val="0"/>
          <w:numId w:val="2"/>
        </w:numPr>
        <w:spacing w:lineRule="exact" w:line="240"/>
        <w:jc w:val="both"/>
        <w:rPr>
          <w:rFonts w:ascii="Verdana" w:hAnsi="Verdana" w:cs="Verdana"/>
        </w:rPr>
      </w:pPr>
      <w:r>
        <w:rPr>
          <w:rFonts w:cs="Verdana" w:ascii="Verdana" w:hAnsi="Verdana"/>
        </w:rPr>
        <w:t xml:space="preserve">Senator Steve Peace, in a letter to FERC dated October 3, 2000, alleges, among other things, that: marketers employ “anti-competitive practices” (p. 2, ¶ (1)); scheduling coordinators foster and facilitate collusive trading or bidding behavior (p. 2, ¶ (2)); sophisticated market participants influence market-clearing prices (p. 2, ¶ (3) and (5)); illegal market coordination between regulated and unregulated entities within the same holding company (p. 3, ¶ (6)); and, generally, illegal and unethical behavior of market participants (p. 3, ¶ (7)).  </w:t>
      </w:r>
    </w:p>
    <w:p>
      <w:pPr>
        <w:pStyle w:val="BodyText"/>
        <w:numPr>
          <w:ilvl w:val="0"/>
          <w:numId w:val="2"/>
        </w:numPr>
        <w:spacing w:lineRule="exact" w:line="240"/>
        <w:jc w:val="both"/>
        <w:rPr>
          <w:rFonts w:ascii="Verdana" w:hAnsi="Verdana" w:cs="Verdana"/>
        </w:rPr>
      </w:pPr>
      <w:r>
        <w:rPr>
          <w:rFonts w:cs="Verdana" w:ascii="Verdana" w:hAnsi="Verdana"/>
        </w:rPr>
        <w:t>The California Attorney General has specifically subpoenaed ISO records regarding ricochet transactions (forward exports matched with out-of-market imports.)</w:t>
      </w:r>
    </w:p>
    <w:p>
      <w:pPr>
        <w:pStyle w:val="BodyText"/>
        <w:numPr>
          <w:ilvl w:val="0"/>
          <w:numId w:val="2"/>
        </w:numPr>
        <w:spacing w:lineRule="exact" w:line="240"/>
        <w:jc w:val="both"/>
        <w:rPr>
          <w:rFonts w:ascii="Verdana" w:hAnsi="Verdana" w:cs="Verdana"/>
        </w:rPr>
      </w:pPr>
      <w:r>
        <w:rPr>
          <w:rFonts w:cs="Verdana" w:ascii="Verdana" w:hAnsi="Verdana"/>
        </w:rPr>
        <w:t>Rumors suggest that the Attorney General will soon be instituting a criminal investigation of Enron.</w:t>
      </w:r>
      <w:r>
        <w:rPr>
          <w:rStyle w:val="FootnoteCharacters"/>
          <w:rStyle w:val="FootnoteReference"/>
          <w:rFonts w:cs="Verdana" w:ascii="Verdana" w:hAnsi="Verdana"/>
        </w:rPr>
        <w:footnoteReference w:id="2"/>
      </w:r>
      <w:r>
        <w:rPr>
          <w:rFonts w:cs="Verdana" w:ascii="Verdana" w:hAnsi="Verdana"/>
        </w:rPr>
        <w:t xml:space="preserve">  Specifics of any investigation are unknown at this time.  </w:t>
      </w:r>
    </w:p>
    <w:p>
      <w:pPr>
        <w:pStyle w:val="Normal"/>
        <w:keepNext w:val="true"/>
        <w:keepLines/>
        <w:tabs>
          <w:tab w:val="left" w:pos="360" w:leader="none"/>
          <w:tab w:val="left" w:pos="720" w:leader="none"/>
        </w:tabs>
        <w:spacing w:before="0" w:after="240"/>
        <w:ind w:hanging="720" w:start="720" w:end="0"/>
        <w:jc w:val="both"/>
        <w:rPr>
          <w:rFonts w:ascii="Verdana" w:hAnsi="Verdana" w:cs="Verdana"/>
          <w:b/>
          <w:color w:val="000000"/>
          <w:sz w:val="24"/>
          <w:lang w:eastAsia="en-US"/>
        </w:rPr>
      </w:pPr>
      <w:r>
        <w:rPr>
          <w:rFonts w:cs="Verdana" w:ascii="Verdana" w:hAnsi="Verdana"/>
          <w:b/>
          <w:color w:val="000000"/>
          <w:sz w:val="24"/>
          <w:lang w:eastAsia="en-US"/>
        </w:rPr>
        <w:t>California &amp; Federal Antitrust Laws.</w:t>
      </w:r>
    </w:p>
    <w:p>
      <w:pPr>
        <w:pStyle w:val="Normal"/>
        <w:spacing w:before="0" w:after="240"/>
        <w:ind w:firstLine="720" w:end="0"/>
        <w:jc w:val="both"/>
        <w:rPr>
          <w:rFonts w:ascii="Verdana" w:hAnsi="Verdana" w:cs="Verdana"/>
          <w:sz w:val="24"/>
          <w:lang w:eastAsia="en-US"/>
        </w:rPr>
      </w:pPr>
      <w:r>
        <w:rPr>
          <w:rFonts w:cs="Verdana" w:ascii="Verdana" w:hAnsi="Verdana"/>
          <w:sz w:val="24"/>
          <w:lang w:eastAsia="en-US"/>
        </w:rPr>
        <w:t xml:space="preserve">Violations of California antitrust laws (the “Cartwright Act”) and Federal antitrust laws (the “Sherman Act”) expose a defendant to both civil liability and criminal penalties.  The Cartwright Act and the Sherman Act are substantially similar.  </w:t>
      </w:r>
    </w:p>
    <w:p>
      <w:pPr>
        <w:pStyle w:val="BodyText"/>
        <w:spacing w:lineRule="exact" w:line="240"/>
        <w:ind w:hanging="0" w:end="0"/>
        <w:jc w:val="both"/>
        <w:rPr>
          <w:rFonts w:ascii="Verdana" w:hAnsi="Verdana" w:eastAsia="Verdana" w:cs="Verdana"/>
        </w:rPr>
      </w:pPr>
      <w:r>
        <w:rPr>
          <w:rFonts w:eastAsia="Verdana" w:cs="Verdana" w:ascii="Verdana" w:hAnsi="Verdana"/>
        </w:rPr>
        <w:t xml:space="preserve"> </w:t>
      </w:r>
    </w:p>
    <w:p>
      <w:pPr>
        <w:pStyle w:val="Normal"/>
        <w:spacing w:before="0" w:after="240"/>
        <w:ind w:firstLine="720" w:end="0"/>
        <w:jc w:val="both"/>
        <w:rPr/>
      </w:pPr>
      <w:r>
        <w:rPr>
          <w:rFonts w:cs="Verdana" w:ascii="Verdana" w:hAnsi="Verdana"/>
          <w:sz w:val="24"/>
          <w:lang w:eastAsia="en-US"/>
        </w:rPr>
        <w:t xml:space="preserve">Most relevant to the present situation, antitrust laws prohibit agreements or combinations amongst competitors which restrain trade.  </w:t>
      </w:r>
      <w:r>
        <w:rPr>
          <w:rFonts w:cs="Verdana" w:ascii="Verdana" w:hAnsi="Verdana"/>
          <w:i/>
          <w:sz w:val="24"/>
          <w:lang w:eastAsia="en-US"/>
        </w:rPr>
        <w:t xml:space="preserve">See </w:t>
      </w:r>
      <w:r>
        <w:rPr>
          <w:rFonts w:cs="Verdana" w:ascii="Verdana" w:hAnsi="Verdana"/>
          <w:sz w:val="24"/>
          <w:lang w:eastAsia="en-US"/>
        </w:rPr>
        <w:t xml:space="preserve">Cal. Bus. &amp; Prof. Code § 16720; 15 U.S.C. § 1.  </w:t>
      </w:r>
      <w:r>
        <w:rPr>
          <w:rFonts w:cs="Verdana" w:ascii="Verdana" w:hAnsi="Verdana"/>
          <w:sz w:val="24"/>
        </w:rPr>
        <w:t xml:space="preserve">Defendant’s conduct must be wrongful acts aimed at improperly restraining competition such as price fixing or any other unreasonable restraint of trade.  </w:t>
      </w:r>
      <w:r>
        <w:rPr>
          <w:rFonts w:cs="Verdana" w:ascii="Verdana" w:hAnsi="Verdana"/>
          <w:i/>
          <w:sz w:val="24"/>
        </w:rPr>
        <w:t xml:space="preserve">See </w:t>
      </w:r>
      <w:r>
        <w:rPr>
          <w:rFonts w:cs="Verdana" w:ascii="Verdana" w:hAnsi="Verdana"/>
          <w:sz w:val="24"/>
        </w:rPr>
        <w:t xml:space="preserve">California Antitrust Law Jury Instructions, Instruction No. 2.6.  The “other” category is “limited only by bounds of human ingenuity.”  </w:t>
      </w:r>
      <w:r>
        <w:rPr>
          <w:rFonts w:cs="Verdana" w:ascii="Verdana" w:hAnsi="Verdana"/>
          <w:i/>
          <w:sz w:val="24"/>
        </w:rPr>
        <w:t xml:space="preserve">See </w:t>
      </w:r>
      <w:r>
        <w:rPr>
          <w:rFonts w:cs="Verdana" w:ascii="Verdana" w:hAnsi="Verdana"/>
          <w:sz w:val="24"/>
        </w:rPr>
        <w:t xml:space="preserve">Instruction No. 2.6, cmt.  </w:t>
      </w:r>
      <w:r>
        <w:rPr>
          <w:rFonts w:cs="Verdana" w:ascii="Verdana" w:hAnsi="Verdana"/>
          <w:sz w:val="24"/>
          <w:lang w:eastAsia="en-US"/>
        </w:rPr>
        <w:t>Such agreements are either illegal per se or violate the “rule of reason.”</w:t>
      </w:r>
    </w:p>
    <w:p>
      <w:pPr>
        <w:pStyle w:val="Normal"/>
        <w:spacing w:before="0" w:after="240"/>
        <w:jc w:val="both"/>
        <w:rPr/>
      </w:pPr>
      <w:r>
        <w:rPr>
          <w:rFonts w:cs="Verdana" w:ascii="Verdana" w:hAnsi="Verdana"/>
          <w:sz w:val="24"/>
          <w:u w:val="single"/>
          <w:lang w:eastAsia="en-US"/>
        </w:rPr>
        <w:t>Illegal per se agreements</w:t>
      </w:r>
      <w:r>
        <w:rPr>
          <w:rFonts w:cs="Verdana" w:ascii="Verdana" w:hAnsi="Verdana"/>
          <w:sz w:val="24"/>
          <w:lang w:eastAsia="en-US"/>
        </w:rPr>
        <w:t xml:space="preserve">.  Any agreement or combination formed for the purpose or with the effect of raising, depressing, fixing, pegging, or stabilizing the price of a commodity is illegal per se.  </w:t>
      </w:r>
      <w:r>
        <w:rPr>
          <w:rFonts w:cs="Verdana" w:ascii="Verdana" w:hAnsi="Verdana"/>
          <w:i/>
          <w:sz w:val="24"/>
          <w:lang w:eastAsia="en-US"/>
        </w:rPr>
        <w:t xml:space="preserve">See </w:t>
      </w:r>
      <w:r>
        <w:rPr>
          <w:rFonts w:cs="Verdana" w:ascii="Verdana" w:hAnsi="Verdana"/>
          <w:sz w:val="24"/>
          <w:lang w:eastAsia="en-US"/>
        </w:rPr>
        <w:t xml:space="preserve">Cal. Bus. &amp; Prof. Code § 16720.  </w:t>
      </w:r>
      <w:r>
        <w:rPr>
          <w:rFonts w:cs="Verdana" w:ascii="Verdana" w:hAnsi="Verdana"/>
          <w:i/>
          <w:sz w:val="24"/>
          <w:lang w:eastAsia="en-US"/>
        </w:rPr>
        <w:t>See also United States v. Socony-Vacuum Oil Co.</w:t>
      </w:r>
      <w:r>
        <w:rPr>
          <w:rFonts w:cs="Verdana" w:ascii="Verdana" w:hAnsi="Verdana"/>
          <w:sz w:val="24"/>
          <w:lang w:eastAsia="en-US"/>
        </w:rPr>
        <w:t xml:space="preserve">, 310 U.S. 150, 223-224 (1940).  In </w:t>
      </w:r>
      <w:r>
        <w:rPr>
          <w:rFonts w:cs="Verdana" w:ascii="Verdana" w:hAnsi="Verdana"/>
          <w:i/>
          <w:sz w:val="24"/>
          <w:lang w:eastAsia="en-US"/>
        </w:rPr>
        <w:t>Socony-Vacuum</w:t>
      </w:r>
      <w:r>
        <w:rPr>
          <w:rFonts w:cs="Verdana" w:ascii="Verdana" w:hAnsi="Verdana"/>
          <w:sz w:val="24"/>
          <w:lang w:eastAsia="en-US"/>
        </w:rPr>
        <w:t xml:space="preserve">, certain companies agreed to buy excess gasoline produced from small refineries.  This excess gasoline caused wholesale prices to drop dramatically.  The defendants agreed to purchase this excess gasoline and hold onto it until it would no longer depress the wholesale price.  The Supreme Court held this agreement to be illegal per se.  The power to fix prices exists can be shown “if as a result of market conditions, the resources available to the combinations, the timing and the strategic placement of orders and the like, effective means are at hand to accomplish the desired objective.”  </w:t>
      </w:r>
      <w:r>
        <w:rPr>
          <w:rFonts w:cs="Verdana" w:ascii="Verdana" w:hAnsi="Verdana"/>
          <w:i/>
          <w:sz w:val="24"/>
          <w:lang w:eastAsia="en-US"/>
        </w:rPr>
        <w:t xml:space="preserve">Id.  </w:t>
      </w:r>
      <w:r>
        <w:rPr>
          <w:rFonts w:cs="Verdana" w:ascii="Verdana" w:hAnsi="Verdana"/>
          <w:sz w:val="24"/>
          <w:lang w:eastAsia="en-US"/>
        </w:rPr>
        <w:t xml:space="preserve">When concerted activity has “an obvious risk of anti-competitive impact with no apparent potentially redeeming value, the fact that a practice may turn out to be harmless in a particular set of instances will not prevent its being declared unlawful per se.”  </w:t>
      </w:r>
      <w:r>
        <w:rPr>
          <w:rFonts w:cs="Verdana" w:ascii="Verdana" w:hAnsi="Verdana"/>
          <w:i/>
          <w:sz w:val="24"/>
          <w:lang w:eastAsia="en-US"/>
        </w:rPr>
        <w:t>See Catalano, Inc. v. Target Sales, Inc.</w:t>
      </w:r>
      <w:r>
        <w:rPr>
          <w:rFonts w:cs="Verdana" w:ascii="Verdana" w:hAnsi="Verdana"/>
          <w:sz w:val="24"/>
          <w:lang w:eastAsia="en-US"/>
        </w:rPr>
        <w:t>, 446 U.S. 643 (1980).</w:t>
      </w:r>
    </w:p>
    <w:p>
      <w:pPr>
        <w:pStyle w:val="BodyText"/>
        <w:spacing w:lineRule="exact" w:line="240"/>
        <w:ind w:firstLine="720" w:end="0"/>
        <w:jc w:val="both"/>
        <w:rPr>
          <w:rFonts w:ascii="Verdana" w:hAnsi="Verdana" w:cs="Verdana"/>
        </w:rPr>
      </w:pPr>
      <w:r>
        <w:rPr>
          <w:rFonts w:cs="Verdana" w:ascii="Verdana" w:hAnsi="Verdana"/>
        </w:rPr>
        <w:t xml:space="preserve">For example, if the attorney general were able to prove that Enron traders in their discussions with other traders were in some fashion signaling steps that Enron was taking in response to market conditions, that might give rise to a price fixing allegation, especially if the steps taken were of “no apparent redeeming value.” </w:t>
      </w:r>
    </w:p>
    <w:p>
      <w:pPr>
        <w:pStyle w:val="Normal"/>
        <w:spacing w:before="0" w:after="240"/>
        <w:jc w:val="both"/>
        <w:rPr/>
      </w:pPr>
      <w:r>
        <w:rPr>
          <w:rFonts w:cs="Verdana" w:ascii="Verdana" w:hAnsi="Verdana"/>
          <w:sz w:val="24"/>
          <w:u w:val="single"/>
          <w:lang w:eastAsia="en-US"/>
        </w:rPr>
        <w:t>“</w:t>
      </w:r>
      <w:r>
        <w:rPr>
          <w:rFonts w:cs="Verdana" w:ascii="Verdana" w:hAnsi="Verdana"/>
          <w:sz w:val="24"/>
          <w:u w:val="single"/>
          <w:lang w:eastAsia="en-US"/>
        </w:rPr>
        <w:t>Rule of Reason” Agreements</w:t>
      </w:r>
      <w:r>
        <w:rPr>
          <w:rFonts w:cs="Verdana" w:ascii="Verdana" w:hAnsi="Verdana"/>
          <w:sz w:val="24"/>
          <w:lang w:eastAsia="en-US"/>
        </w:rPr>
        <w:t xml:space="preserve">.  Other types of agreements may violate the rule of reason, i.e, do the anti-competitive effects of the agreement outweigh the pro-competitive benefits.  Types of combinations in which courts have applied this analysis include agreements to exchange market information.  The sharing of market information, price announcements, and informal agreements to share price information, can violate antitrust laws, especially where evidence shows that competitors “agreed, implicitly or explicitly, to create market conditions that would facilitate tacit or express market coordination.”  </w:t>
      </w:r>
      <w:r>
        <w:rPr>
          <w:rFonts w:cs="Verdana" w:ascii="Verdana" w:hAnsi="Verdana"/>
          <w:i/>
          <w:sz w:val="24"/>
          <w:lang w:eastAsia="en-US"/>
        </w:rPr>
        <w:t>See</w:t>
      </w:r>
      <w:r>
        <w:rPr>
          <w:rFonts w:cs="Verdana" w:ascii="Verdana" w:hAnsi="Verdana"/>
          <w:sz w:val="24"/>
          <w:lang w:eastAsia="en-US"/>
        </w:rPr>
        <w:t xml:space="preserve"> </w:t>
      </w:r>
      <w:r>
        <w:rPr>
          <w:rFonts w:cs="Verdana" w:ascii="Verdana" w:hAnsi="Verdana"/>
          <w:i/>
          <w:sz w:val="24"/>
          <w:lang w:eastAsia="en-US"/>
        </w:rPr>
        <w:t xml:space="preserve">In re Coordinated Pretrial Proceedings in Petroleum Prods. Antitrust Litig., </w:t>
      </w:r>
      <w:r>
        <w:rPr>
          <w:rFonts w:cs="Verdana" w:ascii="Verdana" w:hAnsi="Verdana"/>
          <w:sz w:val="24"/>
          <w:lang w:eastAsia="en-US"/>
        </w:rPr>
        <w:t>906 F.2d 432, 448 (9th Cir. 1990).</w:t>
      </w:r>
      <w:r>
        <w:rPr>
          <w:rFonts w:cs="Verdana" w:ascii="Verdana" w:hAnsi="Verdana"/>
          <w:i/>
          <w:sz w:val="24"/>
          <w:lang w:eastAsia="en-US"/>
        </w:rPr>
        <w:t xml:space="preserve"> </w:t>
      </w:r>
      <w:r>
        <w:rPr>
          <w:rFonts w:cs="Verdana" w:ascii="Verdana" w:hAnsi="Verdana"/>
          <w:sz w:val="24"/>
          <w:lang w:eastAsia="en-US"/>
        </w:rPr>
        <w:t xml:space="preserve"> </w:t>
      </w:r>
      <w:r>
        <w:rPr>
          <w:sz w:val="24"/>
          <w:lang w:eastAsia="en-US"/>
        </w:rPr>
        <w:t xml:space="preserve"> </w:t>
      </w:r>
      <w:r>
        <w:rPr>
          <w:rFonts w:cs="Verdana" w:ascii="Verdana" w:hAnsi="Verdana"/>
          <w:sz w:val="24"/>
          <w:lang w:eastAsia="en-US"/>
        </w:rPr>
        <w:t xml:space="preserve">In that case, the Ninth Circuit held that the publication of wholesale price increases with the intent that competitors would follow the move, especially where the intended effect was achieved, may be enough for a jury to find a violation of antitrust laws.  </w:t>
      </w:r>
      <w:r>
        <w:rPr>
          <w:rFonts w:cs="Verdana" w:ascii="Verdana" w:hAnsi="Verdana"/>
          <w:i/>
          <w:sz w:val="24"/>
          <w:lang w:eastAsia="en-US"/>
        </w:rPr>
        <w:t xml:space="preserve">Id.  </w:t>
      </w:r>
      <w:r>
        <w:rPr>
          <w:rFonts w:cs="Verdana" w:ascii="Verdana" w:hAnsi="Verdana"/>
          <w:sz w:val="24"/>
          <w:lang w:eastAsia="en-US"/>
        </w:rPr>
        <w:t xml:space="preserve">(Here, of course, a FERC mandated procedure causes the publication of wholesale prices.)  </w:t>
      </w:r>
    </w:p>
    <w:p>
      <w:pPr>
        <w:pStyle w:val="Normal"/>
        <w:spacing w:before="0" w:after="240"/>
        <w:jc w:val="both"/>
        <w:rPr>
          <w:rFonts w:ascii="Verdana" w:hAnsi="Verdana" w:cs="Verdana"/>
          <w:sz w:val="24"/>
          <w:lang w:eastAsia="en-US"/>
        </w:rPr>
      </w:pPr>
      <w:r>
        <w:rPr>
          <w:rFonts w:cs="Verdana" w:ascii="Verdana" w:hAnsi="Verdana"/>
          <w:sz w:val="24"/>
          <w:lang w:eastAsia="en-US"/>
        </w:rPr>
        <w:tab/>
        <w:t xml:space="preserve">Even if the attorney general cannot show price fixing, to the extent that the attorney general can show a sharing of information intended to create market coordination, Enron must be prepared to show that any benefits outweigh anti-competitive effects, i.e. higher wholesale prices.  </w:t>
      </w:r>
    </w:p>
    <w:p>
      <w:pPr>
        <w:pStyle w:val="BodyText"/>
        <w:spacing w:lineRule="exact" w:line="240"/>
        <w:ind w:firstLine="360" w:end="0"/>
        <w:jc w:val="both"/>
        <w:rPr/>
      </w:pPr>
      <w:r>
        <w:rPr>
          <w:rFonts w:cs="Verdana" w:ascii="Verdana" w:hAnsi="Verdana"/>
          <w:u w:val="single"/>
          <w:lang w:eastAsia="en-US"/>
        </w:rPr>
        <w:t>Civil Damages</w:t>
      </w:r>
      <w:r>
        <w:rPr>
          <w:rFonts w:cs="Verdana" w:ascii="Verdana" w:hAnsi="Verdana"/>
          <w:lang w:eastAsia="en-US"/>
        </w:rPr>
        <w:t xml:space="preserve">.  The California Attorney General, United States Department of Justice or a private litigant can recover treble damages, interest on damages, costs and reasonable attorney’s fees.  </w:t>
      </w:r>
      <w:r>
        <w:rPr>
          <w:rFonts w:cs="Verdana" w:ascii="Verdana" w:hAnsi="Verdana"/>
          <w:i/>
          <w:lang w:eastAsia="en-US"/>
        </w:rPr>
        <w:t xml:space="preserve">See </w:t>
      </w:r>
      <w:r>
        <w:rPr>
          <w:rFonts w:cs="Verdana" w:ascii="Verdana" w:hAnsi="Verdana"/>
          <w:lang w:eastAsia="en-US"/>
        </w:rPr>
        <w:t xml:space="preserve">Cal. Bus. &amp; Prof. Code §§ 16760(a)(2) and 16761.  </w:t>
      </w:r>
      <w:r>
        <w:rPr>
          <w:rFonts w:cs="Verdana" w:ascii="Verdana" w:hAnsi="Verdana"/>
          <w:i/>
          <w:lang w:eastAsia="en-US"/>
        </w:rPr>
        <w:t>See also</w:t>
      </w:r>
      <w:r>
        <w:rPr>
          <w:rFonts w:cs="Verdana" w:ascii="Verdana" w:hAnsi="Verdana"/>
          <w:lang w:eastAsia="en-US"/>
        </w:rPr>
        <w:t xml:space="preserve"> 15 U.S.C. §§ 15, 15a and 15c.  </w:t>
      </w:r>
      <w:r>
        <w:rPr>
          <w:rFonts w:cs="Verdana" w:ascii="Verdana" w:hAnsi="Verdana"/>
        </w:rPr>
        <w:t xml:space="preserve">The California Attorney General is also authorized to bring a civil action for damages under the Cartwright Act or the Sherman Act </w:t>
      </w:r>
    </w:p>
    <w:p>
      <w:pPr>
        <w:pStyle w:val="QuoteS"/>
        <w:tabs>
          <w:tab w:val="clear" w:pos="720"/>
          <w:tab w:val="left" w:pos="4590" w:leader="none"/>
        </w:tabs>
        <w:spacing w:lineRule="exact" w:line="240"/>
        <w:ind w:start="360" w:end="450"/>
        <w:jc w:val="both"/>
        <w:rPr/>
      </w:pPr>
      <w:r>
        <w:rPr>
          <w:rFonts w:cs="Verdana" w:ascii="Verdana" w:hAnsi="Verdana"/>
        </w:rPr>
        <w:t xml:space="preserve">on behalf of the people of the state of California, as </w:t>
      </w:r>
      <w:r>
        <w:rPr>
          <w:rFonts w:cs="Verdana" w:ascii="Verdana" w:hAnsi="Verdana"/>
          <w:i/>
        </w:rPr>
        <w:t>parens patriae</w:t>
      </w:r>
      <w:r>
        <w:rPr>
          <w:rFonts w:cs="Verdana" w:ascii="Verdana" w:hAnsi="Verdana"/>
        </w:rPr>
        <w:t xml:space="preserve"> on behalf of natural persons residing in the state, in the superior court of any county which has jurisdiction of a defendant, to secure monetary relief as provided in this section for injury sustained by such natural persons to their property by reason of any violation of [the Cartwright Act].   </w:t>
      </w:r>
    </w:p>
    <w:p>
      <w:pPr>
        <w:pStyle w:val="BodyText"/>
        <w:spacing w:lineRule="exact" w:line="240"/>
        <w:ind w:hanging="0" w:end="0"/>
        <w:jc w:val="both"/>
        <w:rPr>
          <w:rFonts w:ascii="Verdana" w:hAnsi="Verdana" w:cs="Verdana"/>
          <w:lang w:eastAsia="en-US"/>
        </w:rPr>
      </w:pPr>
      <w:r>
        <w:rPr>
          <w:rFonts w:cs="Verdana" w:ascii="Verdana" w:hAnsi="Verdana"/>
          <w:i/>
        </w:rPr>
        <w:t xml:space="preserve">See </w:t>
      </w:r>
      <w:r>
        <w:rPr>
          <w:rFonts w:cs="Verdana" w:ascii="Verdana" w:hAnsi="Verdana"/>
        </w:rPr>
        <w:t xml:space="preserve">Cal. Bus. &amp; Prof. Code § 16760.  </w:t>
      </w:r>
      <w:r>
        <w:rPr>
          <w:rFonts w:cs="Verdana" w:ascii="Verdana" w:hAnsi="Verdana"/>
          <w:u w:val="single"/>
        </w:rPr>
        <w:t>See also</w:t>
      </w:r>
      <w:r>
        <w:rPr>
          <w:rFonts w:cs="Verdana" w:ascii="Verdana" w:hAnsi="Verdana"/>
        </w:rPr>
        <w:t xml:space="preserve"> 15 U.S.C. § 15c.</w:t>
      </w:r>
    </w:p>
    <w:p>
      <w:pPr>
        <w:pStyle w:val="BodyText"/>
        <w:spacing w:lineRule="exact" w:line="240"/>
        <w:ind w:firstLine="360" w:end="0"/>
        <w:jc w:val="both"/>
        <w:rPr>
          <w:rFonts w:ascii="Verdana" w:hAnsi="Verdana" w:cs="Verdana"/>
        </w:rPr>
      </w:pPr>
      <w:r>
        <w:rPr>
          <w:rFonts w:cs="Verdana" w:ascii="Verdana" w:hAnsi="Verdana"/>
        </w:rPr>
        <w:t>One caveat - federal law prohibits lawsuits brought by indirect purchasers.  See Illinois Brick Co. v. Illinois, 431 U.S. 720, 736 (1977); Kansas v. Utilicorp United, Inc., 497 U.S. 199, 219 (1990).  There is no such limitation under the Cartwright Act, which allows an action to “be brought by any person who is injured in his or her business or property be reason of anything forbidden or declared unlawful by this chapter, regardless of whether such injured person dealt directly or indirectly with the defendant.”  See Cal. Bus. &amp; Prof. Code § 16750(a).  See also Union Carbide Corp. v. Superior Court, 36 Cal. 3d 15, 20 (1984).</w:t>
      </w:r>
    </w:p>
    <w:p>
      <w:pPr>
        <w:pStyle w:val="BodyText"/>
        <w:spacing w:lineRule="exact" w:line="240"/>
        <w:ind w:hanging="0" w:end="0"/>
        <w:jc w:val="both"/>
        <w:rPr>
          <w:rFonts w:ascii="Verdana" w:hAnsi="Verdana" w:cs="Verdana"/>
        </w:rPr>
      </w:pPr>
      <w:r>
        <w:rPr>
          <w:rFonts w:cs="Verdana" w:ascii="Verdana" w:hAnsi="Verdana"/>
        </w:rPr>
      </w:r>
    </w:p>
    <w:p>
      <w:pPr>
        <w:pStyle w:val="Normal"/>
        <w:spacing w:before="0" w:after="240"/>
        <w:jc w:val="both"/>
        <w:rPr/>
      </w:pPr>
      <w:r>
        <w:rPr>
          <w:rFonts w:cs="Verdana" w:ascii="Verdana" w:hAnsi="Verdana"/>
          <w:sz w:val="24"/>
          <w:u w:val="single"/>
          <w:lang w:eastAsia="en-US"/>
        </w:rPr>
        <w:t>Criminal Penalties</w:t>
      </w:r>
      <w:r>
        <w:rPr>
          <w:rFonts w:cs="Verdana" w:ascii="Verdana" w:hAnsi="Verdana"/>
          <w:sz w:val="24"/>
          <w:lang w:eastAsia="en-US"/>
        </w:rPr>
        <w:t xml:space="preserve">.  The California Attorney General and United States Department of Justice can prosecute criminally all violations of the antitrust statutes.  Under federal law, a violator of the Sherman Act “shall be punished by fine not exceeding $10,000,000 if a corporation, or, if any other person, $350,000, or by imprisonment not exceeding three years, or by both said punishments, in the discretion of the court.”  </w:t>
      </w:r>
      <w:r>
        <w:rPr>
          <w:rFonts w:cs="Verdana" w:ascii="Verdana" w:hAnsi="Verdana"/>
          <w:i/>
          <w:sz w:val="24"/>
          <w:lang w:eastAsia="en-US"/>
        </w:rPr>
        <w:t>See</w:t>
      </w:r>
      <w:r>
        <w:rPr>
          <w:rFonts w:cs="Verdana" w:ascii="Verdana" w:hAnsi="Verdana"/>
          <w:sz w:val="24"/>
          <w:lang w:eastAsia="en-US"/>
        </w:rPr>
        <w:t xml:space="preserve"> 15 U.S.C. § 1.  Under California law, a violator of the Cartwright Act shall be punished by fine not more than $1,000,000 or $250,000 if an individual, and imprisonment of not more than one year in a county jail.  </w:t>
      </w:r>
      <w:r>
        <w:rPr>
          <w:rFonts w:cs="Verdana" w:ascii="Verdana" w:hAnsi="Verdana"/>
          <w:i/>
          <w:sz w:val="24"/>
          <w:lang w:eastAsia="en-US"/>
        </w:rPr>
        <w:t xml:space="preserve">See </w:t>
      </w:r>
      <w:r>
        <w:rPr>
          <w:rFonts w:cs="Verdana" w:ascii="Verdana" w:hAnsi="Verdana"/>
          <w:sz w:val="24"/>
          <w:lang w:eastAsia="en-US"/>
        </w:rPr>
        <w:t>Cal. Bus. &amp; Prof. Code § 16755.</w:t>
      </w:r>
    </w:p>
    <w:p>
      <w:pPr>
        <w:pStyle w:val="Normal"/>
        <w:keepNext w:val="true"/>
        <w:keepLines/>
        <w:tabs>
          <w:tab w:val="clear" w:pos="720"/>
          <w:tab w:val="left" w:pos="360" w:leader="none"/>
          <w:tab w:val="left" w:pos="1440" w:leader="none"/>
        </w:tabs>
        <w:spacing w:before="0" w:after="240"/>
        <w:jc w:val="both"/>
        <w:rPr>
          <w:rFonts w:ascii="Verdana" w:hAnsi="Verdana" w:cs="Verdana"/>
          <w:b/>
          <w:color w:val="000000"/>
          <w:sz w:val="24"/>
          <w:lang w:eastAsia="en-US"/>
        </w:rPr>
      </w:pPr>
      <w:r>
        <w:rPr>
          <w:rFonts w:cs="Verdana" w:ascii="Verdana" w:hAnsi="Verdana"/>
          <w:b/>
          <w:color w:val="000000"/>
          <w:sz w:val="24"/>
          <w:lang w:eastAsia="en-US"/>
        </w:rPr>
        <w:t>Business &amp; Professions Code § 17200 -- The Unfair Competition Law (“UCL”).</w:t>
      </w:r>
    </w:p>
    <w:p>
      <w:pPr>
        <w:pStyle w:val="Normal"/>
        <w:spacing w:before="0" w:after="240"/>
        <w:ind w:firstLine="720" w:end="0"/>
        <w:jc w:val="both"/>
        <w:rPr/>
      </w:pPr>
      <w:r>
        <w:rPr>
          <w:rFonts w:cs="Verdana" w:ascii="Verdana" w:hAnsi="Verdana"/>
          <w:sz w:val="24"/>
          <w:lang w:eastAsia="en-US"/>
        </w:rPr>
        <w:t xml:space="preserve">The UCL prohibits any business practice that is unlawful, unfair or fraudulent.  </w:t>
      </w:r>
      <w:r>
        <w:rPr>
          <w:rFonts w:cs="Verdana" w:ascii="Verdana" w:hAnsi="Verdana"/>
          <w:i/>
          <w:sz w:val="24"/>
          <w:lang w:eastAsia="en-US"/>
        </w:rPr>
        <w:t xml:space="preserve">See </w:t>
      </w:r>
      <w:r>
        <w:rPr>
          <w:rFonts w:cs="Verdana" w:ascii="Verdana" w:hAnsi="Verdana"/>
          <w:sz w:val="24"/>
          <w:lang w:eastAsia="en-US"/>
        </w:rPr>
        <w:t xml:space="preserve">Cal. Bus. &amp; Prof. Code § 17200.  A business practice is “unlawful” if it is forbidden by law, “unfair” if the harm of the conduct outweighs any benefit, and “fraudulent” if consumers are likely to be deceived by defendant’s conduct.  </w:t>
      </w:r>
    </w:p>
    <w:p>
      <w:pPr>
        <w:pStyle w:val="Normal"/>
        <w:spacing w:before="0" w:after="240"/>
        <w:ind w:firstLine="720" w:end="0"/>
        <w:jc w:val="both"/>
        <w:rPr/>
      </w:pPr>
      <w:r>
        <w:rPr>
          <w:rFonts w:cs="Verdana" w:ascii="Verdana" w:hAnsi="Verdana"/>
          <w:sz w:val="24"/>
          <w:lang w:eastAsia="en-US"/>
        </w:rPr>
        <w:t xml:space="preserve">This is a broadly worded statute that often borrows from other statutes for the standard to measure conduct.  A business practice that violates the ISO Market Monitoring and Information Protocol (“MMIP”) may be considered unlawful, unfair and/ or fraudulent.  The MMIP prohibits “anomalous market behavior,” which is “behavior that departs significantly from the normal behavior in competitive markets . . . leading to unexplained market outcomes.”  MMIP 2.1.1.  Such behavior includes “pricing and bidding patterns that are inconsistent with prevailing supply and demand conditions, e.g., prices and bids that appear consistently excessive for or otherwise inconsistent with such conditions.” MMIP 2.1.1.1.  The MMIP also prohibits “gaming,” which means, among other things, taking unfair advantage of rules and procedures set forth in the  ISO or PX tariffs and/or “taking undue advantage of other conditions that may affect the availability of transmission and generation capacity, such as  . . . actions or behaviors that may otherwise render the system and the ISO markets vulnerable to price manipulation to the detriment of their efficiency.”  </w:t>
      </w:r>
      <w:r>
        <w:rPr>
          <w:rFonts w:cs="Verdana" w:ascii="Verdana" w:hAnsi="Verdana"/>
          <w:i/>
          <w:sz w:val="24"/>
          <w:lang w:eastAsia="en-US"/>
        </w:rPr>
        <w:t xml:space="preserve">See </w:t>
      </w:r>
      <w:r>
        <w:rPr>
          <w:rFonts w:cs="Verdana" w:ascii="Verdana" w:hAnsi="Verdana"/>
          <w:sz w:val="24"/>
          <w:lang w:eastAsia="en-US"/>
        </w:rPr>
        <w:t xml:space="preserve">MMIP 2.1.3.   </w:t>
      </w:r>
    </w:p>
    <w:p>
      <w:pPr>
        <w:pStyle w:val="Normal"/>
        <w:spacing w:before="0" w:after="240"/>
        <w:ind w:firstLine="720" w:end="0"/>
        <w:jc w:val="both"/>
        <w:rPr/>
      </w:pPr>
      <w:r>
        <w:rPr>
          <w:rFonts w:cs="Verdana" w:ascii="Verdana" w:hAnsi="Verdana"/>
          <w:sz w:val="24"/>
          <w:lang w:eastAsia="en-US"/>
        </w:rPr>
        <w:t xml:space="preserve">An action may be brought by either a private person or the attorney general on behalf of the general public.  </w:t>
      </w:r>
      <w:r>
        <w:rPr>
          <w:rFonts w:cs="Verdana" w:ascii="Verdana" w:hAnsi="Verdana"/>
          <w:i/>
          <w:sz w:val="24"/>
          <w:lang w:eastAsia="en-US"/>
        </w:rPr>
        <w:t xml:space="preserve">See </w:t>
      </w:r>
      <w:r>
        <w:rPr>
          <w:rFonts w:cs="Verdana" w:ascii="Verdana" w:hAnsi="Verdana"/>
          <w:sz w:val="24"/>
          <w:lang w:eastAsia="en-US"/>
        </w:rPr>
        <w:t xml:space="preserve">Cal. Bus. &amp; Prof. Code § 17204.  In such an action, a court may make such orders or judgments “as may be necessary to restore to any person in interest any money or property, real or personal, which may have been acquired by means of such unfair competition.”  </w:t>
      </w:r>
      <w:r>
        <w:rPr>
          <w:rFonts w:cs="Verdana" w:ascii="Verdana" w:hAnsi="Verdana"/>
          <w:i/>
          <w:sz w:val="24"/>
          <w:lang w:eastAsia="en-US"/>
        </w:rPr>
        <w:t xml:space="preserve">See </w:t>
      </w:r>
      <w:r>
        <w:rPr>
          <w:rFonts w:cs="Verdana" w:ascii="Verdana" w:hAnsi="Verdana"/>
          <w:sz w:val="24"/>
          <w:lang w:eastAsia="en-US"/>
        </w:rPr>
        <w:t xml:space="preserve">Cal. Bus. &amp; Prof. Code § 17203.  Only restitution and disgorgement of profits, and not compensatory or punitive damages, are available under the UCL.  </w:t>
      </w:r>
      <w:r>
        <w:rPr>
          <w:rFonts w:cs="Verdana" w:ascii="Verdana" w:hAnsi="Verdana"/>
          <w:i/>
          <w:sz w:val="24"/>
          <w:lang w:eastAsia="en-US"/>
        </w:rPr>
        <w:t>See Bank of the West v. Superior Court</w:t>
      </w:r>
      <w:r>
        <w:rPr>
          <w:rFonts w:cs="Verdana" w:ascii="Verdana" w:hAnsi="Verdana"/>
          <w:sz w:val="24"/>
          <w:lang w:eastAsia="en-US"/>
        </w:rPr>
        <w:t xml:space="preserve">, 2 Cal. 4th 1254, 1266 (1992); </w:t>
      </w:r>
      <w:r>
        <w:rPr>
          <w:rFonts w:cs="Verdana" w:ascii="Verdana" w:hAnsi="Verdana"/>
          <w:i/>
          <w:sz w:val="24"/>
          <w:lang w:eastAsia="en-US"/>
        </w:rPr>
        <w:t xml:space="preserve">Kraus v. Trinity Management Services, </w:t>
      </w:r>
      <w:r>
        <w:rPr>
          <w:rFonts w:cs="Verdana" w:ascii="Verdana" w:hAnsi="Verdana"/>
          <w:sz w:val="24"/>
          <w:lang w:eastAsia="en-US"/>
        </w:rPr>
        <w:t xml:space="preserve">23 Cal. 4th 116 (2000).   The attorney general can also seek civil penalties in the amount of $2500 for each violation.  </w:t>
      </w:r>
      <w:r>
        <w:rPr>
          <w:rFonts w:cs="Verdana" w:ascii="Verdana" w:hAnsi="Verdana"/>
          <w:i/>
          <w:sz w:val="24"/>
          <w:lang w:eastAsia="en-US"/>
        </w:rPr>
        <w:t xml:space="preserve">See </w:t>
      </w:r>
      <w:r>
        <w:rPr>
          <w:rFonts w:cs="Verdana" w:ascii="Verdana" w:hAnsi="Verdana"/>
          <w:sz w:val="24"/>
          <w:lang w:eastAsia="en-US"/>
        </w:rPr>
        <w:t>Cal. Bus. &amp; Prof. Code § 17206.</w:t>
      </w:r>
    </w:p>
    <w:p>
      <w:pPr>
        <w:pStyle w:val="Normal"/>
        <w:keepNext w:val="true"/>
        <w:keepLines/>
        <w:tabs>
          <w:tab w:val="clear" w:pos="720"/>
          <w:tab w:val="left" w:pos="360" w:leader="none"/>
          <w:tab w:val="left" w:pos="1440" w:leader="none"/>
        </w:tabs>
        <w:spacing w:before="0" w:after="240"/>
        <w:jc w:val="both"/>
        <w:rPr>
          <w:rFonts w:ascii="Verdana" w:hAnsi="Verdana" w:cs="Verdana"/>
          <w:b/>
          <w:color w:val="000000"/>
          <w:sz w:val="24"/>
          <w:lang w:eastAsia="en-US"/>
        </w:rPr>
      </w:pPr>
      <w:r>
        <w:rPr>
          <w:rFonts w:cs="Verdana" w:ascii="Verdana" w:hAnsi="Verdana"/>
          <w:b/>
          <w:color w:val="000000"/>
          <w:sz w:val="24"/>
          <w:lang w:eastAsia="en-US"/>
        </w:rPr>
        <w:t>Federal Wire Fraud - 18 U.S.C. § 1343.</w:t>
      </w:r>
    </w:p>
    <w:p>
      <w:pPr>
        <w:pStyle w:val="Normal"/>
        <w:spacing w:before="0" w:after="240"/>
        <w:ind w:firstLine="720" w:end="0"/>
        <w:jc w:val="both"/>
        <w:rPr>
          <w:rFonts w:ascii="Verdana" w:hAnsi="Verdana" w:cs="Verdana"/>
          <w:sz w:val="24"/>
          <w:lang w:eastAsia="en-US"/>
        </w:rPr>
      </w:pPr>
      <w:r>
        <w:rPr>
          <w:rFonts w:cs="Verdana" w:ascii="Verdana" w:hAnsi="Verdana"/>
          <w:sz w:val="24"/>
          <w:lang w:eastAsia="en-US"/>
        </w:rPr>
        <w:t xml:space="preserve">Acts that do not violate the ISP MMIP, other FERC rules and statutes, or antitrust laws, nonetheless may violate federal wire and mail fraud statutes if the acts are found to be intentionally deceitful.  </w:t>
      </w:r>
    </w:p>
    <w:p>
      <w:pPr>
        <w:pStyle w:val="Normal"/>
        <w:spacing w:before="0" w:after="240"/>
        <w:ind w:firstLine="720" w:end="0"/>
        <w:jc w:val="both"/>
        <w:rPr/>
      </w:pPr>
      <w:r>
        <w:rPr>
          <w:rFonts w:cs="Verdana" w:ascii="Verdana" w:hAnsi="Verdana"/>
          <w:sz w:val="24"/>
          <w:lang w:eastAsia="en-US"/>
        </w:rPr>
        <w:t xml:space="preserve">A person is guilty of wire fraud where that person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w:t>
      </w:r>
      <w:r>
        <w:rPr>
          <w:rFonts w:cs="Verdana" w:ascii="Verdana" w:hAnsi="Verdana"/>
          <w:i/>
          <w:sz w:val="24"/>
          <w:lang w:eastAsia="en-US"/>
        </w:rPr>
        <w:t xml:space="preserve">See </w:t>
      </w:r>
      <w:r>
        <w:rPr>
          <w:rFonts w:cs="Verdana" w:ascii="Verdana" w:hAnsi="Verdana"/>
          <w:sz w:val="24"/>
          <w:lang w:eastAsia="en-US"/>
        </w:rPr>
        <w:t xml:space="preserve">18 U.S.C. § 1343.  Wire fraud combines the traditional elements of fraud with an additional element-“the existence of a scheme which was reasonably calculated to deceive persons of ordinary prudence and comprehension.”  </w:t>
      </w:r>
      <w:r>
        <w:rPr>
          <w:rFonts w:cs="Verdana" w:ascii="Verdana" w:hAnsi="Verdana"/>
          <w:i/>
          <w:sz w:val="24"/>
          <w:lang w:eastAsia="en-US"/>
        </w:rPr>
        <w:t>See, e.g., Globe Int’l, Inc. v. Superior Court</w:t>
      </w:r>
      <w:r>
        <w:rPr>
          <w:rFonts w:cs="Verdana" w:ascii="Verdana" w:hAnsi="Verdana"/>
          <w:sz w:val="24"/>
          <w:lang w:eastAsia="en-US"/>
        </w:rPr>
        <w:t xml:space="preserve">, 9 Cal. App. 4th 393, 399 (1992) (citing </w:t>
      </w:r>
      <w:r>
        <w:rPr>
          <w:rFonts w:cs="Verdana" w:ascii="Verdana" w:hAnsi="Verdana"/>
          <w:i/>
          <w:sz w:val="24"/>
          <w:lang w:eastAsia="en-US"/>
        </w:rPr>
        <w:t>Schreiber Distributing v. Serv-Well Furniture Co.,</w:t>
      </w:r>
      <w:r>
        <w:rPr>
          <w:rFonts w:cs="Verdana" w:ascii="Verdana" w:hAnsi="Verdana"/>
          <w:sz w:val="24"/>
          <w:lang w:eastAsia="en-US"/>
        </w:rPr>
        <w:t xml:space="preserve"> 806 F.2d 1393, 1400 (9th Cir. 1986)). </w:t>
      </w:r>
    </w:p>
    <w:p>
      <w:pPr>
        <w:pStyle w:val="Normal"/>
        <w:spacing w:before="0" w:after="240"/>
        <w:ind w:firstLine="720" w:end="0"/>
        <w:jc w:val="both"/>
        <w:rPr/>
      </w:pPr>
      <w:r>
        <w:rPr>
          <w:rFonts w:cs="Verdana" w:ascii="Verdana" w:hAnsi="Verdana"/>
          <w:sz w:val="24"/>
          <w:lang w:eastAsia="en-US"/>
        </w:rPr>
        <w:t xml:space="preserve">Penalties under the wire fraud statute are stiff.  A violator can be fined or imprisoned not more than five years, or both.  “If the violation affects a financial institution, such person shall be fined not more than $1,000,000 or imprisoned not more than 30 years, or both.”  </w:t>
      </w:r>
      <w:r>
        <w:rPr>
          <w:rFonts w:cs="Verdana" w:ascii="Verdana" w:hAnsi="Verdana"/>
          <w:i/>
          <w:sz w:val="24"/>
          <w:lang w:eastAsia="en-US"/>
        </w:rPr>
        <w:t xml:space="preserve">See </w:t>
      </w:r>
      <w:r>
        <w:rPr>
          <w:rFonts w:cs="Verdana" w:ascii="Verdana" w:hAnsi="Verdana"/>
          <w:sz w:val="24"/>
          <w:lang w:eastAsia="en-US"/>
        </w:rPr>
        <w:t>18 U.S.C. § 1343.</w:t>
      </w:r>
    </w:p>
    <w:p>
      <w:pPr>
        <w:pStyle w:val="Normal"/>
        <w:spacing w:before="0" w:after="240"/>
        <w:ind w:firstLine="720" w:end="0"/>
        <w:jc w:val="both"/>
        <w:rPr/>
      </w:pPr>
      <w:r>
        <w:rPr>
          <w:rFonts w:cs="Verdana" w:ascii="Verdana" w:hAnsi="Verdana"/>
          <w:sz w:val="24"/>
          <w:lang w:eastAsia="en-US"/>
        </w:rPr>
        <w:t xml:space="preserve">The statute is broad.  </w:t>
      </w:r>
      <w:r>
        <w:rPr>
          <w:rFonts w:cs="Verdana" w:ascii="Verdana" w:hAnsi="Verdana"/>
          <w:i/>
          <w:sz w:val="24"/>
          <w:lang w:eastAsia="en-US"/>
        </w:rPr>
        <w:t xml:space="preserve">See, e.g, United States v. Dial, </w:t>
      </w:r>
      <w:r>
        <w:rPr>
          <w:rFonts w:cs="Verdana" w:ascii="Verdana" w:hAnsi="Verdana"/>
          <w:sz w:val="24"/>
          <w:lang w:eastAsia="en-US"/>
        </w:rPr>
        <w:t>757 F.2d 163, 169</w:t>
      </w:r>
      <w:r>
        <w:rPr>
          <w:rFonts w:cs="Verdana" w:ascii="Verdana" w:hAnsi="Verdana"/>
          <w:i/>
          <w:sz w:val="24"/>
          <w:lang w:eastAsia="en-US"/>
        </w:rPr>
        <w:t xml:space="preserve"> </w:t>
      </w:r>
      <w:r>
        <w:rPr>
          <w:rFonts w:cs="Verdana" w:ascii="Verdana" w:hAnsi="Verdana"/>
          <w:sz w:val="24"/>
          <w:lang w:eastAsia="en-US"/>
        </w:rPr>
        <w:t xml:space="preserve">(7th Cir. 1985).  Unfortunately, as the court in </w:t>
      </w:r>
      <w:r>
        <w:rPr>
          <w:rFonts w:cs="Verdana" w:ascii="Verdana" w:hAnsi="Verdana"/>
          <w:i/>
          <w:sz w:val="24"/>
          <w:lang w:eastAsia="en-US"/>
        </w:rPr>
        <w:t>Dial</w:t>
      </w:r>
      <w:r>
        <w:rPr>
          <w:rFonts w:cs="Verdana" w:ascii="Verdana" w:hAnsi="Verdana"/>
          <w:sz w:val="24"/>
          <w:lang w:eastAsia="en-US"/>
        </w:rPr>
        <w:t xml:space="preserve"> points-out, there is no “bright line between fraudulent, and merely sharp business practices, even though the universality of telephone service has brought virtually the whole commercial world within the reach of the wire-fraud statutes.”  </w:t>
      </w:r>
      <w:r>
        <w:rPr>
          <w:rFonts w:cs="Verdana" w:ascii="Verdana" w:hAnsi="Verdana"/>
          <w:i/>
          <w:sz w:val="24"/>
          <w:lang w:eastAsia="en-US"/>
        </w:rPr>
        <w:t xml:space="preserve">See id. </w:t>
      </w:r>
      <w:r>
        <w:rPr>
          <w:rFonts w:cs="Verdana" w:ascii="Verdana" w:hAnsi="Verdana"/>
          <w:sz w:val="24"/>
          <w:lang w:eastAsia="en-US"/>
        </w:rPr>
        <w:t xml:space="preserve">at 170.     </w:t>
      </w:r>
    </w:p>
    <w:p>
      <w:pPr>
        <w:pStyle w:val="Normal"/>
        <w:spacing w:before="0" w:after="240"/>
        <w:ind w:firstLine="720" w:end="0"/>
        <w:jc w:val="both"/>
        <w:rPr/>
      </w:pPr>
      <w:r>
        <w:rPr>
          <w:rFonts w:cs="Verdana" w:ascii="Verdana" w:hAnsi="Verdana"/>
          <w:sz w:val="24"/>
          <w:lang w:eastAsia="en-US"/>
        </w:rPr>
        <w:t xml:space="preserve">In </w:t>
      </w:r>
      <w:r>
        <w:rPr>
          <w:rFonts w:cs="Verdana" w:ascii="Verdana" w:hAnsi="Verdana"/>
          <w:i/>
          <w:sz w:val="24"/>
          <w:lang w:eastAsia="en-US"/>
        </w:rPr>
        <w:t>Dial</w:t>
      </w:r>
      <w:r>
        <w:rPr>
          <w:rFonts w:cs="Verdana" w:ascii="Verdana" w:hAnsi="Verdana"/>
          <w:sz w:val="24"/>
          <w:lang w:eastAsia="en-US"/>
        </w:rPr>
        <w:t xml:space="preserve">, commodities futures brokers were found guilty of wire fraud where they, knowing that they were about to trade large volumes of futures on behalf of clients, bought futures for their own account before buying for their clients.  After buying a block for their clients, which caused the prices to rise, they sold the futures in their own account shortly thereafter.  </w:t>
      </w:r>
    </w:p>
    <w:p>
      <w:pPr>
        <w:pStyle w:val="Normal"/>
        <w:spacing w:before="0" w:after="240"/>
        <w:ind w:firstLine="720" w:end="0"/>
        <w:jc w:val="both"/>
        <w:rPr/>
      </w:pPr>
      <w:r>
        <w:rPr>
          <w:rFonts w:cs="Verdana" w:ascii="Verdana" w:hAnsi="Verdana"/>
          <w:sz w:val="24"/>
          <w:lang w:eastAsia="en-US"/>
        </w:rPr>
        <w:t xml:space="preserve">The court rejected defendants’ argument that this trade did not violate the Board of Trade’s standards.  The federal mail fraud statutes “have often been used to plug loopholes in statutes prohibiting specific frauds,” such as insider trading before securities fraud statutes were adopted.  </w:t>
      </w:r>
      <w:r>
        <w:rPr>
          <w:rFonts w:cs="Verdana" w:ascii="Verdana" w:hAnsi="Verdana"/>
          <w:i/>
          <w:sz w:val="24"/>
          <w:lang w:eastAsia="en-US"/>
        </w:rPr>
        <w:t xml:space="preserve">See Dial, </w:t>
      </w:r>
      <w:r>
        <w:rPr>
          <w:rFonts w:cs="Verdana" w:ascii="Verdana" w:hAnsi="Verdana"/>
          <w:sz w:val="24"/>
          <w:lang w:eastAsia="en-US"/>
        </w:rPr>
        <w:t xml:space="preserve">757 F.2d at 169.  Here, the court found that defendants “confused the market” and “to undermine the confidence on which successful futures trading depends is to harm the exchanges and the society at large.”  </w:t>
      </w:r>
      <w:r>
        <w:rPr>
          <w:rFonts w:cs="Verdana" w:ascii="Verdana" w:hAnsi="Verdana"/>
          <w:i/>
          <w:sz w:val="24"/>
          <w:lang w:eastAsia="en-US"/>
        </w:rPr>
        <w:t xml:space="preserve">Id. </w:t>
      </w:r>
      <w:r>
        <w:rPr>
          <w:rFonts w:cs="Verdana" w:ascii="Verdana" w:hAnsi="Verdana"/>
          <w:sz w:val="24"/>
          <w:lang w:eastAsia="en-US"/>
        </w:rPr>
        <w:t xml:space="preserve">at 170.  According to the court, the acts of defendants “when done without disclosure to the customer, is both contrary to a broker’s fiduciary duty and harmful to commodity futures trading.”  </w:t>
      </w:r>
      <w:r>
        <w:rPr>
          <w:rFonts w:cs="Verdana" w:ascii="Verdana" w:hAnsi="Verdana"/>
          <w:i/>
          <w:sz w:val="24"/>
          <w:lang w:eastAsia="en-US"/>
        </w:rPr>
        <w:t xml:space="preserve">Id. </w:t>
      </w:r>
      <w:r>
        <w:rPr>
          <w:rFonts w:cs="Verdana" w:ascii="Verdana" w:hAnsi="Verdana"/>
          <w:sz w:val="24"/>
          <w:lang w:eastAsia="en-US"/>
        </w:rPr>
        <w:t>at 169.</w:t>
      </w:r>
    </w:p>
    <w:p>
      <w:pPr>
        <w:pStyle w:val="Normal"/>
        <w:spacing w:lineRule="exact" w:line="240"/>
        <w:jc w:val="both"/>
        <w:rPr>
          <w:rFonts w:ascii="Verdana" w:hAnsi="Verdana" w:cs="Verdana"/>
          <w:b/>
          <w:sz w:val="24"/>
        </w:rPr>
      </w:pPr>
      <w:r>
        <w:rPr>
          <w:rFonts w:cs="Verdana" w:ascii="Verdana" w:hAnsi="Verdana"/>
          <w:b/>
          <w:sz w:val="24"/>
        </w:rPr>
        <w:t>Preemption</w:t>
      </w:r>
    </w:p>
    <w:p>
      <w:pPr>
        <w:pStyle w:val="Normal"/>
        <w:spacing w:lineRule="exact" w:line="240"/>
        <w:jc w:val="both"/>
        <w:rPr>
          <w:rFonts w:ascii="Verdana" w:hAnsi="Verdana" w:cs="Verdana"/>
          <w:b/>
          <w:sz w:val="24"/>
        </w:rPr>
      </w:pPr>
      <w:r>
        <w:rPr>
          <w:rFonts w:cs="Verdana" w:ascii="Verdana" w:hAnsi="Verdana"/>
          <w:b/>
          <w:sz w:val="24"/>
        </w:rPr>
      </w:r>
    </w:p>
    <w:p>
      <w:pPr>
        <w:pStyle w:val="BodyText"/>
        <w:spacing w:lineRule="exact" w:line="240"/>
        <w:ind w:firstLine="720" w:end="0"/>
        <w:jc w:val="both"/>
        <w:rPr/>
      </w:pPr>
      <w:r>
        <w:rPr>
          <w:rFonts w:cs="Verdana" w:ascii="Verdana" w:hAnsi="Verdana"/>
        </w:rPr>
        <w:t xml:space="preserve">FERC has the exclusive jurisdiction to determine the reasonableness of wholesale rates and power allocations that affect wholesale rates.  </w:t>
      </w:r>
      <w:r>
        <w:rPr>
          <w:rFonts w:cs="Verdana" w:ascii="Verdana" w:hAnsi="Verdana"/>
          <w:i/>
        </w:rPr>
        <w:t xml:space="preserve">Mississippi Power &amp; Light Co. v. Mississippi, </w:t>
      </w:r>
      <w:r>
        <w:rPr>
          <w:rFonts w:cs="Verdana" w:ascii="Verdana" w:hAnsi="Verdana"/>
        </w:rPr>
        <w:t xml:space="preserve">487 U.S. 354, 372 (1988).  Congress “has drawn a bright line between state and federal authority in the setting of wholesale rates and in the regulation of agreements that affect wholesale rates.”  </w:t>
      </w:r>
      <w:r>
        <w:rPr>
          <w:rFonts w:cs="Verdana" w:ascii="Verdana" w:hAnsi="Verdana"/>
          <w:i/>
        </w:rPr>
        <w:t xml:space="preserve">Id. </w:t>
      </w:r>
      <w:r>
        <w:rPr>
          <w:rFonts w:cs="Verdana" w:ascii="Verdana" w:hAnsi="Verdana"/>
        </w:rPr>
        <w:t xml:space="preserve">at 374.  Once FERC sets a rate, a state utility commission cannot, among other things, undertake a review of transactions which effect wholesale rates, set retail rates based upon an assumption that a regulated entity is obligated to purchase less power than FERC has ordered it to produce, undertake a “prudence” review of wholesale rates, or conduct any proceeding that challenges the reasonableness of FERC’s decisions.  </w:t>
      </w:r>
      <w:r>
        <w:rPr>
          <w:rFonts w:cs="Verdana" w:ascii="Verdana" w:hAnsi="Verdana"/>
          <w:i/>
        </w:rPr>
        <w:t xml:space="preserve">See id.  See also Nantahala Power &amp; Light Co. v. Thornburg, </w:t>
      </w:r>
      <w:r>
        <w:rPr>
          <w:rFonts w:cs="Verdana" w:ascii="Verdana" w:hAnsi="Verdana"/>
        </w:rPr>
        <w:t>476 U.S. 953 (1986).</w:t>
      </w:r>
      <w:r>
        <w:rPr>
          <w:rFonts w:cs="Verdana" w:ascii="Verdana" w:hAnsi="Verdana"/>
          <w:i/>
        </w:rPr>
        <w:t xml:space="preserve">  </w:t>
      </w:r>
    </w:p>
    <w:p>
      <w:pPr>
        <w:pStyle w:val="BodyText"/>
        <w:spacing w:lineRule="exact" w:line="240"/>
        <w:ind w:firstLine="720" w:end="0"/>
        <w:jc w:val="both"/>
        <w:rPr/>
      </w:pPr>
      <w:r>
        <w:rPr>
          <w:rFonts w:cs="Verdana" w:ascii="Verdana" w:hAnsi="Verdana"/>
        </w:rPr>
        <w:t xml:space="preserve">In the wholesale electricity market, FERC relies on market-based prices to ensure that wholesale electricity rates are just and reasonable.  Where there is a competitive market, FERC may rely on market-based prices in lieu of cost-of-service regulation to assure a “just and reasonable” result.  </w:t>
      </w:r>
      <w:r>
        <w:rPr>
          <w:rFonts w:cs="Verdana" w:ascii="Verdana" w:hAnsi="Verdana"/>
          <w:i/>
        </w:rPr>
        <w:t xml:space="preserve">See, e.g., Elizabeth Gas Co. v. FERC, </w:t>
      </w:r>
      <w:r>
        <w:rPr>
          <w:rFonts w:cs="Verdana" w:ascii="Verdana" w:hAnsi="Verdana"/>
        </w:rPr>
        <w:t xml:space="preserve">10 F.3d 866 (D.C. Cir. 1993).  </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Other Legal Theories</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Penal Code § 396 -- Price Gouging.</w:t>
      </w:r>
    </w:p>
    <w:p>
      <w:pPr>
        <w:pStyle w:val="BodyText"/>
        <w:spacing w:lineRule="exact" w:line="240"/>
        <w:ind w:firstLine="720" w:end="0"/>
        <w:jc w:val="both"/>
        <w:rPr>
          <w:rFonts w:ascii="Verdana" w:hAnsi="Verdana" w:cs="Verdana"/>
        </w:rPr>
      </w:pPr>
      <w:r>
        <w:rPr>
          <w:rFonts w:cs="Verdana" w:ascii="Verdana" w:hAnsi="Verdana"/>
        </w:rPr>
        <w:t xml:space="preserve">According to a press release, the California Attorney General is investigating Reliant for criminal price gouging.  </w:t>
      </w:r>
    </w:p>
    <w:p>
      <w:pPr>
        <w:pStyle w:val="BodyText"/>
        <w:spacing w:lineRule="exact" w:line="240"/>
        <w:ind w:firstLine="720" w:end="0"/>
        <w:jc w:val="both"/>
        <w:rPr>
          <w:rFonts w:ascii="Verdana" w:hAnsi="Verdana" w:cs="Verdana"/>
        </w:rPr>
      </w:pPr>
      <w:r>
        <w:rPr>
          <w:rFonts w:cs="Verdana" w:ascii="Verdana" w:hAnsi="Verdana"/>
        </w:rPr>
        <w:t xml:space="preserve">California Penal Code section 396 prohibits price increases upon the proclamation of a state of emergency by the President, Governor, or executive officer of any county or city resulting from a natural or manmade disaster.  For thirty days after such a proclamation, it is unlawful for any business “to sell or offer to sell any consumer . . . goods, goods or services used for emergency cleanup, . . . for a price of more than 10 percent above the price charged by that person for those goods or services immediately prior to the proclamation of emergency.”  Such a violation is a misdemeanor punishable by one year of jail time and a fine of up to $10,000.  A violation also constitutes an unlawful business practice under section 17200.  </w:t>
      </w:r>
    </w:p>
    <w:p>
      <w:pPr>
        <w:pStyle w:val="BodyText"/>
        <w:spacing w:lineRule="exact" w:line="240"/>
        <w:ind w:firstLine="720" w:end="0"/>
        <w:jc w:val="both"/>
        <w:rPr>
          <w:rFonts w:ascii="Verdana" w:hAnsi="Verdana" w:cs="Verdana"/>
        </w:rPr>
      </w:pPr>
      <w:r>
        <w:rPr>
          <w:rFonts w:cs="Verdana" w:ascii="Verdana" w:hAnsi="Verdana"/>
        </w:rPr>
        <w:t xml:space="preserve">It is unclear whether this statute includes the sale of electricity and/ or the declaration of a state of emergency by the ISO.  </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Penal Code § 395 – Fraud Affecting Market Price.</w:t>
      </w:r>
    </w:p>
    <w:p>
      <w:pPr>
        <w:pStyle w:val="BodyText"/>
        <w:spacing w:lineRule="exact" w:line="240"/>
        <w:ind w:firstLine="720" w:end="0"/>
        <w:jc w:val="both"/>
        <w:rPr/>
      </w:pPr>
      <w:r>
        <w:rPr>
          <w:rFonts w:cs="Verdana" w:ascii="Verdana" w:hAnsi="Verdana"/>
        </w:rPr>
        <w:t>“</w:t>
      </w:r>
      <w:r>
        <w:rPr>
          <w:rFonts w:cs="Verdana" w:ascii="Verdana" w:hAnsi="Verdana"/>
        </w:rPr>
        <w:t xml:space="preserve">Every person who willfully makes or publishes any false statement, spreads any false rumor, or employs any other false or fraudulent means or device, with intent to affect the market price of any kind of property, is guilty of a misdemeanor.”  </w:t>
      </w:r>
      <w:r>
        <w:rPr>
          <w:rFonts w:cs="Verdana" w:ascii="Verdana" w:hAnsi="Verdana"/>
          <w:i/>
        </w:rPr>
        <w:t xml:space="preserve">See </w:t>
      </w:r>
      <w:r>
        <w:rPr>
          <w:rFonts w:cs="Verdana" w:ascii="Verdana" w:hAnsi="Verdana"/>
        </w:rPr>
        <w:t>Cal. Penal Code § 395.</w:t>
      </w:r>
    </w:p>
    <w:p>
      <w:pPr>
        <w:pStyle w:val="BodyText"/>
        <w:spacing w:lineRule="exact" w:line="240"/>
        <w:ind w:firstLine="720" w:end="0"/>
        <w:jc w:val="both"/>
        <w:rPr>
          <w:rFonts w:ascii="Verdana" w:hAnsi="Verdana" w:cs="Verdana"/>
        </w:rPr>
      </w:pPr>
      <w:r>
        <w:rPr>
          <w:rFonts w:cs="Verdana" w:ascii="Verdana" w:hAnsi="Verdana"/>
        </w:rPr>
        <w:t>There is no reported case law applying this section.</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 xml:space="preserve">California Corporations Code § 29008 -- Bucket Shopping. </w:t>
      </w:r>
    </w:p>
    <w:p>
      <w:pPr>
        <w:pStyle w:val="BodyText"/>
        <w:spacing w:lineRule="exact" w:line="240"/>
        <w:ind w:firstLine="720" w:end="0"/>
        <w:jc w:val="both"/>
        <w:rPr>
          <w:rFonts w:ascii="Verdana" w:hAnsi="Verdana" w:cs="Verdana"/>
        </w:rPr>
      </w:pPr>
      <w:r>
        <w:rPr>
          <w:rFonts w:cs="Verdana" w:ascii="Verdana" w:hAnsi="Verdana"/>
        </w:rPr>
        <w:t>“</w:t>
      </w:r>
      <w:r>
        <w:rPr>
          <w:rFonts w:cs="Verdana" w:ascii="Verdana" w:hAnsi="Verdana"/>
        </w:rPr>
        <w:t xml:space="preserve">Bucket shopping” is unlawful in California.  Essentially, bucket shopping entails bets or wagers on the rise or fall of the prices of stocks or commodities, where the stock and commodity purchases are entirely fictitious.  As defined by the statute, bucket shopping entails, among other things, </w:t>
      </w:r>
    </w:p>
    <w:p>
      <w:pPr>
        <w:pStyle w:val="QuoteS"/>
        <w:spacing w:lineRule="exact" w:line="240"/>
        <w:ind w:start="540" w:end="540"/>
        <w:jc w:val="both"/>
        <w:rPr>
          <w:rFonts w:ascii="Verdana" w:hAnsi="Verdana" w:cs="Verdana"/>
        </w:rPr>
      </w:pPr>
      <w:r>
        <w:rPr>
          <w:rFonts w:cs="Verdana" w:ascii="Verdana" w:hAnsi="Verdana"/>
        </w:rPr>
        <w:t>Making or offering to make any contract respecting the purchase or sale of any securities or commodities, wherein both parties intend, or the keeper intends, that the contract shall be, or may be, terminated, closed, or settled according to or upon the basis of the public market quotations of prices made on any board of trade or exchange upon which the securities or commodities are dealt in, without a bona fide purchase or sale of the securities or commodities.</w:t>
      </w:r>
    </w:p>
    <w:p>
      <w:pPr>
        <w:pStyle w:val="BodyText"/>
        <w:spacing w:lineRule="exact" w:line="240"/>
        <w:ind w:hanging="0" w:end="0"/>
        <w:jc w:val="both"/>
        <w:rPr/>
      </w:pPr>
      <w:r>
        <w:rPr>
          <w:rFonts w:cs="Verdana" w:ascii="Verdana" w:hAnsi="Verdana"/>
          <w:i/>
        </w:rPr>
        <w:t xml:space="preserve">See </w:t>
      </w:r>
      <w:r>
        <w:rPr>
          <w:rFonts w:cs="Verdana" w:ascii="Verdana" w:hAnsi="Verdana"/>
        </w:rPr>
        <w:t xml:space="preserve">Cal. Corp. Code § 29008(a).  Bucket shopping is a felony.  </w:t>
      </w:r>
      <w:r>
        <w:rPr>
          <w:rFonts w:cs="Verdana" w:ascii="Verdana" w:hAnsi="Verdana"/>
          <w:i/>
        </w:rPr>
        <w:t xml:space="preserve">See </w:t>
      </w:r>
      <w:r>
        <w:rPr>
          <w:rFonts w:cs="Verdana" w:ascii="Verdana" w:hAnsi="Verdana"/>
        </w:rPr>
        <w:t>Cal. Corp. Code §§ 29100-101.</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 xml:space="preserve">Crimes Under Public Utilities Code.   </w:t>
      </w:r>
    </w:p>
    <w:p>
      <w:pPr>
        <w:pStyle w:val="BodyText"/>
        <w:spacing w:lineRule="exact" w:line="240"/>
        <w:ind w:firstLine="720" w:end="0"/>
        <w:jc w:val="both"/>
        <w:rPr/>
      </w:pPr>
      <w:r>
        <w:rPr>
          <w:rFonts w:cs="Verdana" w:ascii="Verdana" w:hAnsi="Verdana"/>
        </w:rPr>
        <w:t xml:space="preserve">The Public Utilities Code allows for criminal penalties against any “corporation or person, other than a public utility and its officers, agents, or employees, which or who knowingly violates or fails to comply with, or procures, aids or abets any violation of any provision of the Constitution of this state relating to public utilities or of this part, or fails to comply with any part of any order, decision, rule, direction, demand, or requirement of the commission, or who procures, aids, or abets any public utility in such violation or noncompliance.”  Such a violator “is subject to a penalty of not less than five hundred dollars ($500), nor more than twenty thousand dollars  ($20,000) for each offense.”  </w:t>
      </w:r>
      <w:r>
        <w:rPr>
          <w:rFonts w:cs="Verdana" w:ascii="Verdana" w:hAnsi="Verdana"/>
          <w:i/>
        </w:rPr>
        <w:t xml:space="preserve">See </w:t>
      </w:r>
      <w:r>
        <w:rPr>
          <w:rFonts w:cs="Verdana" w:ascii="Verdana" w:hAnsi="Verdana"/>
        </w:rPr>
        <w:t xml:space="preserve">Cal. Pub. Util. Code § 2111.  </w:t>
      </w:r>
    </w:p>
    <w:p>
      <w:pPr>
        <w:pStyle w:val="BodyText"/>
        <w:spacing w:lineRule="exact" w:line="240"/>
        <w:ind w:firstLine="720" w:end="0"/>
        <w:jc w:val="both"/>
        <w:rPr>
          <w:rFonts w:ascii="Verdana" w:hAnsi="Verdana" w:cs="Verdana"/>
          <w:b/>
        </w:rPr>
      </w:pPr>
      <w:r>
        <w:rPr>
          <w:rFonts w:cs="Verdana" w:ascii="Verdana" w:hAnsi="Verdana"/>
        </w:rPr>
        <w:t xml:space="preserve">Additionally, any “person who, either individually, or acting as an officer, agent, or employee of a corporation other than a public utility, violates any provision of this part, or fails to comply with any part of any order, decision, rule, direction, demand, or requirement of the commission, or who procures, aids, or abets any public utility in such violation or noncompliance,” is guilty of a misdemeanor.  Such a person can be punished “by a fine not exceeding one thousand dollars ($1,000), or by imprisonment in a county jail not exceeding one year, or by both such fine and imprisonment.”  </w:t>
      </w:r>
      <w:r>
        <w:rPr>
          <w:rFonts w:cs="Verdana" w:ascii="Verdana" w:hAnsi="Verdana"/>
          <w:i/>
        </w:rPr>
        <w:t xml:space="preserve">See </w:t>
      </w:r>
      <w:r>
        <w:rPr>
          <w:rFonts w:cs="Verdana" w:ascii="Verdana" w:hAnsi="Verdana"/>
        </w:rPr>
        <w:t>Cal. Pub. Util. Code § 2112.</w:t>
      </w:r>
    </w:p>
    <w:p>
      <w:pPr>
        <w:pStyle w:val="Heading2"/>
        <w:numPr>
          <w:ilvl w:val="0"/>
          <w:numId w:val="0"/>
        </w:numPr>
        <w:tabs>
          <w:tab w:val="clear" w:pos="720"/>
          <w:tab w:val="left" w:pos="1440" w:leader="none"/>
        </w:tabs>
        <w:spacing w:lineRule="exact" w:line="240"/>
        <w:ind w:hanging="0" w:start="0"/>
        <w:jc w:val="both"/>
        <w:rPr>
          <w:rFonts w:ascii="Verdana" w:hAnsi="Verdana" w:cs="Verdana"/>
          <w:b/>
        </w:rPr>
      </w:pPr>
      <w:r>
        <w:rPr>
          <w:rFonts w:cs="Verdana" w:ascii="Verdana" w:hAnsi="Verdana"/>
          <w:b/>
        </w:rPr>
        <w:t>Civil Fraud</w:t>
      </w:r>
    </w:p>
    <w:p>
      <w:pPr>
        <w:pStyle w:val="BodyText"/>
        <w:spacing w:lineRule="exact" w:line="240"/>
        <w:ind w:firstLine="720" w:end="0"/>
        <w:jc w:val="both"/>
        <w:rPr/>
      </w:pPr>
      <w:r>
        <w:rPr>
          <w:rFonts w:cs="Verdana" w:ascii="Verdana" w:hAnsi="Verdana"/>
        </w:rPr>
        <w:t xml:space="preserve">Under California law, the elements of fraud are:  (1) a misrepresentation (false representation, concealment, or nondisclosure); (2) knowledge of falsity; (3) intent to defraud; (4) justifiable reliance; and (5) resulting damage.  </w:t>
      </w:r>
      <w:r>
        <w:rPr>
          <w:rFonts w:cs="Verdana" w:ascii="Verdana" w:hAnsi="Verdana"/>
          <w:i/>
        </w:rPr>
        <w:t>See Engalla v. Permanente Med. Group, Inc.</w:t>
      </w:r>
      <w:r>
        <w:rPr>
          <w:rFonts w:cs="Verdana" w:ascii="Verdana" w:hAnsi="Verdana"/>
        </w:rPr>
        <w:t>, 15 Cal. 4th 951, 974 (1997).  Punitive damages are recoverable under a fraud claim.</w:t>
      </w:r>
    </w:p>
    <w:p>
      <w:pPr>
        <w:pStyle w:val="Normal"/>
        <w:keepNext w:val="true"/>
        <w:keepLines/>
        <w:tabs>
          <w:tab w:val="clear" w:pos="720"/>
          <w:tab w:val="left" w:pos="360" w:leader="none"/>
          <w:tab w:val="left" w:pos="1440" w:leader="none"/>
        </w:tabs>
        <w:spacing w:lineRule="exact" w:line="240" w:before="0" w:after="240"/>
        <w:jc w:val="both"/>
        <w:rPr>
          <w:rFonts w:ascii="Verdana" w:hAnsi="Verdana" w:cs="Verdana"/>
          <w:b/>
          <w:color w:val="000000"/>
          <w:sz w:val="24"/>
          <w:lang w:eastAsia="en-US"/>
        </w:rPr>
      </w:pPr>
      <w:r>
        <w:rPr>
          <w:rFonts w:cs="Verdana" w:ascii="Verdana" w:hAnsi="Verdana"/>
          <w:b/>
          <w:color w:val="000000"/>
          <w:sz w:val="24"/>
          <w:lang w:eastAsia="en-US"/>
        </w:rPr>
        <w:t>Federal RICO Action - 18 U.S.C. § 1962.</w:t>
      </w:r>
    </w:p>
    <w:p>
      <w:pPr>
        <w:pStyle w:val="Normal"/>
        <w:spacing w:before="0" w:after="240"/>
        <w:ind w:firstLine="720" w:end="0"/>
        <w:jc w:val="both"/>
        <w:rPr/>
      </w:pPr>
      <w:r>
        <w:rPr>
          <w:rFonts w:cs="Verdana" w:ascii="Verdana" w:hAnsi="Verdana"/>
          <w:sz w:val="24"/>
          <w:lang w:eastAsia="en-US"/>
        </w:rPr>
        <w:t xml:space="preserve">Possible violations of the wire fraud statutes can be used to form the basis of a claim for a violation of RICO.  Under RICO, it is unlawful for any person to (1) use or invest, directly or indirectly, any proceeds derived, directly or indirectly, from a pattern of racketeering activity; (2) to acquire or maintain an interest in an enterprise engaged in a pattern of racketeering activities; (3) conduct or participate in such an enterprise; or (4) conspire to do any of the above.   </w:t>
      </w:r>
      <w:r>
        <w:rPr>
          <w:rFonts w:cs="Verdana" w:ascii="Verdana" w:hAnsi="Verdana"/>
          <w:i/>
          <w:sz w:val="24"/>
          <w:lang w:eastAsia="en-US"/>
        </w:rPr>
        <w:t xml:space="preserve">See </w:t>
      </w:r>
      <w:r>
        <w:rPr>
          <w:rFonts w:cs="Verdana" w:ascii="Verdana" w:hAnsi="Verdana"/>
          <w:sz w:val="24"/>
          <w:lang w:eastAsia="en-US"/>
        </w:rPr>
        <w:t xml:space="preserve">18 U.S.C. § 1962.  A “racketeering activity” includes any act that is indictable under the wire fraud statute.  </w:t>
      </w:r>
      <w:r>
        <w:rPr>
          <w:rFonts w:cs="Verdana" w:ascii="Verdana" w:hAnsi="Verdana"/>
          <w:i/>
          <w:sz w:val="24"/>
          <w:lang w:eastAsia="en-US"/>
        </w:rPr>
        <w:t xml:space="preserve">See </w:t>
      </w:r>
      <w:r>
        <w:rPr>
          <w:rFonts w:cs="Verdana" w:ascii="Verdana" w:hAnsi="Verdana"/>
          <w:sz w:val="24"/>
          <w:lang w:eastAsia="en-US"/>
        </w:rPr>
        <w:t>18 U.S.C. § 1961(C).</w:t>
      </w:r>
    </w:p>
    <w:p>
      <w:pPr>
        <w:pStyle w:val="Normal"/>
        <w:spacing w:before="0" w:after="240"/>
        <w:ind w:firstLine="720" w:end="0"/>
        <w:jc w:val="both"/>
        <w:rPr/>
      </w:pPr>
      <w:r>
        <w:rPr>
          <w:rFonts w:cs="Verdana" w:ascii="Verdana" w:hAnsi="Verdana"/>
          <w:sz w:val="24"/>
          <w:lang w:eastAsia="en-US"/>
        </w:rPr>
        <w:t xml:space="preserve">Any person who violates this RICO statute can be, among other things,  imprisoned for up to 20 years, ordered to forfeit any ill-gotten property, and fined twice the amount of gross profits derived.  </w:t>
      </w:r>
      <w:r>
        <w:rPr>
          <w:rFonts w:cs="Verdana" w:ascii="Verdana" w:hAnsi="Verdana"/>
          <w:i/>
          <w:sz w:val="24"/>
          <w:lang w:eastAsia="en-US"/>
        </w:rPr>
        <w:t xml:space="preserve">See </w:t>
      </w:r>
      <w:r>
        <w:rPr>
          <w:rFonts w:cs="Verdana" w:ascii="Verdana" w:hAnsi="Verdana"/>
          <w:sz w:val="24"/>
          <w:lang w:eastAsia="en-US"/>
        </w:rPr>
        <w:t xml:space="preserve">18 U.S.C. § 1963.  A violator can also be liable for treble damages.  </w:t>
      </w:r>
      <w:r>
        <w:rPr>
          <w:rFonts w:cs="Verdana" w:ascii="Verdana" w:hAnsi="Verdana"/>
          <w:i/>
          <w:sz w:val="24"/>
          <w:lang w:eastAsia="en-US"/>
        </w:rPr>
        <w:t xml:space="preserve">See </w:t>
      </w:r>
      <w:r>
        <w:rPr>
          <w:rFonts w:cs="Verdana" w:ascii="Verdana" w:hAnsi="Verdana"/>
          <w:sz w:val="24"/>
          <w:lang w:eastAsia="en-US"/>
        </w:rPr>
        <w:t>18 U.S.C. § 1964.</w:t>
      </w:r>
    </w:p>
    <w:sectPr>
      <w:footnotePr>
        <w:numFmt w:val="decimal"/>
      </w:footnotePr>
      <w:type w:val="continuous"/>
      <w:pgSz w:w="12240" w:h="15840"/>
      <w:pgMar w:left="720" w:right="720" w:gutter="0" w:header="0" w:top="1440" w:footer="720" w:bottom="1440"/>
      <w:cols w:num="2" w:space="36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Verdana" w:hAnsi="Verdana" w:cs="Verdana"/>
        <w:b/>
        <w:sz w:val="16"/>
      </w:rPr>
    </w:pPr>
    <w:r>
      <w:drawing>
        <wp:anchor behindDoc="0" distT="0" distB="0" distL="114935" distR="114935" simplePos="0" locked="0" layoutInCell="0" allowOverlap="1" relativeHeight="9">
          <wp:simplePos x="0" y="0"/>
          <wp:positionH relativeFrom="column">
            <wp:posOffset>5669280</wp:posOffset>
          </wp:positionH>
          <wp:positionV relativeFrom="paragraph">
            <wp:posOffset>-38100</wp:posOffset>
          </wp:positionV>
          <wp:extent cx="1182370" cy="3721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6" t="-56" r="-26" b="-56"/>
                  <a:stretch>
                    <a:fillRect/>
                  </a:stretch>
                </pic:blipFill>
                <pic:spPr bwMode="auto">
                  <a:xfrm>
                    <a:off x="0" y="0"/>
                    <a:ext cx="1182370" cy="372110"/>
                  </a:xfrm>
                  <a:prstGeom prst="rect">
                    <a:avLst/>
                  </a:prstGeom>
                  <a:noFill/>
                </pic:spPr>
              </pic:pic>
            </a:graphicData>
          </a:graphic>
        </wp:anchor>
      </w:drawing>
    </w:r>
    <w:r>
      <w:rPr>
        <w:rFonts w:cs="Verdana" w:ascii="Verdana" w:hAnsi="Verdana"/>
        <w:b/>
        <w:sz w:val="16"/>
      </w:rPr>
      <w:t>PRIVILEGED AND CONFIDENTIAL</w:t>
    </w:r>
  </w:p>
  <w:p>
    <w:pPr>
      <w:pStyle w:val="Footer"/>
      <w:jc w:val="center"/>
      <w:rPr>
        <w:rFonts w:ascii="Verdana" w:hAnsi="Verdana" w:cs="Verdana"/>
      </w:rPr>
    </w:pPr>
    <w:r>
      <w:rPr>
        <w:rFonts w:cs="Verdana" w:ascii="Verdana" w:hAnsi="Verdana"/>
        <w:b/>
        <w:sz w:val="16"/>
      </w:rPr>
      <w:t>ATTORNEY CLIENT COMMUNICATION AND ATTORNEY WORK PRODUCT</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p>
    <w:pPr>
      <w:pStyle w:val="Footer"/>
      <w:jc w:val="end"/>
      <w:rPr>
        <w:rStyle w:val="PageNumber"/>
      </w:rPr>
    </w:pPr>
    <w:r>
      <w:rPr/>
    </w:r>
  </w:p>
  <w:p>
    <w:pPr>
      <w:pStyle w:val="Footer"/>
      <w:jc w:val="end"/>
      <w:rPr>
        <w:rStyle w:val="PageNumber"/>
        <w:rFonts w:ascii="Verdana" w:hAnsi="Verdana" w:cs="Verda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ind w:firstLine="720" w:start="0" w:end="0"/>
        <w:rPr/>
      </w:pPr>
      <w:r>
        <w:rPr>
          <w:rStyle w:val="FootnoteCharacters"/>
        </w:rPr>
        <w:footnoteRef/>
      </w:r>
      <w:r>
        <w:rPr>
          <w:rFonts w:cs="Verdana" w:ascii="Verdana" w:hAnsi="Verdana"/>
        </w:rPr>
        <w:t xml:space="preserve"> </w:t>
      </w:r>
      <w:r>
        <w:rPr>
          <w:rFonts w:cs="Verdana" w:ascii="Verdana" w:hAnsi="Verdana"/>
        </w:rPr>
        <w:t xml:space="preserve">If the rumors are true, Enron may need to inform its individual employees, especially the traders, to seek separate criminal counsel.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sz w:val="24"/>
    </w:rPr>
  </w:style>
  <w:style w:type="paragraph" w:styleId="Heading2">
    <w:name w:val="heading 2"/>
    <w:basedOn w:val="Normal"/>
    <w:next w:val="BodyText"/>
    <w:qFormat/>
    <w:pPr>
      <w:keepNext w:val="true"/>
      <w:keepLines/>
      <w:numPr>
        <w:ilvl w:val="1"/>
        <w:numId w:val="1"/>
      </w:numPr>
      <w:spacing w:before="0" w:after="240"/>
      <w:outlineLvl w:val="1"/>
    </w:pPr>
    <w:rPr>
      <w:color w:val="000000"/>
      <w:sz w:val="24"/>
    </w:rPr>
  </w:style>
  <w:style w:type="paragraph" w:styleId="Heading3">
    <w:name w:val="heading 3"/>
    <w:basedOn w:val="Heading2"/>
    <w:next w:val="BodyText"/>
    <w:qFormat/>
    <w:pPr>
      <w:numPr>
        <w:ilvl w:val="2"/>
        <w:numId w:val="1"/>
      </w:numPr>
      <w:tabs>
        <w:tab w:val="clear" w:pos="720"/>
        <w:tab w:val="left" w:pos="360" w:leader="none"/>
      </w:tabs>
      <w:outlineLvl w:val="2"/>
    </w:pPr>
    <w:rPr/>
  </w:style>
  <w:style w:type="paragraph" w:styleId="Heading4">
    <w:name w:val="heading 4"/>
    <w:basedOn w:val="Normal"/>
    <w:next w:val="BodyText"/>
    <w:qFormat/>
    <w:pPr>
      <w:keepNext w:val="true"/>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color w:val="000000"/>
      <w:sz w:val="24"/>
    </w:rPr>
  </w:style>
  <w:style w:type="paragraph" w:styleId="Heading8">
    <w:name w:val="heading 8"/>
    <w:basedOn w:val="Normal"/>
    <w:next w:val="BodyText"/>
    <w:qFormat/>
    <w:pPr>
      <w:numPr>
        <w:ilvl w:val="7"/>
        <w:numId w:val="1"/>
      </w:numPr>
      <w:spacing w:before="0" w:after="240"/>
      <w:outlineLvl w:val="7"/>
    </w:pPr>
    <w:rPr>
      <w:color w:val="000000"/>
      <w:sz w:val="24"/>
    </w:rPr>
  </w:style>
  <w:style w:type="paragraph" w:styleId="Heading9">
    <w:name w:val="heading 9"/>
    <w:basedOn w:val="Normal"/>
    <w:next w:val="BodyText"/>
    <w:qFormat/>
    <w:pPr>
      <w:numPr>
        <w:ilvl w:val="8"/>
        <w:numId w:val="1"/>
      </w:numPr>
      <w:spacing w:before="0" w:after="240"/>
      <w:outlineLvl w:val="8"/>
    </w:pPr>
    <w:rPr>
      <w:color w:val="000000"/>
      <w:sz w:val="24"/>
    </w:rPr>
  </w:style>
  <w:style w:type="character" w:styleId="WW8Num1z0">
    <w:name w:val="WW8Num1z0"/>
    <w:qFormat/>
    <w:rPr>
      <w:color w:val="00000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spacing w:before="240" w:after="0"/>
      <w:ind w:firstLine="720" w:start="0" w:end="0"/>
    </w:pPr>
    <w:rPr>
      <w:sz w:val="24"/>
    </w:rPr>
  </w:style>
  <w:style w:type="paragraph" w:styleId="QuoteS">
    <w:name w:val="QuoteS"/>
    <w:basedOn w:val="Normal"/>
    <w:next w:val="BodyText"/>
    <w:qFormat/>
    <w:pPr>
      <w:widowControl w:val="false"/>
      <w:spacing w:before="0" w:after="240"/>
      <w:ind w:hanging="0" w:start="1440" w:end="144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2000-10-30T17:07:00Z</dcterms:created>
  <dc:creator>GSF</dc:creator>
  <dc:description/>
  <dc:language>en-CA</dc:language>
  <cp:lastModifiedBy>Gary Fergus</cp:lastModifiedBy>
  <cp:lastPrinted>2000-10-30T13:02:00Z</cp:lastPrinted>
  <dcterms:modified xsi:type="dcterms:W3CDTF">2000-10-30T18:32:00Z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SFRLIB1\GSF\5432088.01(38FFC01!.DOC)</vt:lpwstr>
  </property>
  <property fmtid="{D5CDD505-2E9C-101B-9397-08002B2CF9AE}" pid="10" name="Doc Path">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CATALYTICA COMBUSTION SYSTEMS INC</vt:lpwstr>
  </property>
  <property fmtid="{D5CDD505-2E9C-101B-9397-08002B2CF9AE}" pid="15" name="Matter No.">
    <vt:lpwstr>0002</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