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Header"/>
        <w:tabs>
          <w:tab w:val="clear" w:pos="4320"/>
          <w:tab w:val="clear" w:pos="8640"/>
        </w:tabs>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November 19,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b/>
          <w:i/>
          <w:sz w:val="22"/>
          <w:u w:val="single"/>
        </w:rPr>
        <w:t>VIA OVERNIGHT DELIVERY</w:t>
      </w:r>
    </w:p>
    <w:p>
      <w:pPr>
        <w:pStyle w:val="Normal"/>
        <w:jc w:val="both"/>
        <w:rPr>
          <w:sz w:val="22"/>
        </w:rPr>
      </w:pPr>
      <w:r>
        <w:rPr>
          <w:sz w:val="22"/>
        </w:rPr>
      </w:r>
    </w:p>
    <w:p>
      <w:pPr>
        <w:pStyle w:val="Normal"/>
        <w:autoSpaceDE w:val="false"/>
        <w:rPr>
          <w:color w:val="000000"/>
          <w:sz w:val="22"/>
        </w:rPr>
      </w:pPr>
      <w:r>
        <w:rPr>
          <w:color w:val="000000"/>
          <w:sz w:val="22"/>
        </w:rPr>
        <w:t>Mr. Michael A. Penny</w:t>
      </w:r>
    </w:p>
    <w:p>
      <w:pPr>
        <w:pStyle w:val="Normal"/>
        <w:autoSpaceDE w:val="false"/>
        <w:rPr>
          <w:color w:val="000000"/>
          <w:sz w:val="22"/>
        </w:rPr>
      </w:pPr>
      <w:r>
        <w:rPr>
          <w:color w:val="000000"/>
          <w:sz w:val="22"/>
        </w:rPr>
        <w:t>Torys</w:t>
      </w:r>
    </w:p>
    <w:p>
      <w:pPr>
        <w:pStyle w:val="Normal"/>
        <w:autoSpaceDE w:val="false"/>
        <w:rPr>
          <w:color w:val="000000"/>
          <w:sz w:val="22"/>
        </w:rPr>
      </w:pPr>
      <w:r>
        <w:rPr>
          <w:color w:val="000000"/>
          <w:sz w:val="22"/>
        </w:rPr>
        <w:t>Suite 3000</w:t>
      </w:r>
    </w:p>
    <w:p>
      <w:pPr>
        <w:pStyle w:val="Normal"/>
        <w:autoSpaceDE w:val="false"/>
        <w:rPr>
          <w:color w:val="000000"/>
          <w:sz w:val="22"/>
        </w:rPr>
      </w:pPr>
      <w:r>
        <w:rPr>
          <w:color w:val="000000"/>
          <w:sz w:val="22"/>
        </w:rPr>
        <w:t>Maritime Life Tower</w:t>
      </w:r>
    </w:p>
    <w:p>
      <w:pPr>
        <w:pStyle w:val="Normal"/>
        <w:autoSpaceDE w:val="false"/>
        <w:rPr>
          <w:color w:val="000000"/>
          <w:sz w:val="22"/>
        </w:rPr>
      </w:pPr>
      <w:r>
        <w:rPr>
          <w:color w:val="000000"/>
          <w:sz w:val="22"/>
        </w:rPr>
        <w:t>Box 270, TD Centre</w:t>
      </w:r>
    </w:p>
    <w:p>
      <w:pPr>
        <w:pStyle w:val="Normal"/>
        <w:autoSpaceDE w:val="false"/>
        <w:rPr>
          <w:color w:val="000000"/>
          <w:sz w:val="22"/>
        </w:rPr>
      </w:pPr>
      <w:r>
        <w:rPr>
          <w:color w:val="000000"/>
          <w:sz w:val="22"/>
        </w:rPr>
        <w:t>Toronto, Ontario</w:t>
      </w:r>
    </w:p>
    <w:p>
      <w:pPr>
        <w:pStyle w:val="Normal"/>
        <w:tabs>
          <w:tab w:val="left" w:pos="720" w:leader="none"/>
        </w:tabs>
        <w:ind w:hanging="1440" w:start="1440" w:end="0"/>
        <w:jc w:val="both"/>
        <w:rPr>
          <w:bCs/>
          <w:sz w:val="22"/>
        </w:rPr>
      </w:pPr>
      <w:r>
        <w:rPr>
          <w:bCs/>
          <w:sz w:val="22"/>
        </w:rPr>
        <w:t>M5K 1N2 Canada</w:t>
      </w:r>
    </w:p>
    <w:p>
      <w:pPr>
        <w:pStyle w:val="Normal"/>
        <w:tabs>
          <w:tab w:val="left" w:pos="720" w:leader="none"/>
        </w:tabs>
        <w:ind w:hanging="1440" w:start="1440" w:end="0"/>
        <w:jc w:val="both"/>
        <w:rPr>
          <w:b/>
          <w:bCs/>
          <w:sz w:val="22"/>
        </w:rPr>
      </w:pPr>
      <w:r>
        <w:rPr>
          <w:b/>
          <w:bCs/>
          <w:sz w:val="22"/>
        </w:rPr>
      </w:r>
    </w:p>
    <w:p>
      <w:pPr>
        <w:pStyle w:val="Normal"/>
        <w:tabs>
          <w:tab w:val="left" w:pos="720" w:leader="none"/>
        </w:tabs>
        <w:ind w:hanging="720" w:start="720" w:end="0"/>
        <w:jc w:val="both"/>
        <w:rPr/>
      </w:pPr>
      <w:r>
        <w:rPr>
          <w:b/>
          <w:sz w:val="22"/>
        </w:rPr>
        <w:t>Re:</w:t>
        <w:tab/>
      </w:r>
      <w:r>
        <w:rPr>
          <w:b/>
          <w:i/>
          <w:iCs/>
          <w:sz w:val="22"/>
        </w:rPr>
        <w:t>Commodity Swap 521435.01(the “Transaction”) dated February 14, 2001 between Enron North America Corp. and Maclaren Energy Inc.</w:t>
      </w:r>
    </w:p>
    <w:p>
      <w:pPr>
        <w:pStyle w:val="Normal"/>
        <w:jc w:val="both"/>
        <w:rPr>
          <w:b/>
          <w:i/>
          <w:i/>
          <w:iCs/>
          <w:sz w:val="22"/>
        </w:rPr>
      </w:pPr>
      <w:r>
        <w:rPr>
          <w:b/>
          <w:i/>
          <w:iCs/>
          <w:sz w:val="22"/>
        </w:rPr>
      </w:r>
    </w:p>
    <w:p>
      <w:pPr>
        <w:pStyle w:val="Normal"/>
        <w:jc w:val="both"/>
        <w:rPr>
          <w:sz w:val="22"/>
        </w:rPr>
      </w:pPr>
      <w:r>
        <w:rPr>
          <w:sz w:val="22"/>
        </w:rPr>
        <w:t>Dear Mr. Penny:</w:t>
      </w:r>
    </w:p>
    <w:p>
      <w:pPr>
        <w:pStyle w:val="Normal"/>
        <w:jc w:val="both"/>
        <w:rPr>
          <w:sz w:val="22"/>
        </w:rPr>
      </w:pPr>
      <w:r>
        <w:rPr>
          <w:sz w:val="22"/>
        </w:rPr>
      </w:r>
    </w:p>
    <w:p>
      <w:pPr>
        <w:pStyle w:val="Normal"/>
        <w:ind w:firstLine="720" w:end="0"/>
        <w:jc w:val="both"/>
        <w:rPr>
          <w:sz w:val="22"/>
        </w:rPr>
      </w:pPr>
      <w:r>
        <w:rPr>
          <w:sz w:val="22"/>
        </w:rPr>
        <w:t>We are writing in reply to your letter of November 16, 2001.  There simply has been no change in the manner or methodology by which the Floating Price for the referenced Transaction has been, and continues to be, determined.  Your correspondence and the previous correspondence from your client represents a thinly veiled attempt to renegotiate a transaction without any basis in fact, law or good faith for so doing.  We expect the referenced Transaction to be performed in accordance with its terms, and intend to enforce and pursue all of our remedies in the event of any nonperformance by your client.</w:t>
      </w:r>
    </w:p>
    <w:p>
      <w:pPr>
        <w:pStyle w:val="Normal"/>
        <w:jc w:val="both"/>
        <w:rPr>
          <w:sz w:val="22"/>
        </w:rPr>
      </w:pPr>
      <w:r>
        <w:rPr>
          <w:sz w:val="22"/>
        </w:rPr>
      </w:r>
    </w:p>
    <w:p>
      <w:pPr>
        <w:pStyle w:val="Normal"/>
        <w:ind w:firstLine="720" w:end="0"/>
        <w:jc w:val="both"/>
        <w:rPr/>
      </w:pPr>
      <w:r>
        <w:rPr>
          <w:sz w:val="22"/>
        </w:rPr>
        <w:t>Please forward all of your future correspondence on this matter to the attention of Mr. Dalton McGrath of Blake, Cassells &amp; Graydon, 3500, 855 – 2</w:t>
      </w:r>
      <w:r>
        <w:rPr>
          <w:sz w:val="22"/>
          <w:vertAlign w:val="superscript"/>
        </w:rPr>
        <w:t>nd</w:t>
      </w:r>
      <w:r>
        <w:rPr>
          <w:sz w:val="22"/>
        </w:rPr>
        <w:t xml:space="preserve"> Street SW, Calgary, Alberta T2P 4J8, Facsimile No. 403-260-9654.</w:t>
      </w:r>
    </w:p>
    <w:p>
      <w:pPr>
        <w:pStyle w:val="Normal"/>
        <w:ind w:firstLine="720" w:start="3600" w:end="0"/>
        <w:jc w:val="both"/>
        <w:rPr>
          <w:sz w:val="22"/>
        </w:rPr>
      </w:pPr>
      <w:r>
        <w:rPr>
          <w:sz w:val="22"/>
        </w:rPr>
      </w:r>
    </w:p>
    <w:p>
      <w:pPr>
        <w:pStyle w:val="Normal"/>
        <w:ind w:start="4320" w:end="0"/>
        <w:jc w:val="both"/>
        <w:rPr>
          <w:sz w:val="22"/>
        </w:rPr>
      </w:pPr>
      <w:r>
        <w:rPr>
          <w:sz w:val="22"/>
        </w:rPr>
        <w:t>Very truly yours,</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Mark E. Taylor</w:t>
      </w:r>
    </w:p>
    <w:p>
      <w:pPr>
        <w:pStyle w:val="Normal"/>
        <w:ind w:start="4320" w:end="0"/>
        <w:jc w:val="both"/>
        <w:rPr>
          <w:sz w:val="22"/>
        </w:rPr>
      </w:pPr>
      <w:r>
        <w:rPr>
          <w:sz w:val="22"/>
        </w:rPr>
        <w:t>Vice President and Assistant General Counsel</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cc:</w:t>
        <w:tab/>
        <w:t>Dalton McGrath (Blake, Cassells &amp; Graydon)</w:t>
      </w:r>
    </w:p>
    <w:sectPr>
      <w:footerReference w:type="default" r:id="rId2"/>
      <w:type w:val="nextPage"/>
      <w:pgSz w:w="12240" w:h="15840"/>
      <w:pgMar w:left="1440" w:right="144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/mnt/main-storage/datasets/enron-docs/doc/385ltr_maclaren_torys_.doc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BodyTextIndent">
    <w:name w:val="Body Text Indent"/>
    <w:basedOn w:val="Normal"/>
    <w:pPr>
      <w:ind w:hanging="72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3">
    <w:name w:val="Body Text 3"/>
    <w:basedOn w:val="Normal"/>
    <w:qFormat/>
    <w:pPr>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2001-11-19T17:13:00Z</dcterms:created>
  <dc:creator>ECT</dc:creator>
  <dc:description/>
  <dc:language>en-CA</dc:language>
  <cp:lastModifiedBy>spanus</cp:lastModifiedBy>
  <cp:lastPrinted>2001-11-16T11:40:00Z</cp:lastPrinted>
  <dcterms:modified xsi:type="dcterms:W3CDTF">2001-11-19T17:14:00Z</dcterms:modified>
  <cp:revision>3</cp:revision>
  <dc:subject/>
  <dc:title>March 12, 1997</dc:title>
</cp:coreProperties>
</file>