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760" w:type="dxa"/>
        <w:jc w:val="start"/>
        <w:tblInd w:w="-882" w:type="dxa"/>
        <w:tblLayout w:type="fixed"/>
        <w:tblCellMar>
          <w:top w:w="0" w:type="dxa"/>
          <w:start w:w="108" w:type="dxa"/>
          <w:bottom w:w="0" w:type="dxa"/>
          <w:end w:w="108" w:type="dxa"/>
        </w:tblCellMar>
      </w:tblPr>
      <w:tblGrid>
        <w:gridCol w:w="1350"/>
        <w:gridCol w:w="1710"/>
        <w:gridCol w:w="2790"/>
        <w:gridCol w:w="4320"/>
        <w:gridCol w:w="4590"/>
      </w:tblGrid>
      <w:tr>
        <w:trPr>
          <w:tblHeader w:val="true"/>
        </w:trPr>
        <w:tc>
          <w:tcPr>
            <w:tcW w:w="14760" w:type="dxa"/>
            <w:gridSpan w:val="5"/>
            <w:tcBorders>
              <w:top w:val="single" w:sz="4" w:space="0" w:color="000000"/>
              <w:start w:val="single" w:sz="4" w:space="0" w:color="000000"/>
              <w:bottom w:val="single" w:sz="4" w:space="0" w:color="000000"/>
              <w:end w:val="single" w:sz="4" w:space="0" w:color="000000"/>
            </w:tcBorders>
            <w:shd w:fill="BFBFBF" w:val="clear"/>
          </w:tcPr>
          <w:p>
            <w:pPr>
              <w:pStyle w:val="Normal"/>
              <w:spacing w:before="120" w:after="0"/>
              <w:jc w:val="center"/>
              <w:rPr>
                <w:b/>
              </w:rPr>
            </w:pPr>
            <w:r>
              <w:rPr>
                <w:b/>
              </w:rPr>
              <w:t>MIDWAY DEVELOPMENT COMPANY, L.L.C.</w:t>
            </w:r>
          </w:p>
          <w:p>
            <w:pPr>
              <w:pStyle w:val="Normal"/>
              <w:spacing w:before="0" w:after="120"/>
              <w:jc w:val="center"/>
              <w:rPr>
                <w:b/>
              </w:rPr>
            </w:pPr>
            <w:r>
              <w:rPr>
                <w:b/>
              </w:rPr>
              <w:t>CONTRACT SUMMARY - ASSIGNMENT PROVISIONS</w:t>
            </w:r>
          </w:p>
        </w:tc>
      </w:tr>
      <w:tr>
        <w:trPr>
          <w:tblHeader w:val="true"/>
        </w:trPr>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Contract #</w:t>
            </w:r>
          </w:p>
        </w:tc>
        <w:tc>
          <w:tcPr>
            <w:tcW w:w="17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Name of Contract</w:t>
            </w:r>
          </w:p>
        </w:tc>
        <w:tc>
          <w:tcPr>
            <w:tcW w:w="27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Brief Description</w:t>
            </w:r>
          </w:p>
        </w:tc>
        <w:tc>
          <w:tcPr>
            <w:tcW w:w="43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Consent Required?</w:t>
            </w:r>
          </w:p>
        </w:tc>
        <w:tc>
          <w:tcPr>
            <w:tcW w:w="45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Comments</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03.01.01</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Land Option</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Option to Purchase Real Estate</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but only if (i) such assignment is made in connection with the financing, construction, purchase or sale of any power plant development involving the property, and (ii) Optionee has obtained (x) all applicable governmental approvals for construction of a power plant on the property and (y) an approved site plan requiring construction of the asphalt feeder road and storm water detention pond (see Paragraphs 10 and 28 of the Option).  If (x) and (y) have not been obtained, Optionee may otherwise assign Option to creditworthy persons</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Option was assigned to Midway with the consent of the Optionor; as Optionee, Midway may need the consent of Optionor to assign the Option.</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03.01.05</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Option Agreement for Sale &amp; Purchase of Real Estate</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Option Agreement between Midway and Clyde Thompson</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Midway need not obtain the consent of Optionor to assign the Option.</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03.01.06</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Option to Purchase Real Estate</w:t>
            </w:r>
          </w:p>
          <w:p>
            <w:pPr>
              <w:pStyle w:val="Normal"/>
              <w:rPr>
                <w:sz w:val="22"/>
              </w:rPr>
            </w:pPr>
            <w:r>
              <w:rPr>
                <w:sz w:val="22"/>
              </w:rPr>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Option Agreement between Midway and Paul Freeman</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 but only if such assignment is made (i) in connection with the development, financing, construction, purchase or sale of any power plant development on or involving the property and (ii) to a party who has the financial capacity and funding to purchase the property (see Paragraph 10 of Option)</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As Optionee, Midway will remain responsible for liabilities arising prior to assignment.</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04.01.02</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Air Permit</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Department of Environmental Protection (“DEP”)</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 in accordance with certain statutory and regulatory provisions</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Midway may transfer the permit only in accordance with Fla. Admin. Code r. 62</w:t>
              <w:noBreakHyphen/>
              <w:t>4.120 and 62-730.000.  In order to transfer the permit, Midway must also submit DEP Form Nos. 62-1.201(1) and 62</w:t>
              <w:noBreakHyphen/>
              <w:t>210.900(7).  According to a DEP representative, it is unusual for the DEP to deny permission to transfer. The original permittee is liable for non-compliance if permission is not granted.</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04.02.01</w:t>
            </w:r>
          </w:p>
        </w:tc>
        <w:tc>
          <w:tcPr>
            <w:tcW w:w="171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Water Use Permit Application</w:t>
            </w:r>
          </w:p>
        </w:tc>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Application to the South Florida Water Management District (“SFWMD”) for a permit to use water</w:t>
            </w:r>
          </w:p>
          <w:p>
            <w:pPr>
              <w:pStyle w:val="Normal"/>
              <w:keepNext w:val="true"/>
              <w:keepLines/>
              <w:rPr>
                <w:sz w:val="22"/>
              </w:rPr>
            </w:pPr>
            <w:r>
              <w:rPr>
                <w:sz w:val="22"/>
              </w:rPr>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YES, in accordance with certain statutory and regulatory provisions</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If issued pursuant to the application, Midway may transfer the permit only in accordance with Fla. Admin. Code r. 40E-1.6105, 40E</w:t>
              <w:noBreakHyphen/>
              <w:t xml:space="preserve">1.6107, 40E-2.351 and 40E-4.351.  To receive permission to transfer the permit, Midway must also submit SFWMD Form #0483 with a $450 fee and a copy of the deed.  It is unusual for SFWMD to deny permission unless the transfer of the deed is incomplete. The original permittee is liable for non-compliance if permission is not granted. </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04.03.01</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Environmental Resource Permit Application</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Application submitted to the State of Florida</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YES, in accordance with certain statutory and regulatory provisions</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If issued pursuant to the application, Midway may transfer the permit only in accordance with Fla. Admin. Code r. 62</w:t>
              <w:noBreakHyphen/>
              <w:t>343.130.  In order to transfer the permit, Midway must also submit DEP Form No. 62</w:t>
              <w:noBreakHyphen/>
              <w:t>343.900(8). This form verifies the transfer of ownership, and the transferee must acknowledge that it is familiar with the applicable regulations and agree to assume the rights and obligations under the permit.</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05.01.03</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Planning &amp; Zoning Staff Recommendation</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Re-zoning</w:t>
            </w:r>
          </w:p>
        </w:tc>
        <w:tc>
          <w:tcPr>
            <w:tcW w:w="432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NO</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This document refers to successors and assignees in several instances, but does not mention any restriction on assignments.</w:t>
            </w:r>
          </w:p>
        </w:tc>
      </w:tr>
      <w:tr>
        <w:trPr/>
        <w:tc>
          <w:tcPr>
            <w:tcW w:w="135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05.01.04</w:t>
            </w:r>
          </w:p>
        </w:tc>
        <w:tc>
          <w:tcPr>
            <w:tcW w:w="171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St. Lucie County Re-Zoning &amp; Site Plan Approval</w:t>
            </w:r>
          </w:p>
        </w:tc>
        <w:tc>
          <w:tcPr>
            <w:tcW w:w="279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Local Resolution</w:t>
            </w:r>
          </w:p>
        </w:tc>
        <w:tc>
          <w:tcPr>
            <w:tcW w:w="4320" w:type="dxa"/>
            <w:tcBorders>
              <w:top w:val="single" w:sz="4" w:space="0" w:color="000000"/>
              <w:start w:val="single" w:sz="4" w:space="0" w:color="000000"/>
              <w:bottom w:val="single" w:sz="4" w:space="0" w:color="000000"/>
              <w:end w:val="single" w:sz="4" w:space="0" w:color="000000"/>
            </w:tcBorders>
          </w:tcPr>
          <w:p>
            <w:pPr>
              <w:pStyle w:val="Normal"/>
              <w:keepNext w:val="true"/>
              <w:keepLines/>
              <w:rPr>
                <w:sz w:val="22"/>
              </w:rPr>
            </w:pPr>
            <w:r>
              <w:rPr>
                <w:sz w:val="22"/>
              </w:rPr>
              <w:t>NO</w:t>
            </w:r>
          </w:p>
        </w:tc>
        <w:tc>
          <w:tcPr>
            <w:tcW w:w="4590" w:type="dxa"/>
            <w:tcBorders>
              <w:top w:val="single" w:sz="4" w:space="0" w:color="000000"/>
              <w:start w:val="single" w:sz="4" w:space="0" w:color="000000"/>
              <w:bottom w:val="single" w:sz="4" w:space="0" w:color="000000"/>
              <w:end w:val="single" w:sz="4" w:space="0" w:color="000000"/>
            </w:tcBorders>
          </w:tcPr>
          <w:p>
            <w:pPr>
              <w:pStyle w:val="Normal"/>
              <w:spacing w:before="0" w:after="120"/>
              <w:rPr>
                <w:sz w:val="22"/>
              </w:rPr>
            </w:pPr>
            <w:r>
              <w:rPr>
                <w:sz w:val="22"/>
              </w:rPr>
              <w:t>This document refers to successors and assignees in several instances, but does not mention any restriction on assignments.</w:t>
            </w:r>
          </w:p>
        </w:tc>
      </w:tr>
    </w:tbl>
    <w:p>
      <w:pPr>
        <w:pStyle w:val="Normal"/>
        <w:rPr>
          <w:sz w:val="22"/>
        </w:rPr>
      </w:pPr>
      <w:r>
        <w:rPr>
          <w:sz w:val="22"/>
        </w:rPr>
      </w:r>
    </w:p>
    <w:sectPr>
      <w:headerReference w:type="default" r:id="rId2"/>
      <w:footerReference w:type="default" r:id="rId3"/>
      <w:type w:val="nextPage"/>
      <w:pgSz w:orient="landscape" w:w="15840" w:h="122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3</w:t>
    </w:r>
    <w:r>
      <w:rPr>
        <w:rStyle w:val="PageNumber"/>
      </w:rPr>
      <w:fldChar w:fldCharType="end"/>
    </w:r>
    <w:r>
      <mc:AlternateContent>
        <mc:Choice Requires="wps">
          <w:drawing>
            <wp:anchor behindDoc="1" distT="0" distB="0" distL="114935" distR="114935" simplePos="0" locked="0" layoutInCell="0" allowOverlap="1" relativeHeight="4">
              <wp:simplePos x="0" y="0"/>
              <wp:positionH relativeFrom="margin">
                <wp:posOffset>0</wp:posOffset>
              </wp:positionH>
              <wp:positionV relativeFrom="paragraph">
                <wp:posOffset>635</wp:posOffset>
              </wp:positionV>
              <wp:extent cx="2743200" cy="457200"/>
              <wp:effectExtent l="0" t="0" r="0" b="0"/>
              <wp:wrapNone/>
              <wp:docPr id="1"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Houston-149151 v2-</w:t>
                          </w:r>
                          <w:r>
                            <w:rPr/>
                            <w:fldChar w:fldCharType="end"/>
                          </w:r>
                          <w:r>
                            <w:rPr/>
                            <w:fldChar w:fldCharType="begin"/>
                          </w:r>
                          <w:r>
                            <w:rPr/>
                            <w:instrText xml:space="preserve"> DATE \@"M\/d\/yyyy" </w:instrText>
                          </w:r>
                          <w:r>
                            <w:rPr/>
                            <w:fldChar w:fldCharType="separate"/>
                          </w:r>
                          <w:r>
                            <w:rPr/>
                            <w:t>9/28/2025</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Houston-149151 v2-</w:t>
                    </w:r>
                    <w:r>
                      <w:rPr/>
                      <w:fldChar w:fldCharType="end"/>
                    </w:r>
                    <w:r>
                      <w:rPr/>
                      <w:fldChar w:fldCharType="begin"/>
                    </w:r>
                    <w:r>
                      <w:rPr/>
                      <w:instrText xml:space="preserve"> DATE \@"M\/d\/yyyy" </w:instrText>
                    </w:r>
                    <w:r>
                      <w:rPr/>
                      <w:fldChar w:fldCharType="separate"/>
                    </w:r>
                    <w:r>
                      <w:rPr/>
                      <w:t>9/28/2025</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caps/>
    </w:rPr>
  </w:style>
  <w:style w:type="paragraph" w:styleId="Heading2">
    <w:name w:val="heading 2"/>
    <w:basedOn w:val="Normal"/>
    <w:next w:val="BodyText"/>
    <w:qFormat/>
    <w:pPr>
      <w:keepNext w:val="true"/>
      <w:numPr>
        <w:ilvl w:val="1"/>
        <w:numId w:val="1"/>
      </w:numPr>
      <w:spacing w:before="0" w:after="240"/>
      <w:jc w:val="center"/>
      <w:outlineLvl w:val="1"/>
    </w:pPr>
    <w:rPr>
      <w:b/>
      <w:u w:val="single"/>
    </w:rPr>
  </w:style>
  <w:style w:type="paragraph" w:styleId="Heading3">
    <w:name w:val="heading 3"/>
    <w:basedOn w:val="Normal"/>
    <w:next w:val="BodyText"/>
    <w:qFormat/>
    <w:pPr>
      <w:keepNext w:val="true"/>
      <w:numPr>
        <w:ilvl w:val="2"/>
        <w:numId w:val="1"/>
      </w:numPr>
      <w:spacing w:before="0" w:after="240"/>
      <w:jc w:val="center"/>
      <w:outlineLvl w:val="2"/>
    </w:pPr>
    <w:rPr>
      <w:u w:val="single"/>
    </w:rPr>
  </w:style>
  <w:style w:type="paragraph" w:styleId="Heading4">
    <w:name w:val="heading 4"/>
    <w:basedOn w:val="Normal"/>
    <w:next w:val="BodyText"/>
    <w:qFormat/>
    <w:pPr>
      <w:keepNext w:val="true"/>
      <w:numPr>
        <w:ilvl w:val="3"/>
        <w:numId w:val="1"/>
      </w:numPr>
      <w:spacing w:before="0" w:after="240"/>
      <w:outlineLvl w:val="3"/>
    </w:pPr>
    <w:rPr>
      <w:b/>
      <w:u w:val="single"/>
    </w:rPr>
  </w:style>
  <w:style w:type="paragraph" w:styleId="Heading5">
    <w:name w:val="heading 5"/>
    <w:basedOn w:val="Normal"/>
    <w:next w:val="BodyText"/>
    <w:qFormat/>
    <w:pPr>
      <w:numPr>
        <w:ilvl w:val="4"/>
        <w:numId w:val="1"/>
      </w:numPr>
      <w:spacing w:before="0" w:after="240"/>
      <w:outlineLvl w:val="4"/>
    </w:pPr>
    <w:rPr>
      <w:b/>
      <w:i/>
    </w:rPr>
  </w:style>
  <w:style w:type="paragraph" w:styleId="Heading6">
    <w:name w:val="heading 6"/>
    <w:basedOn w:val="Normal"/>
    <w:next w:val="BodyText"/>
    <w:qFormat/>
    <w:pPr>
      <w:numPr>
        <w:ilvl w:val="5"/>
        <w:numId w:val="1"/>
      </w:numPr>
      <w:spacing w:before="0" w:after="240"/>
      <w:outlineLvl w:val="5"/>
    </w:pPr>
    <w:rPr>
      <w:u w:val="single"/>
    </w:rPr>
  </w:style>
  <w:style w:type="paragraph" w:styleId="Heading7">
    <w:name w:val="heading 7"/>
    <w:basedOn w:val="Normal"/>
    <w:next w:val="BodyText"/>
    <w:qFormat/>
    <w:pPr>
      <w:numPr>
        <w:ilvl w:val="6"/>
        <w:numId w:val="1"/>
      </w:numPr>
      <w:spacing w:before="0" w:after="240"/>
      <w:ind w:hanging="0" w:start="720" w:end="0"/>
      <w:outlineLvl w:val="6"/>
    </w:pPr>
    <w:rPr>
      <w:b/>
      <w:u w:val="single"/>
    </w:rPr>
  </w:style>
  <w:style w:type="paragraph" w:styleId="Heading8">
    <w:name w:val="heading 8"/>
    <w:basedOn w:val="Normal"/>
    <w:next w:val="BodyText"/>
    <w:qFormat/>
    <w:pPr>
      <w:numPr>
        <w:ilvl w:val="7"/>
        <w:numId w:val="1"/>
      </w:numPr>
      <w:spacing w:before="0" w:after="240"/>
      <w:ind w:hanging="0" w:start="720" w:end="0"/>
      <w:outlineLvl w:val="7"/>
    </w:pPr>
    <w:rPr>
      <w:b/>
      <w:i/>
    </w:rPr>
  </w:style>
  <w:style w:type="paragraph" w:styleId="Heading9">
    <w:name w:val="heading 9"/>
    <w:basedOn w:val="Normal"/>
    <w:next w:val="BodyText"/>
    <w:qFormat/>
    <w:pPr>
      <w:numPr>
        <w:ilvl w:val="8"/>
        <w:numId w:val="1"/>
      </w:numPr>
      <w:spacing w:before="0" w:after="240"/>
      <w:ind w:hanging="0" w:start="720" w:end="0"/>
      <w:outlineLvl w:val="8"/>
    </w:pPr>
    <w:rPr>
      <w:u w:val="single"/>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FootnoteText">
    <w:name w:val="footnote text"/>
    <w:basedOn w:val="Normal"/>
    <w:pPr/>
    <w:rPr/>
  </w:style>
  <w:style w:type="paragraph" w:styleId="TOC2">
    <w:name w:val="toc 2"/>
    <w:basedOn w:val="Normal"/>
    <w:next w:val="Normal"/>
    <w:pPr>
      <w:ind w:hanging="0" w:start="240" w:end="0"/>
      <w:jc w:val="both"/>
    </w:pPr>
    <w:rPr/>
  </w:style>
  <w:style w:type="paragraph" w:styleId="TOC1">
    <w:name w:val="toc 1"/>
    <w:basedOn w:val="Normal"/>
    <w:next w:val="Normal"/>
    <w:pPr>
      <w:tabs>
        <w:tab w:val="clear" w:pos="720"/>
        <w:tab w:val="right" w:pos="9360" w:leader="dot"/>
      </w:tabs>
      <w:ind w:hanging="720" w:start="720" w:end="720"/>
    </w:pPr>
    <w:rPr/>
  </w:style>
  <w:style w:type="paragraph" w:styleId="TOC3">
    <w:name w:val="toc 3"/>
    <w:basedOn w:val="Normal"/>
    <w:next w:val="Normal"/>
    <w:pPr>
      <w:tabs>
        <w:tab w:val="clear" w:pos="720"/>
        <w:tab w:val="right" w:pos="9360" w:leader="dot"/>
      </w:tabs>
      <w:ind w:hanging="720" w:start="2160" w:end="720"/>
    </w:pPr>
    <w:rPr/>
  </w:style>
  <w:style w:type="paragraph" w:styleId="TOC4">
    <w:name w:val="toc 4"/>
    <w:basedOn w:val="Normal"/>
    <w:next w:val="Normal"/>
    <w:pPr>
      <w:tabs>
        <w:tab w:val="clear" w:pos="720"/>
        <w:tab w:val="right" w:pos="9360" w:leader="dot"/>
      </w:tabs>
      <w:ind w:hanging="720" w:start="2880" w:end="720"/>
    </w:pPr>
    <w:rPr/>
  </w:style>
  <w:style w:type="paragraph" w:styleId="TOC5">
    <w:name w:val="toc 5"/>
    <w:basedOn w:val="Normal"/>
    <w:next w:val="Normal"/>
    <w:pPr>
      <w:tabs>
        <w:tab w:val="clear" w:pos="720"/>
        <w:tab w:val="right" w:pos="9360" w:leader="dot"/>
      </w:tabs>
      <w:ind w:hanging="720" w:start="3600" w:end="720"/>
    </w:pPr>
    <w:rPr/>
  </w:style>
  <w:style w:type="paragraph" w:styleId="TOC6">
    <w:name w:val="toc 6"/>
    <w:basedOn w:val="Normal"/>
    <w:next w:val="Normal"/>
    <w:pPr>
      <w:ind w:hanging="720" w:start="4320" w:end="720"/>
    </w:pPr>
    <w:rPr/>
  </w:style>
  <w:style w:type="paragraph" w:styleId="TOC7">
    <w:name w:val="toc 7"/>
    <w:basedOn w:val="Normal"/>
    <w:next w:val="Normal"/>
    <w:pPr>
      <w:ind w:hanging="720" w:start="5040" w:end="720"/>
    </w:pPr>
    <w:rPr/>
  </w:style>
  <w:style w:type="paragraph" w:styleId="TOC8">
    <w:name w:val="toc 8"/>
    <w:basedOn w:val="Normal"/>
    <w:next w:val="Normal"/>
    <w:pPr>
      <w:ind w:hanging="720" w:start="5760" w:end="720"/>
    </w:pPr>
    <w:rPr/>
  </w:style>
  <w:style w:type="paragraph" w:styleId="TOC9">
    <w:name w:val="toc 9"/>
    <w:basedOn w:val="Normal"/>
    <w:next w:val="Normal"/>
    <w:pPr>
      <w:ind w:hanging="720" w:start="648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2001-08-08T21:22:00Z</dcterms:created>
  <dc:creator>K&amp;S</dc:creator>
  <dc:description>Houston-149151 v2-</dc:description>
  <dc:language>en-CA</dc:language>
  <cp:lastModifiedBy>K&amp;S</cp:lastModifiedBy>
  <cp:lastPrinted>2001-08-09T10:58:00Z</cp:lastPrinted>
  <dcterms:modified xsi:type="dcterms:W3CDTF">2001-08-09T14:05:00Z</dcterms:modified>
  <cp:revision>5</cp:revision>
  <dc:subject/>
  <dc:title>#</dc:title>
</cp:coreProperties>
</file>