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bCs w:val="false"/>
          <w:i/>
          <w:i/>
          <w:iCs/>
          <w:sz w:val="23"/>
        </w:rPr>
      </w:pPr>
      <w:r>
        <w:rPr>
          <w:b w:val="false"/>
          <w:bCs w:val="false"/>
          <w:i/>
          <w:iCs/>
          <w:sz w:val="23"/>
        </w:rPr>
      </w:r>
    </w:p>
    <w:p>
      <w:pPr>
        <w:pStyle w:val="Heading"/>
        <w:rPr>
          <w:sz w:val="23"/>
        </w:rPr>
      </w:pPr>
      <w:r>
        <w:rPr>
          <w:i/>
          <w:iCs/>
          <w:sz w:val="23"/>
        </w:rPr>
        <w:t>Enron North America Corp. v. James A. Ajello</w:t>
      </w:r>
    </w:p>
    <w:p>
      <w:pPr>
        <w:pStyle w:val="Heading"/>
        <w:rPr>
          <w:sz w:val="23"/>
        </w:rPr>
      </w:pPr>
      <w:r>
        <w:rPr>
          <w:sz w:val="23"/>
        </w:rPr>
      </w:r>
    </w:p>
    <w:p>
      <w:pPr>
        <w:pStyle w:val="Heading"/>
        <w:jc w:val="start"/>
        <w:rPr>
          <w:sz w:val="23"/>
          <w:u w:val="single"/>
        </w:rPr>
      </w:pPr>
      <w:r>
        <w:rPr>
          <w:sz w:val="23"/>
          <w:u w:val="single"/>
        </w:rPr>
        <w:t>Background</w:t>
      </w:r>
    </w:p>
    <w:p>
      <w:pPr>
        <w:pStyle w:val="Normal"/>
        <w:autoSpaceDE w:val="false"/>
        <w:spacing w:lineRule="atLeast" w:line="240"/>
        <w:rPr>
          <w:color w:val="000000"/>
          <w:spacing w:val="0"/>
          <w:sz w:val="23"/>
          <w:u w:val="single"/>
        </w:rPr>
      </w:pPr>
      <w:r>
        <w:rPr>
          <w:color w:val="000000"/>
          <w:spacing w:val="0"/>
          <w:sz w:val="23"/>
          <w:u w:val="single"/>
        </w:rPr>
      </w:r>
    </w:p>
    <w:p>
      <w:pPr>
        <w:pStyle w:val="Normal"/>
        <w:autoSpaceDE w:val="false"/>
        <w:spacing w:lineRule="atLeast" w:line="240"/>
        <w:ind w:hanging="540" w:start="540" w:end="0"/>
        <w:jc w:val="both"/>
        <w:rPr/>
      </w:pPr>
      <w:r>
        <w:rPr>
          <w:color w:val="000000"/>
          <w:spacing w:val="0"/>
        </w:rPr>
        <w:t>1.</w:t>
        <w:tab/>
      </w:r>
      <w:r>
        <w:rPr>
          <w:color w:val="000000"/>
          <w:spacing w:val="0"/>
          <w:u w:val="single"/>
        </w:rPr>
        <w:t>Term</w:t>
      </w:r>
      <w:r>
        <w:rPr>
          <w:color w:val="000000"/>
          <w:spacing w:val="0"/>
        </w:rPr>
        <w:t>:  July 1, 1998 - July 1, 2000.  Vice President; he handled energy outsourcing for industrials under Dave Delainey/Ray Bowen.  Came to Enron after 14 years at Union Bank of Switzerland.  While at ENA, he reviewed all outsourcing transactions of EES.</w:t>
      </w:r>
    </w:p>
    <w:p>
      <w:pPr>
        <w:pStyle w:val="Normal"/>
        <w:autoSpaceDE w:val="false"/>
        <w:spacing w:lineRule="atLeast" w:line="240"/>
        <w:ind w:hanging="540" w:start="540" w:end="0"/>
        <w:jc w:val="both"/>
        <w:rPr>
          <w:color w:val="000000"/>
          <w:spacing w:val="0"/>
        </w:rPr>
      </w:pPr>
      <w:r>
        <w:rPr>
          <w:color w:val="000000"/>
          <w:spacing w:val="0"/>
        </w:rPr>
      </w:r>
    </w:p>
    <w:p>
      <w:pPr>
        <w:pStyle w:val="Normal"/>
        <w:autoSpaceDE w:val="false"/>
        <w:spacing w:lineRule="atLeast" w:line="240"/>
        <w:ind w:hanging="540" w:start="540" w:end="0"/>
        <w:jc w:val="both"/>
        <w:rPr/>
      </w:pPr>
      <w:r>
        <w:rPr>
          <w:color w:val="000000"/>
          <w:spacing w:val="0"/>
        </w:rPr>
        <w:t>2.</w:t>
        <w:tab/>
      </w:r>
      <w:r>
        <w:rPr>
          <w:color w:val="000000"/>
          <w:spacing w:val="0"/>
          <w:u w:val="single"/>
        </w:rPr>
        <w:t>Non-compete</w:t>
      </w:r>
      <w:r>
        <w:rPr>
          <w:color w:val="000000"/>
          <w:spacing w:val="0"/>
        </w:rPr>
        <w:t>:  Later of (a) 12 months from last bonus, or (b) 3 months after termination of employment.  Last bonus ($165K) paid Feb. 6, 2000.  Non-compete extends to Feb. 6, 2001.</w:t>
      </w:r>
    </w:p>
    <w:p>
      <w:pPr>
        <w:pStyle w:val="Normal"/>
        <w:autoSpaceDE w:val="false"/>
        <w:spacing w:lineRule="atLeast" w:line="240"/>
        <w:ind w:hanging="540" w:start="540" w:end="0"/>
        <w:jc w:val="both"/>
        <w:rPr>
          <w:color w:val="000000"/>
          <w:spacing w:val="0"/>
        </w:rPr>
      </w:pPr>
      <w:r>
        <w:rPr>
          <w:color w:val="000000"/>
          <w:spacing w:val="0"/>
        </w:rPr>
      </w:r>
    </w:p>
    <w:p>
      <w:pPr>
        <w:pStyle w:val="Normal"/>
        <w:autoSpaceDE w:val="false"/>
        <w:spacing w:lineRule="atLeast" w:line="240"/>
        <w:ind w:hanging="540" w:start="540" w:end="0"/>
        <w:jc w:val="both"/>
        <w:rPr/>
      </w:pPr>
      <w:r>
        <w:rPr>
          <w:color w:val="000000"/>
          <w:spacing w:val="0"/>
        </w:rPr>
        <w:t>3.</w:t>
        <w:tab/>
      </w:r>
      <w:r>
        <w:rPr>
          <w:color w:val="000000"/>
          <w:spacing w:val="0"/>
          <w:u w:val="single"/>
        </w:rPr>
        <w:t>Non-Solicitation</w:t>
      </w:r>
      <w:r>
        <w:rPr>
          <w:color w:val="000000"/>
          <w:spacing w:val="0"/>
        </w:rPr>
        <w:t>: Contract bars solicitation of Enron employees or customers for 1 year after termination.</w:t>
      </w:r>
    </w:p>
    <w:p>
      <w:pPr>
        <w:pStyle w:val="Normal"/>
        <w:autoSpaceDE w:val="false"/>
        <w:spacing w:lineRule="atLeast" w:line="240"/>
        <w:ind w:hanging="540" w:start="540" w:end="0"/>
        <w:jc w:val="both"/>
        <w:rPr>
          <w:color w:val="000000"/>
          <w:spacing w:val="0"/>
        </w:rPr>
      </w:pPr>
      <w:r>
        <w:rPr>
          <w:color w:val="000000"/>
          <w:spacing w:val="0"/>
        </w:rPr>
      </w:r>
    </w:p>
    <w:p>
      <w:pPr>
        <w:pStyle w:val="Normal"/>
        <w:autoSpaceDE w:val="false"/>
        <w:spacing w:lineRule="atLeast" w:line="240"/>
        <w:ind w:hanging="540" w:start="540" w:end="0"/>
        <w:jc w:val="both"/>
        <w:rPr/>
      </w:pPr>
      <w:r>
        <w:rPr>
          <w:color w:val="000000"/>
          <w:spacing w:val="0"/>
        </w:rPr>
        <w:t>4.</w:t>
        <w:tab/>
      </w:r>
      <w:r>
        <w:rPr>
          <w:color w:val="000000"/>
          <w:spacing w:val="0"/>
          <w:u w:val="single"/>
        </w:rPr>
        <w:t>Last Day of Employment</w:t>
      </w:r>
      <w:r>
        <w:rPr>
          <w:color w:val="000000"/>
          <w:spacing w:val="0"/>
        </w:rPr>
        <w:t xml:space="preserve">:  Resigned July 28, 2000.  Told ENA his family wanted to return to </w:t>
      </w:r>
      <w:r>
        <w:rPr/>
        <w:t>northeast; denied rumors he was going to Reliant.  Reported to work at Reliant the same day.  Exercised options on 7/27/00 (market value $189,810).  Forfeited approx. $1 million in options upon resignation.</w:t>
      </w:r>
    </w:p>
    <w:p>
      <w:pPr>
        <w:pStyle w:val="Normal"/>
        <w:autoSpaceDE w:val="false"/>
        <w:spacing w:lineRule="atLeast" w:line="240"/>
        <w:ind w:hanging="540" w:start="540" w:end="0"/>
        <w:jc w:val="both"/>
        <w:rPr>
          <w:color w:val="000000"/>
          <w:spacing w:val="0"/>
        </w:rPr>
      </w:pPr>
      <w:r>
        <w:rPr>
          <w:color w:val="000000"/>
          <w:spacing w:val="0"/>
        </w:rPr>
      </w:r>
    </w:p>
    <w:p>
      <w:pPr>
        <w:pStyle w:val="Heading1"/>
        <w:ind w:hanging="540" w:start="540" w:end="0"/>
        <w:jc w:val="start"/>
        <w:rPr>
          <w:sz w:val="23"/>
          <w:u w:val="single"/>
        </w:rPr>
      </w:pPr>
      <w:r>
        <w:rPr>
          <w:sz w:val="23"/>
          <w:u w:val="single"/>
        </w:rPr>
        <w:t>Issues</w:t>
      </w:r>
    </w:p>
    <w:p>
      <w:pPr>
        <w:pStyle w:val="Normal"/>
        <w:autoSpaceDE w:val="false"/>
        <w:spacing w:lineRule="atLeast" w:line="240"/>
        <w:ind w:hanging="540" w:start="540" w:end="0"/>
        <w:jc w:val="both"/>
        <w:rPr>
          <w:color w:val="000000"/>
          <w:spacing w:val="0"/>
          <w:sz w:val="23"/>
          <w:u w:val="single"/>
        </w:rPr>
      </w:pPr>
      <w:r>
        <w:rPr>
          <w:color w:val="000000"/>
          <w:spacing w:val="0"/>
          <w:sz w:val="23"/>
          <w:u w:val="single"/>
        </w:rPr>
      </w:r>
    </w:p>
    <w:p>
      <w:pPr>
        <w:pStyle w:val="Normal"/>
        <w:autoSpaceDE w:val="false"/>
        <w:spacing w:lineRule="atLeast" w:line="240"/>
        <w:ind w:hanging="540" w:start="540" w:end="0"/>
        <w:jc w:val="both"/>
        <w:rPr/>
      </w:pPr>
      <w:r>
        <w:rPr>
          <w:color w:val="000000"/>
          <w:spacing w:val="0"/>
        </w:rPr>
        <w:t>1.</w:t>
        <w:tab/>
      </w:r>
      <w:r>
        <w:rPr>
          <w:color w:val="000000"/>
          <w:spacing w:val="0"/>
          <w:u w:val="single"/>
        </w:rPr>
        <w:t>Breach of Contract – Non-compete</w:t>
      </w:r>
      <w:r>
        <w:rPr>
          <w:color w:val="000000"/>
          <w:spacing w:val="0"/>
        </w:rPr>
        <w:t>:  Cannot compete through Feb. 6, 2001.</w:t>
      </w:r>
    </w:p>
    <w:p>
      <w:pPr>
        <w:pStyle w:val="Normal"/>
        <w:autoSpaceDE w:val="false"/>
        <w:spacing w:lineRule="atLeast" w:line="240"/>
        <w:ind w:hanging="540" w:start="540" w:end="0"/>
        <w:jc w:val="both"/>
        <w:rPr>
          <w:color w:val="000000"/>
          <w:spacing w:val="0"/>
        </w:rPr>
      </w:pPr>
      <w:r>
        <w:rPr>
          <w:color w:val="000000"/>
          <w:spacing w:val="0"/>
        </w:rPr>
      </w:r>
    </w:p>
    <w:p>
      <w:pPr>
        <w:pStyle w:val="Normal"/>
        <w:autoSpaceDE w:val="false"/>
        <w:spacing w:lineRule="atLeast" w:line="240"/>
        <w:ind w:hanging="540" w:start="540" w:end="0"/>
        <w:jc w:val="both"/>
        <w:rPr>
          <w:color w:val="000000"/>
          <w:spacing w:val="0"/>
        </w:rPr>
      </w:pPr>
      <w:r>
        <w:rPr/>
        <w:t>2.</w:t>
        <w:tab/>
      </w:r>
      <w:r>
        <w:rPr>
          <w:u w:val="single"/>
        </w:rPr>
        <w:t>Breach of Contract -- Confidentiality</w:t>
      </w:r>
      <w:r>
        <w:rPr/>
        <w:t>:  Has told Reliant’s lawyers about 2 pending transactions (GE Plastics and Wheeling Pittsburgh Steel), which are under Confidentiality Agreements.</w:t>
      </w:r>
    </w:p>
    <w:p>
      <w:pPr>
        <w:pStyle w:val="Normal"/>
        <w:autoSpaceDE w:val="false"/>
        <w:spacing w:lineRule="atLeast" w:line="240"/>
        <w:ind w:hanging="540" w:start="540" w:end="0"/>
        <w:jc w:val="both"/>
        <w:rPr>
          <w:color w:val="000000"/>
          <w:spacing w:val="0"/>
        </w:rPr>
      </w:pPr>
      <w:r>
        <w:rPr>
          <w:color w:val="000000"/>
          <w:spacing w:val="0"/>
        </w:rPr>
      </w:r>
    </w:p>
    <w:p>
      <w:pPr>
        <w:pStyle w:val="Normal"/>
        <w:autoSpaceDE w:val="false"/>
        <w:spacing w:lineRule="atLeast" w:line="240"/>
        <w:ind w:hanging="540" w:start="540" w:end="0"/>
        <w:jc w:val="both"/>
        <w:rPr/>
      </w:pPr>
      <w:r>
        <w:rPr>
          <w:color w:val="000000"/>
          <w:spacing w:val="0"/>
        </w:rPr>
        <w:t>3.</w:t>
        <w:tab/>
      </w:r>
      <w:r>
        <w:rPr>
          <w:color w:val="000000"/>
          <w:spacing w:val="0"/>
          <w:u w:val="single"/>
        </w:rPr>
        <w:t>Breach of Contract -- Notice</w:t>
      </w:r>
      <w:r>
        <w:rPr>
          <w:color w:val="000000"/>
          <w:spacing w:val="0"/>
        </w:rPr>
        <w:t>:  Ajello did not comply with contractual requirement to give 14 days notice before any competitive activity, and if dispute not resolved, to submit to binding arbitration.</w:t>
      </w:r>
    </w:p>
    <w:p>
      <w:pPr>
        <w:pStyle w:val="Normal"/>
        <w:autoSpaceDE w:val="false"/>
        <w:spacing w:lineRule="atLeast" w:line="240"/>
        <w:ind w:hanging="540" w:start="540" w:end="0"/>
        <w:jc w:val="both"/>
        <w:rPr>
          <w:color w:val="000000"/>
          <w:spacing w:val="0"/>
        </w:rPr>
      </w:pPr>
      <w:r>
        <w:rPr>
          <w:color w:val="000000"/>
          <w:spacing w:val="0"/>
        </w:rPr>
      </w:r>
    </w:p>
    <w:p>
      <w:pPr>
        <w:pStyle w:val="Normal"/>
        <w:autoSpaceDE w:val="false"/>
        <w:spacing w:lineRule="atLeast" w:line="240"/>
        <w:ind w:hanging="540" w:start="540" w:end="0"/>
        <w:jc w:val="both"/>
        <w:rPr/>
      </w:pPr>
      <w:r>
        <w:rPr>
          <w:color w:val="000000"/>
          <w:spacing w:val="0"/>
        </w:rPr>
        <w:t>4.</w:t>
        <w:tab/>
      </w:r>
      <w:r>
        <w:rPr>
          <w:color w:val="000000"/>
          <w:spacing w:val="0"/>
          <w:u w:val="single"/>
        </w:rPr>
        <w:t>Reliant’s Non-cooperation</w:t>
      </w:r>
      <w:r>
        <w:rPr>
          <w:color w:val="000000"/>
          <w:spacing w:val="0"/>
        </w:rPr>
        <w:t>:  Common for the new employer to agree that the subject employee remain off premises while disputes are resolved.  Enron, Duke, Statoil, TVA, and Koch have done this.  Reliant refused to sideline Ajello, and refused to provide a description of Ajello’s job responsibilities or even his title.  Reliant refused to have Ajello deposed.</w:t>
      </w:r>
    </w:p>
    <w:p>
      <w:pPr>
        <w:pStyle w:val="Normal"/>
        <w:autoSpaceDE w:val="false"/>
        <w:spacing w:lineRule="atLeast" w:line="240"/>
        <w:ind w:hanging="540" w:start="540" w:end="0"/>
        <w:jc w:val="both"/>
        <w:rPr>
          <w:color w:val="000000"/>
          <w:spacing w:val="0"/>
        </w:rPr>
      </w:pPr>
      <w:r>
        <w:rPr>
          <w:color w:val="000000"/>
          <w:spacing w:val="0"/>
        </w:rPr>
      </w:r>
    </w:p>
    <w:p>
      <w:pPr>
        <w:pStyle w:val="Heading1"/>
        <w:ind w:hanging="540" w:start="540" w:end="0"/>
        <w:jc w:val="start"/>
        <w:rPr>
          <w:sz w:val="23"/>
          <w:u w:val="single"/>
        </w:rPr>
      </w:pPr>
      <w:r>
        <w:rPr>
          <w:sz w:val="23"/>
          <w:u w:val="single"/>
        </w:rPr>
        <w:t>Proposed Resolution</w:t>
      </w:r>
    </w:p>
    <w:p>
      <w:pPr>
        <w:pStyle w:val="Normal"/>
        <w:autoSpaceDE w:val="false"/>
        <w:spacing w:lineRule="atLeast" w:line="240"/>
        <w:ind w:hanging="540" w:start="540" w:end="0"/>
        <w:jc w:val="both"/>
        <w:rPr>
          <w:color w:val="000000"/>
          <w:spacing w:val="0"/>
          <w:sz w:val="23"/>
          <w:u w:val="single"/>
        </w:rPr>
      </w:pPr>
      <w:r>
        <w:rPr>
          <w:color w:val="000000"/>
          <w:spacing w:val="0"/>
          <w:sz w:val="23"/>
          <w:u w:val="single"/>
        </w:rPr>
      </w:r>
    </w:p>
    <w:p>
      <w:pPr>
        <w:pStyle w:val="Normal"/>
        <w:autoSpaceDE w:val="false"/>
        <w:spacing w:lineRule="atLeast" w:line="240"/>
        <w:ind w:hanging="540" w:start="540" w:end="0"/>
        <w:jc w:val="both"/>
        <w:rPr>
          <w:color w:val="000000"/>
          <w:spacing w:val="0"/>
        </w:rPr>
      </w:pPr>
      <w:r>
        <w:rPr>
          <w:color w:val="000000"/>
          <w:spacing w:val="0"/>
        </w:rPr>
        <w:t>1.</w:t>
        <w:tab/>
        <w:t>Ajello stays home through December 31, 2000.</w:t>
      </w:r>
    </w:p>
    <w:p>
      <w:pPr>
        <w:pStyle w:val="Normal"/>
        <w:autoSpaceDE w:val="false"/>
        <w:spacing w:lineRule="atLeast" w:line="240"/>
        <w:ind w:hanging="540" w:start="540" w:end="0"/>
        <w:jc w:val="both"/>
        <w:rPr>
          <w:color w:val="000000"/>
          <w:spacing w:val="0"/>
        </w:rPr>
      </w:pPr>
      <w:r>
        <w:rPr>
          <w:color w:val="000000"/>
          <w:spacing w:val="0"/>
        </w:rPr>
      </w:r>
    </w:p>
    <w:p>
      <w:pPr>
        <w:pStyle w:val="Normal"/>
        <w:autoSpaceDE w:val="false"/>
        <w:spacing w:lineRule="atLeast" w:line="240"/>
        <w:ind w:hanging="540" w:start="540" w:end="0"/>
        <w:jc w:val="both"/>
        <w:rPr>
          <w:color w:val="000000"/>
          <w:spacing w:val="0"/>
        </w:rPr>
      </w:pPr>
      <w:r>
        <w:rPr>
          <w:color w:val="000000"/>
          <w:spacing w:val="0"/>
        </w:rPr>
        <w:t>2.</w:t>
        <w:tab/>
        <w:t>Reliant and Ajello to give Enron written assurance against misuse of trade secrets or      confidential information.</w:t>
      </w:r>
    </w:p>
    <w:p>
      <w:pPr>
        <w:pStyle w:val="Normal"/>
        <w:autoSpaceDE w:val="false"/>
        <w:spacing w:lineRule="atLeast" w:line="240"/>
        <w:ind w:hanging="540" w:start="540" w:end="0"/>
        <w:jc w:val="both"/>
        <w:rPr>
          <w:color w:val="000000"/>
          <w:spacing w:val="0"/>
        </w:rPr>
      </w:pPr>
      <w:r>
        <w:rPr>
          <w:color w:val="000000"/>
          <w:spacing w:val="0"/>
        </w:rPr>
      </w:r>
    </w:p>
    <w:p>
      <w:pPr>
        <w:pStyle w:val="Normal"/>
        <w:autoSpaceDE w:val="false"/>
        <w:spacing w:lineRule="atLeast" w:line="240"/>
        <w:ind w:hanging="540" w:start="540" w:end="0"/>
        <w:jc w:val="both"/>
        <w:rPr>
          <w:color w:val="000000"/>
          <w:spacing w:val="0"/>
        </w:rPr>
      </w:pPr>
      <w:r>
        <w:rPr>
          <w:color w:val="000000"/>
          <w:spacing w:val="0"/>
        </w:rPr>
        <w:t>3.</w:t>
        <w:tab/>
        <w:t>Ajello not to solicit Enron’s (including ENA and EES) customers or employees for one year.</w:t>
      </w:r>
    </w:p>
    <w:p>
      <w:pPr>
        <w:pStyle w:val="Normal"/>
        <w:autoSpaceDE w:val="false"/>
        <w:spacing w:lineRule="atLeast" w:line="240"/>
        <w:ind w:hanging="540" w:start="540" w:end="0"/>
        <w:jc w:val="both"/>
        <w:rPr>
          <w:color w:val="000000"/>
          <w:spacing w:val="0"/>
        </w:rPr>
      </w:pPr>
      <w:r>
        <w:rPr>
          <w:color w:val="000000"/>
          <w:spacing w:val="0"/>
        </w:rPr>
      </w:r>
    </w:p>
    <w:p>
      <w:pPr>
        <w:pStyle w:val="Normal"/>
        <w:autoSpaceDE w:val="false"/>
        <w:spacing w:lineRule="atLeast" w:line="240"/>
        <w:ind w:hanging="540" w:start="540" w:end="0"/>
        <w:jc w:val="both"/>
        <w:rPr>
          <w:color w:val="000000"/>
          <w:spacing w:val="0"/>
        </w:rPr>
      </w:pPr>
      <w:r>
        <w:rPr>
          <w:color w:val="000000"/>
          <w:spacing w:val="0"/>
        </w:rPr>
        <w:t>4.</w:t>
        <w:tab/>
        <w:t>Reliant not to solicit Enron’s commercial employees for agreed period of time.</w:t>
      </w:r>
    </w:p>
    <w:p>
      <w:pPr>
        <w:pStyle w:val="Normal"/>
        <w:autoSpaceDE w:val="false"/>
        <w:spacing w:lineRule="atLeast" w:line="240"/>
        <w:ind w:hanging="540" w:start="540" w:end="0"/>
        <w:jc w:val="both"/>
        <w:rPr>
          <w:color w:val="000000"/>
          <w:spacing w:val="0"/>
        </w:rPr>
      </w:pPr>
      <w:r>
        <w:rPr>
          <w:color w:val="000000"/>
          <w:spacing w:val="0"/>
        </w:rPr>
      </w:r>
    </w:p>
    <w:p>
      <w:pPr>
        <w:pStyle w:val="Normal"/>
        <w:autoSpaceDE w:val="false"/>
        <w:spacing w:lineRule="atLeast" w:line="240"/>
        <w:ind w:hanging="540" w:start="540" w:end="0"/>
        <w:jc w:val="both"/>
        <w:rPr>
          <w:color w:val="000000"/>
          <w:spacing w:val="0"/>
        </w:rPr>
      </w:pPr>
      <w:r>
        <w:rPr>
          <w:color w:val="000000"/>
          <w:spacing w:val="0"/>
        </w:rPr>
        <w:t>5.</w:t>
        <w:tab/>
        <w:t>Additional detail to be incorporated into Confidential Settlement Agreement and/or Agreed Court Order.</w:t>
      </w:r>
    </w:p>
    <w:p>
      <w:pPr>
        <w:pStyle w:val="Normal"/>
        <w:autoSpaceDE w:val="false"/>
        <w:spacing w:lineRule="atLeast" w:line="240"/>
        <w:ind w:hanging="540" w:start="540" w:end="0"/>
        <w:jc w:val="both"/>
        <w:rPr>
          <w:color w:val="000000"/>
          <w:spacing w:val="0"/>
        </w:rPr>
      </w:pPr>
      <w:r>
        <w:rPr>
          <w:color w:val="000000"/>
          <w:spacing w:val="0"/>
        </w:rPr>
      </w:r>
    </w:p>
    <w:p>
      <w:pPr>
        <w:pStyle w:val="Normal"/>
        <w:ind w:hanging="540" w:start="540" w:end="0"/>
        <w:jc w:val="both"/>
        <w:rPr>
          <w:color w:val="000000"/>
          <w:spacing w:val="0"/>
        </w:rPr>
      </w:pPr>
      <w:r>
        <w:rPr>
          <w:color w:val="000000"/>
          <w:spacing w:val="0"/>
        </w:rPr>
        <w:t>6.</w:t>
        <w:tab/>
        <w:t>Enron’s estimated attorney’s fees to date:  $20,000.</w:t>
      </w:r>
    </w:p>
    <w:sectPr>
      <w:headerReference w:type="default" r:id="rId2"/>
      <w:footerReference w:type="default" r:id="rId3"/>
      <w:type w:val="nextPage"/>
      <w:pgSz w:w="12240" w:h="15840"/>
      <w:pgMar w:left="1440" w:right="1440" w:gutter="0" w:header="432"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/mnt/main-storage/datasets/enron-docs/doc/3693mhc.doc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180" w:leader="none"/>
      </w:tabs>
      <w:rPr/>
    </w:pPr>
    <w:r>
      <w:rPr/>
      <w:tab/>
      <w:tab/>
    </w:r>
    <w:r>
      <w:rPr>
        <w:b/>
        <w:bCs/>
        <w:sz w:val="20"/>
      </w:rPr>
      <w:t>Privileged &amp; Confide</w:t>
    </w:r>
    <w:r>
      <w:rPr>
        <w:b/>
        <w:bCs/>
      </w:rPr>
      <w:t>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paragraph" w:styleId="Heading1">
    <w:name w:val="heading 1"/>
    <w:basedOn w:val="Normal"/>
    <w:next w:val="Normal"/>
    <w:qFormat/>
    <w:pPr>
      <w:keepNext w:val="true"/>
      <w:numPr>
        <w:ilvl w:val="0"/>
        <w:numId w:val="1"/>
      </w:numPr>
      <w:autoSpaceDE w:val="false"/>
      <w:spacing w:lineRule="atLeast" w:line="240"/>
      <w:jc w:val="center"/>
      <w:outlineLvl w:val="0"/>
    </w:pPr>
    <w:rPr>
      <w:b/>
      <w:bCs/>
      <w:color w:val="000000"/>
      <w:spacing w:val="0"/>
      <w:sz w:val="24"/>
    </w:rPr>
  </w:style>
  <w:style w:type="character" w:styleId="DefaultParagraphFont">
    <w:name w:val="Default Paragraph Font"/>
    <w:qFormat/>
    <w:rPr/>
  </w:style>
  <w:style w:type="paragraph" w:styleId="Heading">
    <w:name w:val="Heading"/>
    <w:basedOn w:val="Normal"/>
    <w:next w:val="BodyText"/>
    <w:qFormat/>
    <w:pPr>
      <w:autoSpaceDE w:val="false"/>
      <w:spacing w:lineRule="atLeast" w:line="240"/>
      <w:jc w:val="center"/>
    </w:pPr>
    <w:rPr>
      <w:b/>
      <w:bCs/>
      <w:color w:val="000000"/>
      <w:spacing w:val="0"/>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autoSpaceDE w:val="false"/>
      <w:spacing w:lineRule="atLeast" w:line="240"/>
      <w:ind w:hanging="0" w:start="720" w:end="0"/>
      <w:jc w:val="both"/>
    </w:pPr>
    <w:rPr>
      <w:color w:val="000000"/>
      <w:spacing w:val="0"/>
      <w:sz w:val="24"/>
    </w:rPr>
  </w:style>
  <w:style w:type="paragraph" w:styleId="BodyTextIndent2">
    <w:name w:val="Body Text Indent 2"/>
    <w:basedOn w:val="Normal"/>
    <w:qFormat/>
    <w:pPr>
      <w:autoSpaceDE w:val="false"/>
      <w:spacing w:lineRule="atLeast" w:line="240"/>
      <w:ind w:hanging="540" w:start="540" w:end="0"/>
      <w:jc w:val="both"/>
    </w:pPr>
    <w:rPr>
      <w:color w:val="000000"/>
      <w:spacing w:val="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2000-08-22T12:23:00Z</dcterms:created>
  <dc:creator>tsweet</dc:creator>
  <dc:description/>
  <dc:language>en-CA</dc:language>
  <cp:lastModifiedBy>tsweet</cp:lastModifiedBy>
  <cp:lastPrinted>2000-08-22T11:32:00Z</cp:lastPrinted>
  <dcterms:modified xsi:type="dcterms:W3CDTF">2000-08-22T14:02:00Z</dcterms:modified>
  <cp:revision>13</cp:revision>
  <dc:subject/>
  <dc:title>Contract</dc:title>
</cp:coreProperties>
</file>