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tab/>
      </w:r>
    </w:p>
    <w:p>
      <w:pPr>
        <w:pStyle w:val="Normal"/>
        <w:widowControl/>
        <w:jc w:val="both"/>
        <w:rPr>
          <w:sz w:val="23"/>
        </w:rPr>
      </w:pPr>
      <w:r>
        <w:rPr>
          <w:sz w:val="23"/>
        </w:rPr>
      </w:r>
    </w:p>
    <w:p>
      <w:pPr>
        <w:pStyle w:val="Normal"/>
        <w:widowControl/>
        <w:jc w:val="both"/>
        <w:rPr>
          <w:sz w:val="23"/>
        </w:rPr>
      </w:pPr>
      <w:r>
        <w:rPr>
          <w:b/>
          <w:sz w:val="23"/>
        </w:rPr>
        <w:t>&lt;&lt;Date&gt;&gt;</w:t>
      </w:r>
    </w:p>
    <w:p>
      <w:pPr>
        <w:pStyle w:val="Normal"/>
        <w:widowControl/>
        <w:jc w:val="both"/>
        <w:rPr>
          <w:color w:val="FF0000"/>
          <w:sz w:val="23"/>
        </w:rPr>
      </w:pPr>
      <w:r>
        <w:rPr>
          <w:color w:val="FF0000"/>
          <w:sz w:val="23"/>
        </w:rPr>
        <w:t xml:space="preserve"> </w:t>
      </w:r>
    </w:p>
    <w:p>
      <w:pPr>
        <w:pStyle w:val="Normal"/>
        <w:widowControl/>
        <w:jc w:val="both"/>
        <w:rPr>
          <w:color w:val="FF0000"/>
          <w:sz w:val="23"/>
        </w:rPr>
      </w:pPr>
      <w:r>
        <w:rPr>
          <w:color w:val="FF0000"/>
          <w:sz w:val="23"/>
        </w:rPr>
      </w:r>
    </w:p>
    <w:p>
      <w:pPr>
        <w:pStyle w:val="Normal"/>
        <w:widowControl/>
        <w:jc w:val="both"/>
        <w:rPr>
          <w:b/>
          <w:sz w:val="23"/>
        </w:rPr>
      </w:pPr>
      <w:r>
        <w:rPr>
          <w:b/>
          <w:sz w:val="23"/>
        </w:rPr>
        <w:t>&lt;&lt;Employee Name&gt;&gt;</w:t>
      </w:r>
    </w:p>
    <w:p>
      <w:pPr>
        <w:pStyle w:val="Normal"/>
        <w:widowControl/>
        <w:jc w:val="both"/>
        <w:rPr>
          <w:sz w:val="23"/>
        </w:rPr>
      </w:pPr>
      <w:r>
        <w:rPr>
          <w:b/>
          <w:sz w:val="23"/>
        </w:rPr>
        <w:t>&lt;&lt;Employee Address&gt;&gt;</w:t>
      </w:r>
    </w:p>
    <w:p>
      <w:pPr>
        <w:pStyle w:val="Normal"/>
        <w:widowControl/>
        <w:jc w:val="both"/>
        <w:rPr>
          <w:sz w:val="23"/>
        </w:rPr>
      </w:pPr>
      <w:r>
        <w:rPr>
          <w:sz w:val="23"/>
        </w:rPr>
      </w:r>
    </w:p>
    <w:p>
      <w:pPr>
        <w:pStyle w:val="Normal"/>
        <w:widowControl/>
        <w:jc w:val="both"/>
        <w:rPr>
          <w:sz w:val="23"/>
        </w:rPr>
      </w:pPr>
      <w:r>
        <w:rPr>
          <w:sz w:val="23"/>
        </w:rPr>
        <w:tab/>
        <w:t>Re:</w:t>
        <w:tab/>
        <w:t>Assignment to Enron North America Corp.</w:t>
      </w:r>
    </w:p>
    <w:p>
      <w:pPr>
        <w:pStyle w:val="Normal"/>
        <w:widowControl/>
        <w:jc w:val="both"/>
        <w:rPr>
          <w:sz w:val="23"/>
        </w:rPr>
      </w:pPr>
      <w:r>
        <w:rPr>
          <w:sz w:val="23"/>
        </w:rPr>
      </w:r>
    </w:p>
    <w:p>
      <w:pPr>
        <w:pStyle w:val="Normal"/>
        <w:widowControl/>
        <w:jc w:val="both"/>
        <w:rPr/>
      </w:pPr>
      <w:r>
        <w:rPr>
          <w:sz w:val="23"/>
        </w:rPr>
        <w:t xml:space="preserve">Dear </w:t>
      </w:r>
      <w:r>
        <w:rPr>
          <w:b/>
          <w:sz w:val="23"/>
        </w:rPr>
        <w:t>&lt;&lt;Employee Name&gt;&gt;</w:t>
      </w:r>
      <w:r>
        <w:rPr>
          <w:sz w:val="23"/>
        </w:rPr>
        <w:t>:</w:t>
      </w:r>
    </w:p>
    <w:p>
      <w:pPr>
        <w:pStyle w:val="Normal"/>
        <w:widowControl/>
        <w:jc w:val="both"/>
        <w:rPr>
          <w:sz w:val="23"/>
        </w:rPr>
      </w:pPr>
      <w:r>
        <w:rPr>
          <w:sz w:val="23"/>
        </w:rPr>
      </w:r>
    </w:p>
    <w:p>
      <w:pPr>
        <w:pStyle w:val="Normal"/>
        <w:widowControl/>
        <w:jc w:val="both"/>
        <w:rPr/>
      </w:pPr>
      <w:r>
        <w:rPr>
          <w:b/>
          <w:sz w:val="23"/>
        </w:rPr>
        <w:t>Enron Corp.</w:t>
      </w:r>
      <w:r>
        <w:rPr>
          <w:sz w:val="23"/>
        </w:rPr>
        <w:t xml:space="preserve"> (“Enron”) occasionally furnishes personnel employed by Enron to work on assignments for its joint ventures, affiliates, and companies in which it has made an investment.  You have indicated a willingness to accept an assignment as </w:t>
      </w:r>
      <w:r>
        <w:rPr>
          <w:b/>
          <w:sz w:val="23"/>
        </w:rPr>
        <w:t>&lt;&lt;Title&gt;&gt;</w:t>
      </w:r>
      <w:r>
        <w:rPr>
          <w:sz w:val="23"/>
        </w:rPr>
        <w:t xml:space="preserve"> of </w:t>
      </w:r>
      <w:r>
        <w:rPr>
          <w:b/>
          <w:sz w:val="23"/>
        </w:rPr>
        <w:t>Enron North America Corp.</w:t>
      </w:r>
      <w:r>
        <w:rPr>
          <w:sz w:val="23"/>
        </w:rPr>
        <w:t xml:space="preserve"> (“ENA”) to perform services for ENA according to the provisions of this letter (the “Assignment Letter”).</w:t>
      </w:r>
    </w:p>
    <w:p>
      <w:pPr>
        <w:pStyle w:val="Normal"/>
        <w:widowControl/>
        <w:jc w:val="both"/>
        <w:rPr>
          <w:sz w:val="23"/>
        </w:rPr>
      </w:pPr>
      <w:r>
        <w:rPr>
          <w:sz w:val="23"/>
        </w:rPr>
      </w:r>
    </w:p>
    <w:p>
      <w:pPr>
        <w:pStyle w:val="Normal"/>
        <w:widowControl/>
        <w:jc w:val="both"/>
        <w:rPr>
          <w:sz w:val="23"/>
        </w:rPr>
      </w:pPr>
      <w:r>
        <w:rPr>
          <w:sz w:val="23"/>
        </w:rPr>
        <w:t>This Assignment Letter sets forth the terms upon which you (“Employee”) agree to accept such an Assignment (the “Assignment”) as well as the duties and obligations arising from the Assignment.</w:t>
      </w:r>
    </w:p>
    <w:p>
      <w:pPr>
        <w:pStyle w:val="Normal"/>
        <w:widowControl/>
        <w:jc w:val="both"/>
        <w:rPr>
          <w:sz w:val="23"/>
        </w:rPr>
      </w:pPr>
      <w:r>
        <w:rPr>
          <w:sz w:val="23"/>
        </w:rPr>
      </w:r>
    </w:p>
    <w:p>
      <w:pPr>
        <w:pStyle w:val="Normal"/>
        <w:widowControl/>
        <w:jc w:val="both"/>
        <w:rPr/>
      </w:pPr>
      <w:r>
        <w:rPr>
          <w:b/>
          <w:sz w:val="23"/>
        </w:rPr>
        <w:t>I.</w:t>
      </w:r>
      <w:r>
        <w:rPr>
          <w:sz w:val="23"/>
        </w:rPr>
        <w:tab/>
      </w:r>
      <w:r>
        <w:rPr>
          <w:b/>
          <w:sz w:val="23"/>
          <w:u w:val="single"/>
        </w:rPr>
        <w:t>TERM AND ASSIGNMENT</w:t>
      </w:r>
      <w:r>
        <w:rPr>
          <w:sz w:val="23"/>
        </w:rPr>
        <w:t>.</w:t>
      </w:r>
    </w:p>
    <w:p>
      <w:pPr>
        <w:pStyle w:val="Normal"/>
        <w:widowControl/>
        <w:jc w:val="both"/>
        <w:rPr>
          <w:sz w:val="23"/>
        </w:rPr>
      </w:pPr>
      <w:r>
        <w:rPr>
          <w:sz w:val="23"/>
        </w:rPr>
      </w:r>
    </w:p>
    <w:p>
      <w:pPr>
        <w:pStyle w:val="Normal"/>
        <w:widowControl/>
        <w:ind w:firstLine="720" w:end="0"/>
        <w:jc w:val="both"/>
        <w:rPr>
          <w:sz w:val="23"/>
        </w:rPr>
      </w:pPr>
      <w:r>
        <w:rPr>
          <w:b/>
          <w:sz w:val="23"/>
        </w:rPr>
        <w:t>A.</w:t>
      </w:r>
      <w:r>
        <w:rPr>
          <w:sz w:val="23"/>
        </w:rPr>
        <w:tab/>
      </w:r>
      <w:r>
        <w:rPr>
          <w:b/>
          <w:sz w:val="23"/>
          <w:u w:val="single"/>
        </w:rPr>
        <w:t>Term and Assignment</w:t>
      </w:r>
      <w:r>
        <w:rPr>
          <w:b/>
          <w:sz w:val="23"/>
        </w:rPr>
        <w:t>.</w:t>
      </w:r>
    </w:p>
    <w:p>
      <w:pPr>
        <w:pStyle w:val="Normal"/>
        <w:widowControl/>
        <w:jc w:val="both"/>
        <w:rPr>
          <w:sz w:val="23"/>
        </w:rPr>
      </w:pPr>
      <w:r>
        <w:rPr>
          <w:sz w:val="23"/>
        </w:rPr>
      </w:r>
    </w:p>
    <w:p>
      <w:pPr>
        <w:pStyle w:val="WW-BodyText2"/>
        <w:widowControl/>
        <w:ind w:hanging="0" w:start="1440" w:end="0"/>
        <w:rPr>
          <w:sz w:val="23"/>
        </w:rPr>
      </w:pPr>
      <w:r>
        <w:rPr>
          <w:sz w:val="23"/>
        </w:rPr>
        <w:t xml:space="preserve">It is anticipated that the Assignment will be for a Term of 24 months (the “Term”). Either Enron or ENA may terminate the Assignment at any time and return Employee back to work for Enron or any of its affiliated companies.  The terms of the Assignment are subject to review from time to time by Enron and ENA, and ENA and Enron reserve the right to change the terms of the Assignment, in a manner not otherwise inconsistent with this Assignment Letter, based on business strategies and conditions.  </w:t>
      </w:r>
    </w:p>
    <w:p>
      <w:pPr>
        <w:pStyle w:val="Normal"/>
        <w:widowControl/>
        <w:jc w:val="both"/>
        <w:rPr>
          <w:sz w:val="23"/>
        </w:rPr>
      </w:pPr>
      <w:r>
        <w:rPr>
          <w:sz w:val="23"/>
        </w:rPr>
      </w:r>
    </w:p>
    <w:p>
      <w:pPr>
        <w:pStyle w:val="Normal"/>
        <w:widowControl/>
        <w:ind w:start="1440" w:end="0"/>
        <w:jc w:val="both"/>
        <w:rPr>
          <w:sz w:val="23"/>
        </w:rPr>
      </w:pPr>
      <w:r>
        <w:rPr>
          <w:sz w:val="23"/>
        </w:rPr>
        <w:t>Nothing in this Assignment Letter, however, shall serve as an agreement to employ Employee for a specific term; Employee’s employment with Enron remains at-will unless that status has been modified by a written Employment Agreement between Enron and Employee.</w:t>
      </w:r>
    </w:p>
    <w:p>
      <w:pPr>
        <w:pStyle w:val="Normal"/>
        <w:widowControl/>
        <w:jc w:val="both"/>
        <w:rPr>
          <w:sz w:val="23"/>
        </w:rPr>
      </w:pPr>
      <w:r>
        <w:rPr>
          <w:sz w:val="23"/>
        </w:rPr>
      </w:r>
    </w:p>
    <w:p>
      <w:pPr>
        <w:pStyle w:val="Normal"/>
        <w:widowControl/>
        <w:ind w:firstLine="720" w:end="0"/>
        <w:jc w:val="both"/>
        <w:rPr>
          <w:sz w:val="23"/>
        </w:rPr>
      </w:pPr>
      <w:r>
        <w:rPr>
          <w:b/>
          <w:sz w:val="23"/>
        </w:rPr>
        <w:t>B.</w:t>
      </w:r>
      <w:r>
        <w:rPr>
          <w:sz w:val="23"/>
        </w:rPr>
        <w:tab/>
      </w:r>
      <w:r>
        <w:rPr>
          <w:b/>
          <w:sz w:val="23"/>
          <w:u w:val="single"/>
        </w:rPr>
        <w:t>Duties</w:t>
      </w:r>
      <w:r>
        <w:rPr>
          <w:b/>
          <w:sz w:val="23"/>
        </w:rPr>
        <w:t>.</w:t>
      </w:r>
    </w:p>
    <w:p>
      <w:pPr>
        <w:pStyle w:val="Normal"/>
        <w:widowControl/>
        <w:jc w:val="both"/>
        <w:rPr>
          <w:sz w:val="23"/>
        </w:rPr>
      </w:pPr>
      <w:r>
        <w:rPr>
          <w:sz w:val="23"/>
        </w:rPr>
      </w:r>
    </w:p>
    <w:p>
      <w:pPr>
        <w:pStyle w:val="Normal"/>
        <w:widowControl/>
        <w:ind w:start="1440" w:end="0"/>
        <w:jc w:val="both"/>
        <w:rPr/>
      </w:pPr>
      <w:r>
        <w:rPr>
          <w:sz w:val="23"/>
        </w:rPr>
        <w:t xml:space="preserve">Employee’s duties during the Assignment will be to act as ENA’s </w:t>
      </w:r>
      <w:r>
        <w:rPr>
          <w:b/>
          <w:sz w:val="23"/>
        </w:rPr>
        <w:t>&lt;&lt;Title&gt;&gt;</w:t>
      </w:r>
      <w:r>
        <w:rPr>
          <w:sz w:val="23"/>
        </w:rPr>
        <w:t>, and to perform such other duties as reasonably may be requested by ENA.  Employee is expected to keep the same work schedule regarding hours, days, and holidays as those observed by ENA at Employee’s work location during the Assignment; however, Employee’s work schedule may vary based on necessary business conditions.  Employee shall, during the period of his assignment, devote his or her entire business time, energy, and best efforts to the business and affairs of ENA.  During the Assignment, Employee shall coordinate with and report directly to such representative of ENA.</w:t>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pPr>
      <w:r>
        <w:rPr>
          <w:b/>
          <w:sz w:val="23"/>
        </w:rPr>
        <w:t>II.</w:t>
      </w:r>
      <w:r>
        <w:rPr>
          <w:sz w:val="23"/>
        </w:rPr>
        <w:tab/>
      </w:r>
      <w:r>
        <w:rPr>
          <w:b/>
          <w:sz w:val="23"/>
          <w:u w:val="single"/>
        </w:rPr>
        <w:t>COMPENSATION AND BENEFITS</w:t>
      </w:r>
      <w:r>
        <w:rPr>
          <w:sz w:val="23"/>
        </w:rPr>
        <w:t>.</w:t>
      </w:r>
    </w:p>
    <w:p>
      <w:pPr>
        <w:pStyle w:val="Normal"/>
        <w:widowControl/>
        <w:jc w:val="both"/>
        <w:rPr>
          <w:sz w:val="23"/>
        </w:rPr>
      </w:pPr>
      <w:r>
        <w:rPr>
          <w:sz w:val="23"/>
        </w:rPr>
      </w:r>
    </w:p>
    <w:p>
      <w:pPr>
        <w:pStyle w:val="Normal"/>
        <w:widowControl/>
        <w:ind w:start="720" w:end="0"/>
        <w:jc w:val="both"/>
        <w:rPr>
          <w:sz w:val="23"/>
        </w:rPr>
      </w:pPr>
      <w:r>
        <w:rPr>
          <w:sz w:val="23"/>
        </w:rPr>
        <w:t>While on assignment with ENA, Employee will receive compensation and benefits that are the same as, or equivalent to, what they would be if Employee were employed by Enron.</w:t>
      </w:r>
    </w:p>
    <w:p>
      <w:pPr>
        <w:pStyle w:val="Normal"/>
        <w:widowControl/>
        <w:jc w:val="both"/>
        <w:rPr>
          <w:b/>
          <w:sz w:val="23"/>
        </w:rPr>
      </w:pPr>
      <w:r>
        <w:rPr>
          <w:b/>
          <w:sz w:val="23"/>
        </w:rPr>
      </w:r>
    </w:p>
    <w:p>
      <w:pPr>
        <w:pStyle w:val="Normal"/>
        <w:widowControl/>
        <w:jc w:val="both"/>
        <w:rPr/>
      </w:pPr>
      <w:r>
        <w:rPr>
          <w:b/>
          <w:sz w:val="23"/>
        </w:rPr>
        <w:t>IV.</w:t>
      </w:r>
      <w:r>
        <w:rPr>
          <w:sz w:val="23"/>
        </w:rPr>
        <w:tab/>
      </w:r>
      <w:r>
        <w:rPr>
          <w:b/>
          <w:sz w:val="23"/>
          <w:u w:val="single"/>
        </w:rPr>
        <w:t>CONFIDENTIAL INFORMATION; POST-EMPLOYMENT OBLIGATIONS.</w:t>
      </w:r>
    </w:p>
    <w:p>
      <w:pPr>
        <w:pStyle w:val="Normal"/>
        <w:jc w:val="both"/>
        <w:rPr>
          <w:b/>
          <w:spacing w:val="-2"/>
          <w:sz w:val="23"/>
          <w:u w:val="single"/>
        </w:rPr>
      </w:pPr>
      <w:r>
        <w:rPr>
          <w:b/>
          <w:spacing w:val="-2"/>
          <w:sz w:val="23"/>
          <w:u w:val="single"/>
        </w:rPr>
      </w:r>
    </w:p>
    <w:p>
      <w:pPr>
        <w:pStyle w:val="Normal"/>
        <w:ind w:hanging="720" w:start="1440" w:end="0"/>
        <w:jc w:val="both"/>
        <w:rPr/>
      </w:pPr>
      <w:r>
        <w:rPr>
          <w:spacing w:val="-2"/>
          <w:sz w:val="23"/>
        </w:rPr>
        <w:t>A.</w:t>
        <w:tab/>
      </w:r>
      <w:r>
        <w:rPr>
          <w:spacing w:val="-2"/>
          <w:sz w:val="23"/>
          <w:u w:val="single"/>
        </w:rPr>
        <w:t>This Agreement</w:t>
      </w:r>
      <w:r>
        <w:rPr>
          <w:spacing w:val="-2"/>
          <w:sz w:val="23"/>
        </w:rPr>
        <w:t>.  The terms of this Agreement constitute confidential information, which Employee shall not disclose to anyone other than Employee’s spouse, attorneys, tax/financial advisors, or as required by law. Disclosure of these terms is a material breach of this Agreement and could subject Employee to disciplinary action.</w:t>
      </w:r>
    </w:p>
    <w:p>
      <w:pPr>
        <w:pStyle w:val="Normal"/>
        <w:jc w:val="both"/>
        <w:rPr>
          <w:spacing w:val="-2"/>
          <w:sz w:val="23"/>
        </w:rPr>
      </w:pPr>
      <w:r>
        <w:rPr>
          <w:spacing w:val="-2"/>
          <w:sz w:val="23"/>
        </w:rPr>
      </w:r>
    </w:p>
    <w:p>
      <w:pPr>
        <w:pStyle w:val="Normal"/>
        <w:ind w:hanging="720" w:start="1440" w:end="0"/>
        <w:jc w:val="both"/>
        <w:rPr/>
      </w:pPr>
      <w:r>
        <w:rPr>
          <w:sz w:val="23"/>
        </w:rPr>
        <w:t>B.</w:t>
        <w:tab/>
      </w:r>
      <w:r>
        <w:rPr>
          <w:sz w:val="23"/>
          <w:u w:val="single"/>
        </w:rPr>
        <w:t>ENA Property</w:t>
      </w:r>
      <w:r>
        <w:rPr>
          <w:sz w:val="23"/>
        </w:rPr>
        <w:t>.  All written materials, records, data, and other documents prepared or possessed by Employee during Employee's assignment to ENA are ENA property.  All information, ideas, concepts, improvements, discoveries, and inventions that are conceived, made, developed, or acquired by Employee individually or in conjunction with others during Employee's assignment (whether during business hours and whether on ENA's premises or otherwise) which relate to ENA's business, products, or services are ENA’s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ENA’s property.  At the termination of Employee’s assignment with ENA, Employee shall return all of ENA’s documents, data, or other ENA property to ENA.</w:t>
      </w:r>
    </w:p>
    <w:p>
      <w:pPr>
        <w:pStyle w:val="Normal"/>
        <w:jc w:val="both"/>
        <w:rPr>
          <w:spacing w:val="-2"/>
          <w:sz w:val="23"/>
        </w:rPr>
      </w:pPr>
      <w:r>
        <w:rPr>
          <w:spacing w:val="-2"/>
          <w:sz w:val="23"/>
        </w:rPr>
      </w:r>
    </w:p>
    <w:p>
      <w:pPr>
        <w:pStyle w:val="Normal"/>
        <w:ind w:hanging="720" w:start="1440" w:end="0"/>
        <w:jc w:val="both"/>
        <w:rPr/>
      </w:pPr>
      <w:r>
        <w:rPr>
          <w:sz w:val="23"/>
        </w:rPr>
        <w:t>C.</w:t>
        <w:tab/>
      </w:r>
      <w:r>
        <w:rPr>
          <w:sz w:val="23"/>
          <w:u w:val="single"/>
        </w:rPr>
        <w:t>Confidential Information; Non-Disclosure</w:t>
      </w:r>
      <w:r>
        <w:rPr>
          <w:sz w:val="23"/>
        </w:rPr>
        <w:t>.  Employee acknowledges that the business of ENA and its affiliates is highly competitive and that ENA has agreed to provide and immediately will provide Employee with access to Confidential Information relating to the business of ENA and its affiliates.  “Confidential Information” means and includes ENA’s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ENA’s relationship with that customer); pricing strategies and price curves; positions; plans and strategies for expansion or acquisitions; budgets; customer lists; research;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ENA;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Employee acknowledges that this Confidential Information constitutes a valuable, special, and unique asset used by ENA or its affiliates in their businesses to obtain a competitive advantage over their competitors.  Employee further acknowledges that protection of such Confidential Information against unauthorized disclosure and use is of critical importance to ENA and its affiliates in maintaining their competitive position.  Employee also will have access to, or knowledge of, Confidential Information of third parties, such as actual and potential</w:t>
      </w:r>
      <w:r>
        <w:rPr>
          <w:b/>
          <w:sz w:val="23"/>
        </w:rPr>
        <w:t xml:space="preserve"> </w:t>
      </w:r>
      <w:r>
        <w:rPr>
          <w:sz w:val="23"/>
        </w:rPr>
        <w:t>customers, suppliers, partners, joint venturers, investors, financing sources and the like, of ENA and its affiliates.</w:t>
      </w:r>
    </w:p>
    <w:p>
      <w:pPr>
        <w:pStyle w:val="Normal"/>
        <w:ind w:firstLine="720" w:end="0"/>
        <w:jc w:val="both"/>
        <w:rPr>
          <w:sz w:val="23"/>
        </w:rPr>
      </w:pPr>
      <w:r>
        <w:rPr>
          <w:sz w:val="23"/>
        </w:rPr>
      </w:r>
    </w:p>
    <w:p>
      <w:pPr>
        <w:pStyle w:val="Normal"/>
        <w:ind w:start="1440" w:end="0"/>
        <w:jc w:val="both"/>
        <w:rPr>
          <w:sz w:val="23"/>
        </w:rPr>
      </w:pPr>
      <w:r>
        <w:rPr>
          <w:sz w:val="23"/>
        </w:rPr>
        <w:t xml:space="preserve">Employee agrees that Employee will not, at any time during or after Employee’s assignment with ENA, make any unauthorized disclosure of any Confidential Information or specialized training of ENA or its affiliates, or make any use thereof, except in the carrying out of his or her responsibilities hereunder.  Employee also agrees to preserve and protect the confidentiality of third party Confidential Information to the same extent, and on the same basis, as ENA's Confidential Information.  </w:t>
      </w:r>
    </w:p>
    <w:p>
      <w:pPr>
        <w:pStyle w:val="Normal"/>
        <w:ind w:firstLine="720" w:end="0"/>
        <w:jc w:val="both"/>
        <w:rPr>
          <w:sz w:val="23"/>
        </w:rPr>
      </w:pPr>
      <w:r>
        <w:rPr>
          <w:sz w:val="23"/>
        </w:rPr>
      </w:r>
    </w:p>
    <w:p>
      <w:pPr>
        <w:pStyle w:val="Normal"/>
        <w:ind w:hanging="720" w:start="1440" w:end="0"/>
        <w:jc w:val="both"/>
        <w:rPr/>
      </w:pPr>
      <w:r>
        <w:rPr>
          <w:sz w:val="23"/>
        </w:rPr>
        <w:t>D.</w:t>
        <w:tab/>
      </w:r>
      <w:r>
        <w:rPr>
          <w:sz w:val="23"/>
          <w:u w:val="single"/>
        </w:rPr>
        <w:t>Non-Competition Obligations</w:t>
      </w:r>
      <w:r>
        <w:rPr>
          <w:sz w:val="23"/>
        </w:rPr>
        <w:t>.  ENA agrees to and shall provide Employee with immediate access to Confidential Information. Ancillary to the rights provided to Employee following Involuntary Termination, ENA’s provision of Confidential Information and specialized training to Employee, and Employee’s agreement not to disclose Confidential Information, and in order to protect the Confidential Information described  above, ENA and Employee agree to the following non-competition provisions.  Employee agrees that during the Period of Post-Employment Non-Competition Obligations defined in Section IV.F.1, Employee will not, directly or indirectly, for Employee or for others, in the Geographic Region of Responsibility described in Section IV.F.2 (or, if Employee’s Geographic Region has changed, in any and all geographic regions in which Employee has worked during the 12-month period immediately preceding Employee’s termination of Employment):</w:t>
      </w:r>
    </w:p>
    <w:p>
      <w:pPr>
        <w:pStyle w:val="Normal"/>
        <w:jc w:val="both"/>
        <w:rPr>
          <w:spacing w:val="-2"/>
          <w:sz w:val="23"/>
        </w:rPr>
      </w:pPr>
      <w:r>
        <w:rPr>
          <w:spacing w:val="-2"/>
          <w:sz w:val="23"/>
        </w:rPr>
      </w:r>
    </w:p>
    <w:p>
      <w:pPr>
        <w:pStyle w:val="Normal"/>
        <w:ind w:hanging="720" w:start="2160" w:end="0"/>
        <w:jc w:val="both"/>
        <w:rPr/>
      </w:pPr>
      <w:r>
        <w:rPr>
          <w:spacing w:val="-2"/>
          <w:sz w:val="23"/>
        </w:rPr>
        <w:t>(i)</w:t>
        <w:tab/>
      </w:r>
      <w:r>
        <w:rPr>
          <w:sz w:val="23"/>
        </w:rPr>
        <w:t>engage in the business of buying, selling, trading, structuring, or executing transactions in commodities, assets, or products in which ENA is doing business, has plans to engage in business, or has engaged in business in the preceding 12-month period, including, but not limited to, gas, electricity, coal, chilled water, clean fuel, liquids, emissions, petrochemicals, energy assets, transmission capacity, paper, pulp, packaging, communications, metals, weather products, electronic commerce (including business-to-business electronic commerce), “click trading,” bandwidth communications, interest rates, credit, currencies, securities,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w:t>
      </w:r>
    </w:p>
    <w:p>
      <w:pPr>
        <w:pStyle w:val="Normal"/>
        <w:jc w:val="both"/>
        <w:rPr>
          <w:sz w:val="23"/>
        </w:rPr>
      </w:pPr>
      <w:r>
        <w:rPr>
          <w:sz w:val="23"/>
        </w:rPr>
      </w:r>
    </w:p>
    <w:p>
      <w:pPr>
        <w:pStyle w:val="Normal"/>
        <w:ind w:hanging="720" w:start="2160" w:end="0"/>
        <w:jc w:val="both"/>
        <w:rPr>
          <w:spacing w:val="-2"/>
          <w:sz w:val="23"/>
        </w:rPr>
      </w:pPr>
      <w:r>
        <w:rPr>
          <w:spacing w:val="-2"/>
          <w:sz w:val="23"/>
        </w:rPr>
        <w:t>(ii)</w:t>
        <w:tab/>
        <w:t>engage in other types of business performed by ENA, including the acquiring or disposing of assets or equity investments or providing or raising capital, through loans, equity, joint ventures, partnerships, working interests, production payments, credit or similar arrangements into products, commodities, futures, derivatives, or other items in which ENA currently is engaging in business, has plans to engage in business, or has engaged in business in the preceding 12-month period;</w:t>
      </w:r>
    </w:p>
    <w:p>
      <w:pPr>
        <w:pStyle w:val="Normal"/>
        <w:jc w:val="both"/>
        <w:rPr>
          <w:spacing w:val="-2"/>
          <w:sz w:val="23"/>
        </w:rPr>
      </w:pPr>
      <w:r>
        <w:rPr>
          <w:spacing w:val="-2"/>
          <w:sz w:val="23"/>
        </w:rPr>
      </w:r>
    </w:p>
    <w:p>
      <w:pPr>
        <w:pStyle w:val="Normal"/>
        <w:ind w:hanging="720" w:start="2160" w:end="0"/>
        <w:jc w:val="both"/>
        <w:rPr>
          <w:spacing w:val="-2"/>
          <w:sz w:val="23"/>
        </w:rPr>
      </w:pPr>
      <w:r>
        <w:rPr>
          <w:spacing w:val="-2"/>
          <w:sz w:val="23"/>
        </w:rPr>
        <w:t>(iii)</w:t>
        <w:tab/>
        <w:t>engage in activities relating to Enron’s business not described in parts a and b of this Article 3.4, to the extent that Employee has knowledge or information about such activities; or</w:t>
      </w:r>
    </w:p>
    <w:p>
      <w:pPr>
        <w:pStyle w:val="Normal"/>
        <w:jc w:val="both"/>
        <w:rPr>
          <w:spacing w:val="-2"/>
          <w:sz w:val="23"/>
        </w:rPr>
      </w:pPr>
      <w:r>
        <w:rPr>
          <w:spacing w:val="-2"/>
          <w:sz w:val="23"/>
        </w:rPr>
      </w:r>
    </w:p>
    <w:p>
      <w:pPr>
        <w:pStyle w:val="Normal"/>
        <w:ind w:hanging="720" w:start="2160" w:end="0"/>
        <w:jc w:val="both"/>
        <w:rPr>
          <w:spacing w:val="-2"/>
          <w:sz w:val="23"/>
        </w:rPr>
      </w:pPr>
      <w:r>
        <w:rPr>
          <w:spacing w:val="-2"/>
          <w:sz w:val="23"/>
        </w:rPr>
        <w:t>(iv)</w:t>
        <w:tab/>
        <w:t>render advice or services to, or otherwise assist, any other person, association or entity in the business of a, b, or c above.</w:t>
      </w:r>
    </w:p>
    <w:p>
      <w:pPr>
        <w:pStyle w:val="Normal"/>
        <w:ind w:firstLine="720" w:start="720" w:end="0"/>
        <w:jc w:val="both"/>
        <w:rPr>
          <w:spacing w:val="-2"/>
          <w:sz w:val="23"/>
        </w:rPr>
      </w:pPr>
      <w:r>
        <w:rPr>
          <w:spacing w:val="-2"/>
          <w:sz w:val="23"/>
        </w:rPr>
      </w:r>
    </w:p>
    <w:p>
      <w:pPr>
        <w:pStyle w:val="Normal"/>
        <w:ind w:start="1440" w:end="0"/>
        <w:jc w:val="both"/>
        <w:rPr>
          <w:spacing w:val="-2"/>
          <w:sz w:val="23"/>
        </w:rPr>
      </w:pPr>
      <w:r>
        <w:rPr>
          <w:spacing w:val="-2"/>
          <w:sz w:val="23"/>
        </w:rPr>
        <w:t>E</w:t>
      </w:r>
      <w:r>
        <w:rPr>
          <w:sz w:val="23"/>
        </w:rPr>
        <w:t>mployee understands that the foregoing restrictions may limit his or her ability to engage in certain businesses in the geographic region and during the period provided for above, but acknowledges that these restrictions are necessary to protect the Confidential Information ENA has provided to Employee.</w:t>
      </w:r>
    </w:p>
    <w:p>
      <w:pPr>
        <w:pStyle w:val="Normal"/>
        <w:ind w:firstLine="720" w:start="720" w:end="0"/>
        <w:jc w:val="both"/>
        <w:rPr>
          <w:spacing w:val="-2"/>
          <w:sz w:val="23"/>
        </w:rPr>
      </w:pPr>
      <w:r>
        <w:rPr>
          <w:spacing w:val="-2"/>
          <w:sz w:val="23"/>
        </w:rPr>
      </w:r>
    </w:p>
    <w:p>
      <w:pPr>
        <w:pStyle w:val="Normal"/>
        <w:ind w:start="1440" w:end="0"/>
        <w:jc w:val="both"/>
        <w:rPr>
          <w:spacing w:val="-2"/>
          <w:sz w:val="23"/>
        </w:rPr>
      </w:pPr>
      <w:r>
        <w:rPr>
          <w:spacing w:val="-2"/>
          <w:sz w:val="23"/>
        </w:rPr>
        <w:t>For purposes of clarity, Employee’s working for Enron or its affiliates is not a violation of these non-competition obligations.</w:t>
      </w:r>
    </w:p>
    <w:p>
      <w:pPr>
        <w:pStyle w:val="Normal"/>
        <w:ind w:firstLine="720" w:start="720" w:end="0"/>
        <w:jc w:val="both"/>
        <w:rPr>
          <w:spacing w:val="-2"/>
          <w:sz w:val="23"/>
        </w:rPr>
      </w:pPr>
      <w:r>
        <w:rPr>
          <w:spacing w:val="-2"/>
          <w:sz w:val="23"/>
        </w:rPr>
      </w:r>
    </w:p>
    <w:p>
      <w:pPr>
        <w:pStyle w:val="Normal"/>
        <w:numPr>
          <w:ilvl w:val="0"/>
          <w:numId w:val="2"/>
        </w:numPr>
        <w:tabs>
          <w:tab w:val="clear" w:pos="720"/>
          <w:tab w:val="left" w:pos="-720" w:leader="none"/>
          <w:tab w:val="left" w:pos="1440" w:leader="none"/>
        </w:tabs>
        <w:suppressAutoHyphens w:val="true"/>
        <w:ind w:hanging="720" w:start="1440" w:end="0"/>
        <w:jc w:val="both"/>
        <w:rPr>
          <w:spacing w:val="-2"/>
          <w:sz w:val="23"/>
        </w:rPr>
      </w:pPr>
      <w:r>
        <w:rPr>
          <w:spacing w:val="-2"/>
          <w:sz w:val="23"/>
          <w:u w:val="single"/>
        </w:rPr>
        <w:t>Non-Solicitation of Customers</w:t>
      </w:r>
      <w:r>
        <w:rPr>
          <w:spacing w:val="-2"/>
          <w:sz w:val="23"/>
        </w:rPr>
        <w:t>.  For the Period of Non-Solicitation of Customers described in Section IV.F.1, Employee will not call on, service, or solicit competing business from customers of ENA, Enron, or their affiliates whom that Employee, within the previous twenty-four (24) months, (i) had or made contact with, or (ii) had access to information and files about.</w:t>
      </w:r>
    </w:p>
    <w:p>
      <w:pPr>
        <w:pStyle w:val="Normal"/>
        <w:tabs>
          <w:tab w:val="clear" w:pos="720"/>
          <w:tab w:val="left" w:pos="-720" w:leader="none"/>
        </w:tabs>
        <w:suppressAutoHyphens w:val="true"/>
        <w:ind w:start="720" w:end="0"/>
        <w:jc w:val="both"/>
        <w:rPr>
          <w:spacing w:val="-2"/>
          <w:sz w:val="23"/>
        </w:rPr>
      </w:pPr>
      <w:r>
        <w:rPr>
          <w:spacing w:val="-2"/>
          <w:sz w:val="23"/>
        </w:rPr>
      </w:r>
    </w:p>
    <w:p>
      <w:pPr>
        <w:pStyle w:val="Normal"/>
        <w:numPr>
          <w:ilvl w:val="0"/>
          <w:numId w:val="2"/>
        </w:numPr>
        <w:tabs>
          <w:tab w:val="clear" w:pos="720"/>
          <w:tab w:val="left" w:pos="-720" w:leader="none"/>
        </w:tabs>
        <w:suppressAutoHyphens w:val="true"/>
        <w:ind w:hanging="720" w:start="1440" w:end="0"/>
        <w:jc w:val="both"/>
        <w:rPr>
          <w:spacing w:val="-2"/>
          <w:sz w:val="23"/>
        </w:rPr>
      </w:pPr>
      <w:r>
        <w:rPr>
          <w:spacing w:val="-2"/>
          <w:sz w:val="23"/>
          <w:u w:val="single"/>
        </w:rPr>
        <w:t>Post-Employment Restrictions</w:t>
      </w:r>
      <w:r>
        <w:rPr>
          <w:spacing w:val="-2"/>
          <w:sz w:val="23"/>
        </w:rPr>
        <w:t xml:space="preserve">. </w:t>
      </w:r>
    </w:p>
    <w:p>
      <w:pPr>
        <w:pStyle w:val="Normal"/>
        <w:tabs>
          <w:tab w:val="clear" w:pos="720"/>
          <w:tab w:val="left" w:pos="-720" w:leader="none"/>
        </w:tabs>
        <w:suppressAutoHyphens w:val="true"/>
        <w:jc w:val="both"/>
        <w:rPr>
          <w:spacing w:val="-2"/>
          <w:sz w:val="23"/>
        </w:rPr>
      </w:pPr>
      <w:r>
        <w:rPr>
          <w:spacing w:val="-2"/>
          <w:sz w:val="23"/>
        </w:rPr>
      </w:r>
    </w:p>
    <w:p>
      <w:pPr>
        <w:pStyle w:val="BodyTextIndent"/>
        <w:rPr/>
      </w:pPr>
      <w:r>
        <w:rPr/>
        <w:t>1.  Employee’s obligations in Section IV.D., Non-Competition Obligations, and Section IV.E., Non-Solicitation of Customers, shall survive the termination of employment and extend through the latest of the following dates, whichever is applicable:  (a) Twelve (12) months after Employee’s voluntary termination of the assignment with ENA if such termination occurs during the Term described in Section I.A. of this Assignment Letter; or (b) Six (6) months after the last date of Employee’s assignment to ENA in the event of Employee’s involuntary termination of employment or the Assignment with or without cause during the Term; or (c) Three (3) months after Employee’s termination of the Assignment for any reason if such termination occurs after the Term described in Section I.A. of this Assignment Letter.</w:t>
      </w:r>
    </w:p>
    <w:p>
      <w:pPr>
        <w:pStyle w:val="Normal"/>
        <w:tabs>
          <w:tab w:val="clear" w:pos="720"/>
          <w:tab w:val="left" w:pos="-720" w:leader="none"/>
        </w:tabs>
        <w:suppressAutoHyphens w:val="true"/>
        <w:jc w:val="both"/>
        <w:rPr>
          <w:spacing w:val="-2"/>
          <w:sz w:val="23"/>
        </w:rPr>
      </w:pPr>
      <w:r>
        <w:rPr>
          <w:spacing w:val="-2"/>
          <w:sz w:val="23"/>
        </w:rPr>
      </w:r>
    </w:p>
    <w:p>
      <w:pPr>
        <w:pStyle w:val="Normal"/>
        <w:tabs>
          <w:tab w:val="clear" w:pos="720"/>
          <w:tab w:val="left" w:pos="-720" w:leader="none"/>
        </w:tabs>
        <w:suppressAutoHyphens w:val="true"/>
        <w:ind w:start="1440" w:end="0"/>
        <w:jc w:val="both"/>
        <w:rPr/>
      </w:pPr>
      <w:r>
        <w:rPr>
          <w:spacing w:val="-2"/>
          <w:sz w:val="23"/>
        </w:rPr>
        <w:t xml:space="preserve">2.  Employee’s Geographic Region of Responsibility described in Section IV.D. is </w:t>
      </w:r>
      <w:r>
        <w:rPr>
          <w:b/>
          <w:bCs/>
          <w:spacing w:val="-2"/>
          <w:sz w:val="23"/>
        </w:rPr>
        <w:t>&lt;&lt;North America&gt;&gt;</w:t>
      </w:r>
      <w:r>
        <w:rPr>
          <w:spacing w:val="-2"/>
          <w:sz w:val="23"/>
        </w:rPr>
        <w:t>.</w:t>
      </w:r>
    </w:p>
    <w:p>
      <w:pPr>
        <w:pStyle w:val="Normal"/>
        <w:tabs>
          <w:tab w:val="clear" w:pos="720"/>
          <w:tab w:val="left" w:pos="-720" w:leader="none"/>
        </w:tabs>
        <w:suppressAutoHyphens w:val="true"/>
        <w:ind w:start="1440" w:end="0"/>
        <w:jc w:val="both"/>
        <w:rPr>
          <w:spacing w:val="-2"/>
          <w:sz w:val="23"/>
        </w:rPr>
      </w:pPr>
      <w:r>
        <w:rPr>
          <w:spacing w:val="-2"/>
          <w:sz w:val="23"/>
        </w:rPr>
        <w:t xml:space="preserve"> </w:t>
      </w:r>
    </w:p>
    <w:p>
      <w:pPr>
        <w:pStyle w:val="Normal"/>
        <w:numPr>
          <w:ilvl w:val="0"/>
          <w:numId w:val="2"/>
        </w:numPr>
        <w:tabs>
          <w:tab w:val="clear" w:pos="720"/>
          <w:tab w:val="left" w:pos="-720" w:leader="none"/>
          <w:tab w:val="left" w:pos="1440" w:leader="none"/>
        </w:tabs>
        <w:suppressAutoHyphens w:val="true"/>
        <w:ind w:hanging="720" w:start="1440" w:end="0"/>
        <w:jc w:val="both"/>
        <w:rPr>
          <w:spacing w:val="-2"/>
          <w:sz w:val="23"/>
        </w:rPr>
      </w:pPr>
      <w:r>
        <w:rPr>
          <w:spacing w:val="-2"/>
          <w:sz w:val="23"/>
          <w:u w:val="single"/>
        </w:rPr>
        <w:t>Non-Solicitation of Employees</w:t>
      </w:r>
      <w:r>
        <w:rPr>
          <w:spacing w:val="-2"/>
          <w:sz w:val="23"/>
        </w:rPr>
        <w:t>.  During Employee’s assignment, and for a period of twelve (12) months following the termination of the assignment, Employee will not, either directly or indirectly, call on, solicit, or induce any other employee or officer of ENA or its affiliates whom Employee had contact with, knowledge of, or association with in the course of the assignment with ENA to terminate his or her employment or assignment for a position outside of Enron or its affiliates, and will not assist any other person or entity in such a solicitation.</w:t>
      </w:r>
    </w:p>
    <w:p>
      <w:pPr>
        <w:pStyle w:val="Normal"/>
        <w:tabs>
          <w:tab w:val="clear" w:pos="720"/>
          <w:tab w:val="left" w:pos="-720" w:leader="none"/>
        </w:tabs>
        <w:suppressAutoHyphens w:val="true"/>
        <w:jc w:val="both"/>
        <w:rPr>
          <w:spacing w:val="-2"/>
          <w:sz w:val="23"/>
          <w:u w:val="single"/>
        </w:rPr>
      </w:pPr>
      <w:r>
        <w:rPr>
          <w:spacing w:val="-2"/>
          <w:sz w:val="23"/>
          <w:u w:val="single"/>
        </w:rPr>
      </w:r>
    </w:p>
    <w:p>
      <w:pPr>
        <w:pStyle w:val="Normal"/>
        <w:numPr>
          <w:ilvl w:val="0"/>
          <w:numId w:val="2"/>
        </w:numPr>
        <w:tabs>
          <w:tab w:val="clear" w:pos="720"/>
          <w:tab w:val="left" w:pos="-720" w:leader="none"/>
          <w:tab w:val="left" w:pos="1440" w:leader="none"/>
        </w:tabs>
        <w:suppressAutoHyphens w:val="true"/>
        <w:ind w:hanging="720" w:start="1440" w:end="0"/>
        <w:jc w:val="both"/>
        <w:rPr>
          <w:sz w:val="23"/>
        </w:rPr>
      </w:pPr>
      <w:r>
        <w:rPr>
          <w:spacing w:val="-2"/>
          <w:sz w:val="23"/>
          <w:u w:val="single"/>
        </w:rPr>
        <w:t>Early Resolution Conference/Arbitration</w:t>
      </w:r>
      <w:r>
        <w:rPr>
          <w:spacing w:val="-2"/>
          <w:sz w:val="23"/>
        </w:rPr>
        <w:t>.  The parties are entering into this Agreement with the express understanding that this Agreement is clear and fully enforceable as written.  If Employee ever decides to contend that any restriction on activities imposed by this Agreement no longer is enforceable as written or does not apply to an activity Employee intends to engage, Employee first will notify a member of ENA’s Office of the Chairman in writing and meet with a Enron representative at least fourteen (14) days before engaging in any activity that foreseeably could fall within the questioned restriction to discuss resolution of such claims (an “Early Resolution Conference”).  Should the parties not be able to resolve disputes at the Early Resolution Conference, the parties agree to use confidential, binding arbitration to resolve the disputes.  The arbitration shall be conducted in accordance with the commercial arbitration rules of the American Arbitration Association before an arbitrator licensed to practice law in Texas.  Either party may seek a temporary restraining order, injunction, specific performance, or other equitable relief regarding the provisions of this Section if the other party fails to comply with obligations stated herein.  The parties’ agreement to arbitrate applies only to the matters subject to an Early Resolution Conference.</w:t>
      </w:r>
    </w:p>
    <w:p>
      <w:pPr>
        <w:pStyle w:val="Normal"/>
        <w:tabs>
          <w:tab w:val="clear" w:pos="720"/>
          <w:tab w:val="left" w:pos="-720" w:leader="none"/>
        </w:tabs>
        <w:suppressAutoHyphens w:val="true"/>
        <w:ind w:start="720" w:end="0"/>
        <w:jc w:val="both"/>
        <w:rPr>
          <w:sz w:val="23"/>
        </w:rPr>
      </w:pPr>
      <w:r>
        <w:rPr>
          <w:sz w:val="23"/>
        </w:rPr>
      </w:r>
    </w:p>
    <w:p>
      <w:pPr>
        <w:pStyle w:val="Normal"/>
        <w:numPr>
          <w:ilvl w:val="0"/>
          <w:numId w:val="2"/>
        </w:numPr>
        <w:tabs>
          <w:tab w:val="clear" w:pos="720"/>
          <w:tab w:val="left" w:pos="-720" w:leader="none"/>
        </w:tabs>
        <w:suppressAutoHyphens w:val="true"/>
        <w:ind w:hanging="720" w:start="1440" w:end="0"/>
        <w:jc w:val="both"/>
        <w:rPr>
          <w:sz w:val="23"/>
        </w:rPr>
      </w:pPr>
      <w:r>
        <w:rPr>
          <w:spacing w:val="-2"/>
          <w:sz w:val="23"/>
          <w:u w:val="single"/>
        </w:rPr>
        <w:t>Warranty and Indemnification</w:t>
      </w:r>
      <w:r>
        <w:rPr>
          <w:spacing w:val="-2"/>
          <w:sz w:val="23"/>
        </w:rPr>
        <w:t>.  Employee warrants that Employee is not a party to any restrictive agreement limiting Employee’s activities in his/her assignment to ENA.  Employee further warrants that at the time of the signing of this Agreement, Employee knows of no written or oral contract or of any other impediment that would inhibit or prohibit an assignment with ENA, and that Employee will not knowingly use any trade secret, confidential information, or other intellectual property right of any other party in the performance of Employee’s duties hereunder.  Employee shall hold ENA harmless from any and all suits and claims arising out of any breach of such restrictive agreement or contracts.</w:t>
      </w:r>
    </w:p>
    <w:p>
      <w:pPr>
        <w:pStyle w:val="Normal"/>
        <w:widowControl/>
        <w:tabs>
          <w:tab w:val="clear" w:pos="720"/>
          <w:tab w:val="left" w:pos="0" w:leader="none"/>
        </w:tabs>
        <w:jc w:val="both"/>
        <w:rPr>
          <w:b/>
          <w:sz w:val="23"/>
        </w:rPr>
      </w:pPr>
      <w:r>
        <w:rPr>
          <w:b/>
          <w:sz w:val="23"/>
        </w:rPr>
      </w:r>
    </w:p>
    <w:p>
      <w:pPr>
        <w:pStyle w:val="Normal"/>
        <w:widowControl/>
        <w:tabs>
          <w:tab w:val="clear" w:pos="720"/>
          <w:tab w:val="left" w:pos="0" w:leader="none"/>
        </w:tabs>
        <w:jc w:val="both"/>
        <w:rPr/>
      </w:pPr>
      <w:r>
        <w:rPr>
          <w:b/>
          <w:sz w:val="23"/>
        </w:rPr>
        <w:t>V.</w:t>
      </w:r>
      <w:r>
        <w:rPr>
          <w:sz w:val="23"/>
        </w:rPr>
        <w:tab/>
      </w:r>
      <w:r>
        <w:rPr>
          <w:b/>
          <w:sz w:val="23"/>
          <w:u w:val="single"/>
        </w:rPr>
        <w:t>MISCELLANEOUS</w:t>
      </w:r>
      <w:r>
        <w:rPr>
          <w:b/>
          <w:sz w:val="23"/>
        </w:rPr>
        <w:t>.</w:t>
      </w:r>
    </w:p>
    <w:p>
      <w:pPr>
        <w:pStyle w:val="Normal"/>
        <w:widowControl/>
        <w:tabs>
          <w:tab w:val="clear" w:pos="720"/>
          <w:tab w:val="left" w:pos="0" w:leader="none"/>
        </w:tabs>
        <w:jc w:val="both"/>
        <w:rPr>
          <w:b/>
          <w:sz w:val="23"/>
          <w:u w:val="single"/>
        </w:rPr>
      </w:pPr>
      <w:r>
        <w:rPr>
          <w:b/>
          <w:sz w:val="23"/>
          <w:u w:val="single"/>
        </w:rPr>
      </w:r>
    </w:p>
    <w:p>
      <w:pPr>
        <w:pStyle w:val="Normal"/>
        <w:widowControl/>
        <w:tabs>
          <w:tab w:val="clear" w:pos="720"/>
          <w:tab w:val="left" w:pos="0" w:leader="none"/>
        </w:tabs>
        <w:spacing w:before="0" w:after="240"/>
        <w:jc w:val="both"/>
        <w:rPr/>
      </w:pPr>
      <w:r>
        <w:rPr>
          <w:sz w:val="23"/>
        </w:rPr>
        <w:tab/>
      </w:r>
      <w:r>
        <w:rPr>
          <w:b/>
          <w:sz w:val="23"/>
        </w:rPr>
        <w:t>A.</w:t>
      </w:r>
      <w:r>
        <w:rPr>
          <w:sz w:val="23"/>
        </w:rPr>
        <w:tab/>
      </w:r>
      <w:r>
        <w:rPr>
          <w:b/>
          <w:sz w:val="23"/>
          <w:u w:val="single"/>
        </w:rPr>
        <w:t>Applicable Law/Jurisdiction/Venue</w:t>
      </w:r>
      <w:r>
        <w:rPr>
          <w:b/>
          <w:sz w:val="23"/>
        </w:rPr>
        <w:t>.</w:t>
      </w:r>
    </w:p>
    <w:p>
      <w:pPr>
        <w:pStyle w:val="BodyTextIndent2"/>
        <w:widowControl/>
        <w:tabs>
          <w:tab w:val="clear" w:pos="720"/>
          <w:tab w:val="left" w:pos="0" w:leader="none"/>
        </w:tabs>
        <w:spacing w:before="0" w:after="240"/>
        <w:rPr>
          <w:b/>
          <w:sz w:val="23"/>
          <w:u w:val="single"/>
        </w:rPr>
      </w:pPr>
      <w:r>
        <w:rPr>
          <w:sz w:val="23"/>
        </w:rPr>
        <w:t>The terms of this Assignment Letter shall be governed by the laws of the State of  Texas.  Jurisdiction and venue shall be in the U.S. District Court, Southern District of Texas, Houston Division, or in the State District Courts of Harris County, Texas.</w:t>
      </w:r>
    </w:p>
    <w:p>
      <w:pPr>
        <w:pStyle w:val="Normal"/>
        <w:widowControl/>
        <w:tabs>
          <w:tab w:val="clear" w:pos="720"/>
          <w:tab w:val="left" w:pos="0" w:leader="none"/>
        </w:tabs>
        <w:spacing w:before="0" w:after="240"/>
        <w:jc w:val="both"/>
        <w:rPr/>
      </w:pPr>
      <w:r>
        <w:rPr>
          <w:sz w:val="23"/>
        </w:rPr>
        <w:tab/>
      </w:r>
      <w:r>
        <w:rPr>
          <w:b/>
          <w:sz w:val="23"/>
        </w:rPr>
        <w:t>B.</w:t>
      </w:r>
      <w:r>
        <w:rPr>
          <w:sz w:val="23"/>
        </w:rPr>
        <w:tab/>
      </w:r>
      <w:r>
        <w:rPr>
          <w:b/>
          <w:sz w:val="23"/>
          <w:u w:val="single"/>
        </w:rPr>
        <w:t>Successors and Assignment</w:t>
      </w:r>
      <w:r>
        <w:rPr>
          <w:sz w:val="23"/>
        </w:rPr>
        <w:t>.</w:t>
      </w:r>
    </w:p>
    <w:p>
      <w:pPr>
        <w:pStyle w:val="BodyTextIndent2"/>
        <w:widowControl/>
        <w:tabs>
          <w:tab w:val="clear" w:pos="720"/>
          <w:tab w:val="left" w:pos="0" w:leader="none"/>
        </w:tabs>
        <w:spacing w:before="0" w:after="240"/>
        <w:rPr>
          <w:sz w:val="23"/>
        </w:rPr>
      </w:pPr>
      <w:r>
        <w:rPr>
          <w:sz w:val="23"/>
        </w:rPr>
        <w:t>The terms of this Assignment Letter automatically shall be binding upon any corporation or other entity that may hereafter acquire or succeed to all or substantially all of the business or assets of Enron or ENA, either directly or indirectly, by purchase, merger, consolidation or otherwise.  Enron may assign this Assignment Letter to an affiliate or any other entity.  Employee's rights and obligations hereunder are personal and cannot be assigned.</w:t>
      </w:r>
    </w:p>
    <w:p>
      <w:pPr>
        <w:pStyle w:val="Normal"/>
        <w:widowControl/>
        <w:tabs>
          <w:tab w:val="clear" w:pos="720"/>
          <w:tab w:val="left" w:pos="0" w:leader="none"/>
        </w:tabs>
        <w:spacing w:before="0" w:after="240"/>
        <w:jc w:val="both"/>
        <w:rPr>
          <w:b/>
          <w:sz w:val="23"/>
          <w:u w:val="single"/>
        </w:rPr>
      </w:pPr>
      <w:r>
        <w:rPr>
          <w:sz w:val="23"/>
        </w:rPr>
        <w:tab/>
      </w:r>
      <w:r>
        <w:rPr>
          <w:b/>
          <w:sz w:val="23"/>
        </w:rPr>
        <w:t>C.</w:t>
      </w:r>
      <w:r>
        <w:rPr>
          <w:sz w:val="23"/>
        </w:rPr>
        <w:tab/>
      </w:r>
      <w:r>
        <w:rPr>
          <w:b/>
          <w:sz w:val="23"/>
          <w:u w:val="single"/>
        </w:rPr>
        <w:t>Entire Agreement; Modification</w:t>
      </w:r>
      <w:r>
        <w:rPr>
          <w:b/>
          <w:sz w:val="23"/>
        </w:rPr>
        <w:t>.</w:t>
      </w:r>
    </w:p>
    <w:p>
      <w:pPr>
        <w:pStyle w:val="BodyTextIndent2"/>
        <w:widowControl/>
        <w:tabs>
          <w:tab w:val="clear" w:pos="720"/>
          <w:tab w:val="left" w:pos="0" w:leader="none"/>
          <w:tab w:val="left" w:pos="8064" w:leader="none"/>
        </w:tabs>
        <w:spacing w:before="0" w:after="240"/>
        <w:rPr>
          <w:sz w:val="23"/>
        </w:rPr>
      </w:pPr>
      <w:r>
        <w:rPr>
          <w:sz w:val="23"/>
        </w:rPr>
        <w:t>This letter constitutes the entire agreement of the parties with regard to the Assignment, supersedes any and all prior agreements (written or oral) with respect to Employee's assignment to work for ENA, and contains all of the promises, representations, and agreements between the parties with respect to such assignment.  This Assignment Letter does not supersede any written Employment Agreement between Enron and Employee.  Each party acknowledges that no representation, inducement, promise or agreement (oral or written) has been made by either party, which is not embodied herein, and that no agreement, statement, or promise, relating to the Assignment of Employee by Enron, which is not contained herein, shall be valid or binding.  Any modification to the foregoing provisions will be effective only if it is in writing and signed by both parties.</w:t>
      </w:r>
    </w:p>
    <w:p>
      <w:pPr>
        <w:pStyle w:val="Normal"/>
        <w:widowControl/>
        <w:tabs>
          <w:tab w:val="clear" w:pos="720"/>
          <w:tab w:val="left" w:pos="0" w:leader="none"/>
        </w:tabs>
        <w:spacing w:before="0" w:after="240"/>
        <w:jc w:val="both"/>
        <w:rPr>
          <w:b/>
          <w:sz w:val="23"/>
          <w:u w:val="single"/>
        </w:rPr>
      </w:pPr>
      <w:r>
        <w:rPr>
          <w:sz w:val="23"/>
        </w:rPr>
        <w:tab/>
      </w:r>
      <w:r>
        <w:rPr>
          <w:b/>
          <w:sz w:val="23"/>
        </w:rPr>
        <w:t>D.</w:t>
      </w:r>
      <w:r>
        <w:rPr>
          <w:sz w:val="23"/>
        </w:rPr>
        <w:tab/>
      </w:r>
      <w:r>
        <w:rPr>
          <w:b/>
          <w:sz w:val="23"/>
          <w:u w:val="single"/>
        </w:rPr>
        <w:t>Severability</w:t>
      </w:r>
      <w:r>
        <w:rPr>
          <w:b/>
          <w:sz w:val="23"/>
        </w:rPr>
        <w:t>.</w:t>
      </w:r>
    </w:p>
    <w:p>
      <w:pPr>
        <w:pStyle w:val="BodyTextIndent2"/>
        <w:widowControl/>
        <w:tabs>
          <w:tab w:val="clear" w:pos="720"/>
          <w:tab w:val="left" w:pos="0" w:leader="none"/>
          <w:tab w:val="left" w:pos="8064" w:leader="none"/>
        </w:tabs>
        <w:spacing w:before="0" w:after="240"/>
        <w:rPr>
          <w:sz w:val="23"/>
        </w:rPr>
      </w:pPr>
      <w:r>
        <w:rPr>
          <w:sz w:val="23"/>
        </w:rPr>
        <w:t>If any provision of this letter shall be held invalid or unenforceable by any court of competent jurisdiction, the remainder of this letter, other than that portion determined to be invalid or unenforceable, shall not be affected thereby, and each valid provision of this letter shall be enforced to the fullest extent permitted by law.</w:t>
      </w:r>
    </w:p>
    <w:p>
      <w:pPr>
        <w:pStyle w:val="Normal"/>
        <w:widowControl/>
        <w:tabs>
          <w:tab w:val="clear" w:pos="720"/>
          <w:tab w:val="left" w:pos="0" w:leader="none"/>
          <w:tab w:val="left" w:pos="8064" w:leader="none"/>
        </w:tabs>
        <w:jc w:val="both"/>
        <w:rPr>
          <w:sz w:val="23"/>
        </w:rPr>
      </w:pPr>
      <w:r>
        <w:rPr>
          <w:sz w:val="23"/>
        </w:rPr>
        <w:t>IN WITNESS WHEREOF, the parties hereto have executed this letter as of this __ day of ___________, 2000.</w:t>
      </w:r>
    </w:p>
    <w:p>
      <w:pPr>
        <w:pStyle w:val="Normal"/>
        <w:widowControl/>
        <w:tabs>
          <w:tab w:val="clear" w:pos="720"/>
          <w:tab w:val="left" w:pos="0" w:leader="none"/>
          <w:tab w:val="left" w:pos="8064" w:leader="none"/>
        </w:tabs>
        <w:jc w:val="both"/>
        <w:rPr>
          <w:sz w:val="23"/>
        </w:rPr>
      </w:pPr>
      <w:r>
        <w:rPr>
          <w:sz w:val="23"/>
        </w:rPr>
      </w:r>
    </w:p>
    <w:p>
      <w:pPr>
        <w:pStyle w:val="Heading1"/>
        <w:widowControl/>
        <w:ind w:hanging="0" w:start="0"/>
        <w:rPr/>
      </w:pPr>
      <w:r>
        <w:rPr/>
        <w:t>Enron North America Corp.</w:t>
        <w:tab/>
        <w:tab/>
        <w:tab/>
        <w:tab/>
        <w:tab/>
        <w:t>&lt;&lt;Employee Name&gt;&gt;</w:t>
      </w:r>
    </w:p>
    <w:p>
      <w:pPr>
        <w:pStyle w:val="Normal"/>
        <w:widowControl/>
        <w:tabs>
          <w:tab w:val="clear" w:pos="720"/>
          <w:tab w:val="left" w:pos="0" w:leader="none"/>
          <w:tab w:val="left" w:pos="360" w:leader="none"/>
          <w:tab w:val="left" w:pos="8064" w:leader="none"/>
        </w:tabs>
        <w:jc w:val="both"/>
        <w:rPr>
          <w:b/>
          <w:sz w:val="23"/>
        </w:rPr>
      </w:pPr>
      <w:r>
        <w:rPr>
          <w:b/>
          <w:sz w:val="23"/>
        </w:rPr>
        <w:tab/>
        <w:t xml:space="preserve">                                          </w:t>
      </w:r>
    </w:p>
    <w:p>
      <w:pPr>
        <w:pStyle w:val="Normal"/>
        <w:widowControl/>
        <w:tabs>
          <w:tab w:val="clear" w:pos="720"/>
          <w:tab w:val="left" w:pos="0" w:leader="none"/>
          <w:tab w:val="left" w:pos="360" w:leader="none"/>
          <w:tab w:val="left" w:pos="8064" w:leader="none"/>
        </w:tabs>
        <w:jc w:val="both"/>
        <w:rPr>
          <w:b/>
          <w:sz w:val="23"/>
        </w:rPr>
      </w:pPr>
      <w:r>
        <w:rPr>
          <w:b/>
          <w:sz w:val="23"/>
        </w:rPr>
      </w:r>
    </w:p>
    <w:p>
      <w:pPr>
        <w:pStyle w:val="Normal"/>
        <w:widowControl/>
        <w:tabs>
          <w:tab w:val="clear" w:pos="720"/>
          <w:tab w:val="left" w:pos="0" w:leader="none"/>
          <w:tab w:val="left" w:pos="360" w:leader="none"/>
          <w:tab w:val="left" w:pos="8064" w:leader="none"/>
        </w:tabs>
        <w:jc w:val="both"/>
        <w:rPr>
          <w:b/>
          <w:sz w:val="23"/>
        </w:rPr>
      </w:pPr>
      <w:r>
        <w:rPr>
          <w:b/>
          <w:sz w:val="23"/>
        </w:rPr>
      </w:r>
    </w:p>
    <w:p>
      <w:pPr>
        <w:pStyle w:val="Normal"/>
        <w:widowControl/>
        <w:tabs>
          <w:tab w:val="left" w:pos="0" w:leader="none"/>
          <w:tab w:val="left" w:pos="720" w:leader="none"/>
        </w:tabs>
        <w:jc w:val="both"/>
        <w:rPr/>
      </w:pPr>
      <w:r>
        <w:rPr>
          <w:b/>
          <w:sz w:val="23"/>
        </w:rPr>
        <w:t>By:</w:t>
        <w:tab/>
      </w:r>
      <w:r>
        <w:rPr>
          <w:b/>
          <w:sz w:val="23"/>
          <w:u w:val="single"/>
        </w:rPr>
        <w:tab/>
        <w:tab/>
        <w:tab/>
        <w:tab/>
        <w:tab/>
      </w:r>
      <w:r>
        <w:rPr>
          <w:b/>
          <w:sz w:val="23"/>
        </w:rPr>
        <w:tab/>
        <w:tab/>
        <w:t xml:space="preserve">Name:  </w:t>
      </w:r>
      <w:r>
        <w:rPr>
          <w:b/>
          <w:sz w:val="23"/>
          <w:u w:val="single"/>
        </w:rPr>
        <w:tab/>
        <w:tab/>
        <w:tab/>
        <w:tab/>
      </w:r>
    </w:p>
    <w:p>
      <w:pPr>
        <w:pStyle w:val="Normal"/>
        <w:widowControl/>
        <w:tabs>
          <w:tab w:val="left" w:pos="0" w:leader="none"/>
          <w:tab w:val="left" w:pos="720" w:leader="none"/>
        </w:tabs>
        <w:jc w:val="both"/>
        <w:rPr/>
      </w:pPr>
      <w:r>
        <w:rPr>
          <w:b/>
          <w:sz w:val="23"/>
        </w:rPr>
        <w:t>Title:</w:t>
        <w:tab/>
      </w:r>
      <w:r>
        <w:rPr>
          <w:b/>
          <w:sz w:val="23"/>
          <w:u w:val="single"/>
        </w:rPr>
        <w:tab/>
        <w:tab/>
        <w:tab/>
        <w:tab/>
        <w:tab/>
      </w:r>
      <w:r>
        <w:rPr>
          <w:b/>
          <w:sz w:val="23"/>
        </w:rPr>
        <w:tab/>
        <w:tab/>
        <w:t xml:space="preserve">Date:  </w:t>
      </w:r>
      <w:r>
        <w:rPr>
          <w:b/>
          <w:sz w:val="23"/>
          <w:u w:val="single"/>
        </w:rPr>
        <w:tab/>
        <w:tab/>
        <w:tab/>
        <w:tab/>
        <w:tab/>
      </w:r>
    </w:p>
    <w:p>
      <w:pPr>
        <w:pStyle w:val="Normal"/>
        <w:widowControl/>
        <w:tabs>
          <w:tab w:val="clear" w:pos="720"/>
          <w:tab w:val="left" w:pos="0" w:leader="none"/>
        </w:tabs>
        <w:jc w:val="both"/>
        <w:rPr/>
      </w:pPr>
      <w:r>
        <w:rPr>
          <w:b/>
          <w:sz w:val="23"/>
        </w:rPr>
        <w:t>Date:</w:t>
        <w:tab/>
      </w:r>
      <w:r>
        <w:rPr>
          <w:b/>
          <w:sz w:val="23"/>
          <w:u w:val="single"/>
        </w:rPr>
        <w:tab/>
        <w:tab/>
        <w:tab/>
        <w:tab/>
        <w:tab/>
      </w:r>
    </w:p>
    <w:p>
      <w:pPr>
        <w:pStyle w:val="Normal"/>
        <w:widowControl/>
        <w:tabs>
          <w:tab w:val="clear" w:pos="720"/>
          <w:tab w:val="left" w:pos="0" w:leader="none"/>
          <w:tab w:val="left" w:pos="8064" w:leader="none"/>
        </w:tabs>
        <w:jc w:val="both"/>
        <w:rPr>
          <w:b/>
          <w:sz w:val="23"/>
          <w:u w:val="single"/>
        </w:rPr>
      </w:pPr>
      <w:r>
        <w:rPr>
          <w:b/>
          <w:sz w:val="23"/>
          <w:u w:val="single"/>
        </w:rPr>
      </w:r>
    </w:p>
    <w:p>
      <w:pPr>
        <w:pStyle w:val="Normal"/>
        <w:widowControl/>
        <w:tabs>
          <w:tab w:val="clear" w:pos="720"/>
          <w:tab w:val="left" w:pos="0" w:leader="none"/>
          <w:tab w:val="left" w:pos="8064" w:leader="none"/>
        </w:tabs>
        <w:jc w:val="both"/>
        <w:rPr>
          <w:b/>
          <w:sz w:val="23"/>
        </w:rPr>
      </w:pPr>
      <w:r>
        <w:rPr>
          <w:b/>
          <w:sz w:val="23"/>
        </w:rPr>
      </w:r>
    </w:p>
    <w:p>
      <w:pPr>
        <w:pStyle w:val="Normal"/>
        <w:widowControl/>
        <w:tabs>
          <w:tab w:val="clear" w:pos="720"/>
          <w:tab w:val="left" w:pos="0" w:leader="none"/>
          <w:tab w:val="left" w:pos="8064" w:leader="none"/>
        </w:tabs>
        <w:jc w:val="both"/>
        <w:rPr>
          <w:b/>
          <w:sz w:val="23"/>
        </w:rPr>
      </w:pPr>
      <w:r>
        <w:rPr>
          <w:b/>
          <w:sz w:val="23"/>
        </w:rPr>
        <w:t>Enron Corp.</w:t>
      </w:r>
    </w:p>
    <w:p>
      <w:pPr>
        <w:pStyle w:val="Normal"/>
        <w:widowControl/>
        <w:tabs>
          <w:tab w:val="left" w:pos="0" w:leader="none"/>
          <w:tab w:val="left" w:pos="360" w:leader="none"/>
          <w:tab w:val="left" w:pos="720" w:leader="none"/>
          <w:tab w:val="left" w:pos="8064" w:leader="none"/>
        </w:tabs>
        <w:jc w:val="both"/>
        <w:rPr>
          <w:b/>
          <w:sz w:val="23"/>
        </w:rPr>
      </w:pPr>
      <w:r>
        <w:rPr>
          <w:b/>
          <w:sz w:val="23"/>
        </w:rPr>
      </w:r>
    </w:p>
    <w:p>
      <w:pPr>
        <w:pStyle w:val="Normal"/>
        <w:widowControl/>
        <w:tabs>
          <w:tab w:val="left" w:pos="0" w:leader="none"/>
          <w:tab w:val="left" w:pos="360" w:leader="none"/>
          <w:tab w:val="left" w:pos="720" w:leader="none"/>
          <w:tab w:val="left" w:pos="8064" w:leader="none"/>
        </w:tabs>
        <w:jc w:val="both"/>
        <w:rPr>
          <w:b/>
          <w:sz w:val="23"/>
        </w:rPr>
      </w:pPr>
      <w:r>
        <w:rPr>
          <w:b/>
          <w:sz w:val="23"/>
        </w:rPr>
        <w:tab/>
        <w:tab/>
      </w:r>
    </w:p>
    <w:p>
      <w:pPr>
        <w:pStyle w:val="Normal"/>
        <w:widowControl/>
        <w:tabs>
          <w:tab w:val="left" w:pos="0" w:leader="none"/>
          <w:tab w:val="left" w:pos="720" w:leader="none"/>
          <w:tab w:val="left" w:pos="8064" w:leader="none"/>
        </w:tabs>
        <w:jc w:val="both"/>
        <w:rPr>
          <w:b/>
          <w:sz w:val="23"/>
        </w:rPr>
      </w:pPr>
      <w:r>
        <w:rPr>
          <w:b/>
          <w:sz w:val="23"/>
        </w:rPr>
      </w:r>
    </w:p>
    <w:p>
      <w:pPr>
        <w:pStyle w:val="Normal"/>
        <w:widowControl/>
        <w:tabs>
          <w:tab w:val="left" w:pos="0" w:leader="none"/>
          <w:tab w:val="left" w:pos="720" w:leader="none"/>
        </w:tabs>
        <w:jc w:val="both"/>
        <w:rPr/>
      </w:pPr>
      <w:r>
        <w:rPr>
          <w:b/>
          <w:sz w:val="23"/>
        </w:rPr>
        <w:t>By:</w:t>
        <w:tab/>
      </w:r>
      <w:r>
        <w:rPr>
          <w:b/>
          <w:sz w:val="23"/>
          <w:u w:val="single"/>
        </w:rPr>
        <w:tab/>
        <w:tab/>
        <w:tab/>
        <w:tab/>
        <w:tab/>
      </w:r>
      <w:r>
        <w:rPr>
          <w:b/>
          <w:sz w:val="23"/>
        </w:rPr>
        <w:tab/>
      </w:r>
    </w:p>
    <w:p>
      <w:pPr>
        <w:pStyle w:val="Normal"/>
        <w:widowControl/>
        <w:tabs>
          <w:tab w:val="left" w:pos="0" w:leader="none"/>
          <w:tab w:val="left" w:pos="720" w:leader="none"/>
        </w:tabs>
        <w:jc w:val="both"/>
        <w:rPr/>
      </w:pPr>
      <w:r>
        <w:rPr>
          <w:b/>
          <w:sz w:val="23"/>
        </w:rPr>
        <w:t>Title:</w:t>
        <w:tab/>
      </w:r>
      <w:r>
        <w:rPr>
          <w:b/>
          <w:sz w:val="23"/>
          <w:u w:val="single"/>
        </w:rPr>
        <w:tab/>
        <w:tab/>
        <w:tab/>
        <w:tab/>
        <w:tab/>
      </w:r>
    </w:p>
    <w:p>
      <w:pPr>
        <w:pStyle w:val="Normal"/>
        <w:widowControl/>
        <w:tabs>
          <w:tab w:val="clear" w:pos="720"/>
          <w:tab w:val="left" w:pos="0" w:leader="none"/>
        </w:tabs>
        <w:jc w:val="both"/>
        <w:rPr/>
      </w:pPr>
      <w:r>
        <w:rPr>
          <w:b/>
          <w:sz w:val="23"/>
        </w:rPr>
        <w:t>Date:</w:t>
        <w:tab/>
      </w:r>
      <w:r>
        <w:rPr>
          <w:b/>
          <w:sz w:val="23"/>
          <w:u w:val="single"/>
        </w:rPr>
        <w:tab/>
        <w:tab/>
        <w:tab/>
        <w:tab/>
        <w:tab/>
      </w:r>
    </w:p>
    <w:p>
      <w:pPr>
        <w:pStyle w:val="Normal"/>
        <w:widowControl/>
        <w:tabs>
          <w:tab w:val="clear" w:pos="720"/>
          <w:tab w:val="left" w:pos="0" w:leader="none"/>
        </w:tabs>
        <w:jc w:val="both"/>
        <w:rPr>
          <w:b/>
          <w:sz w:val="23"/>
          <w:u w:val="single"/>
        </w:rPr>
      </w:pPr>
      <w:r>
        <w:rPr>
          <w:b/>
          <w:sz w:val="23"/>
          <w:u w:val="single"/>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r>
    </w:p>
    <w:p>
      <w:pPr>
        <w:pStyle w:val="Normal"/>
        <w:widowControl/>
        <w:tabs>
          <w:tab w:val="clear" w:pos="720"/>
          <w:tab w:val="left" w:pos="0" w:leader="none"/>
        </w:tabs>
        <w:jc w:val="both"/>
        <w:rPr>
          <w:bCs/>
          <w:sz w:val="16"/>
        </w:rPr>
      </w:pPr>
      <w:r>
        <w:rPr>
          <w:bCs/>
          <w:sz w:val="16"/>
        </w:rPr>
        <w:t>3570mhc.doc</w:t>
      </w:r>
    </w:p>
    <w:sectPr>
      <w:headerReference w:type="default" r:id="rId2"/>
      <w:headerReference w:type="first" r:id="rId3"/>
      <w:footerReference w:type="default" r:id="rId4"/>
      <w:footerReference w:type="first" r:id="rId5"/>
      <w:type w:val="nextPage"/>
      <w:pgSz w:w="12240" w:h="15840"/>
      <w:pgMar w:left="1296" w:right="1296" w:gutter="0" w:header="576" w:top="1152" w:footer="288" w:bottom="4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center" w:pos="4320" w:leader="none"/>
        <w:tab w:val="right" w:pos="9630" w:leader="none"/>
      </w:tabs>
      <w:rPr/>
    </w:pPr>
    <w:r>
      <w:rPr>
        <w:sz w:val="20"/>
      </w:rPr>
      <w:t>&lt;&lt;Employee Name&gt;&gt;</w:t>
      <w:tab/>
      <w:tab/>
    </w:r>
    <w:r>
      <w:rPr>
        <w:b/>
      </w:rPr>
      <w:t>Working Draft 7/20/00</w:t>
    </w:r>
  </w:p>
  <w:p>
    <w:pPr>
      <w:pStyle w:val="Header"/>
      <w:widowControl/>
      <w:rPr>
        <w:sz w:val="20"/>
      </w:rPr>
    </w:pPr>
    <w:r>
      <w:rPr>
        <w:sz w:val="20"/>
      </w:rPr>
      <w:t>&lt;&lt;Date&gt;&gt;</w:t>
    </w:r>
  </w:p>
  <w:p>
    <w:pPr>
      <w:pStyle w:val="Header"/>
      <w:widowControl/>
      <w:rPr>
        <w:rStyle w:val="PageNumber"/>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widowControl/>
      <w:rPr>
        <w:rStyle w:val="PageNumber"/>
        <w:sz w:val="2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540" w:leader="none"/>
      </w:tabs>
      <w:rPr/>
    </w:pPr>
    <w:r>
      <w:rPr/>
      <w:tab/>
      <w:tab/>
    </w:r>
    <w:r>
      <w:rPr>
        <w:b/>
        <w:bCs/>
      </w:rPr>
      <w:t>Working Draft 7/20/00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upp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360" w:leader="none"/>
      </w:tabs>
      <w:jc w:val="both"/>
      <w:outlineLvl w:val="0"/>
    </w:pPr>
    <w:rPr>
      <w:b/>
      <w:sz w:val="23"/>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2">
    <w:name w:val="Body Text 2"/>
    <w:basedOn w:val="Normal"/>
    <w:qFormat/>
    <w:pPr>
      <w:tabs>
        <w:tab w:val="clear" w:pos="720"/>
        <w:tab w:val="left" w:pos="0" w:leader="none"/>
      </w:tabs>
      <w:ind w:hanging="0" w:start="720" w:end="0"/>
      <w:jc w:val="both"/>
    </w:pPr>
    <w:rPr>
      <w:sz w:val="20"/>
    </w:rPr>
  </w:style>
  <w:style w:type="paragraph" w:styleId="NormalIndent">
    <w:name w:val="Normal Indent"/>
    <w:basedOn w:val="Normal"/>
    <w:qFormat/>
    <w:pPr>
      <w:ind w:hanging="0" w:start="720" w:end="0"/>
    </w:pPr>
    <w:rPr/>
  </w:style>
  <w:style w:type="paragraph" w:styleId="WW-BodyText2">
    <w:name w:val="WW-Body Text 2"/>
    <w:basedOn w:val="Normal"/>
    <w:qFormat/>
    <w:pPr>
      <w:ind w:hanging="720" w:start="720" w:end="0"/>
      <w:jc w:val="both"/>
    </w:pPr>
    <w:rPr/>
  </w:style>
  <w:style w:type="paragraph" w:styleId="BodyTextIndent2">
    <w:name w:val="Body Text Indent 2"/>
    <w:basedOn w:val="Normal"/>
    <w:qFormat/>
    <w:pPr>
      <w:ind w:hanging="0" w:start="1440" w:end="0"/>
      <w:jc w:val="both"/>
    </w:pPr>
    <w:rPr/>
  </w:style>
  <w:style w:type="paragraph" w:styleId="BodyTextIndent3">
    <w:name w:val="Body Text Indent 3"/>
    <w:basedOn w:val="Normal"/>
    <w:qFormat/>
    <w:pPr>
      <w:ind w:hanging="1440" w:start="144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720" w:leader="none"/>
      </w:tabs>
      <w:suppressAutoHyphens w:val="true"/>
      <w:ind w:hanging="0" w:start="1440" w:end="0"/>
      <w:jc w:val="both"/>
    </w:pPr>
    <w:rPr>
      <w:spacing w:val="-2"/>
      <w:sz w:val="2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2000-07-12T20:34:00Z</dcterms:created>
  <dc:creator>appinst</dc:creator>
  <dc:description/>
  <dc:language>en-CA</dc:language>
  <cp:lastModifiedBy>tsweet</cp:lastModifiedBy>
  <cp:lastPrinted>2000-07-20T12:01:00Z</cp:lastPrinted>
  <dcterms:modified xsi:type="dcterms:W3CDTF">2000-07-20T16:23:00Z</dcterms:modified>
  <cp:revision>10</cp:revision>
  <dc:subject/>
  <dc:title>Enron Expat Services, Inc. (the “COMPANY”) is in the business of furnishing personnel employed by CMPANY to work on projects and assignments of its client companies in any geographical location where such client companies conduct business.  You have indic</dc:title>
</cp:coreProperties>
</file>