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b/>
          <w:bCs/>
        </w:rPr>
      </w:pPr>
      <w:r>
        <w:rPr>
          <w:b/>
          <w:bCs/>
        </w:rPr>
      </w:r>
    </w:p>
    <w:p>
      <w:pPr>
        <w:pStyle w:val="VEBodyText"/>
        <w:spacing w:before="0" w:after="0"/>
        <w:jc w:val="center"/>
        <w:rPr>
          <w:b/>
          <w:bCs/>
        </w:rPr>
      </w:pPr>
      <w:r>
        <w:rPr>
          <w:b/>
          <w:bCs/>
        </w:rPr>
        <w:t>THIS DOCUMENT IS FOR ILLUSTRATIVE PURPOSES ONLY.</w:t>
      </w:r>
    </w:p>
    <w:p>
      <w:pPr>
        <w:pStyle w:val="VEBodyText"/>
        <w:spacing w:before="0" w:after="0"/>
        <w:jc w:val="center"/>
        <w:rPr>
          <w:b/>
          <w:bCs/>
        </w:rPr>
      </w:pPr>
      <w:r>
        <w:rPr>
          <w:b/>
          <w:bCs/>
        </w:rPr>
        <w:t>COUNSEL SHOULD BE CONSULTED PRIOR TO ITS USE.</w:t>
      </w:r>
    </w:p>
    <w:p>
      <w:pPr>
        <w:pStyle w:val="VEBodyText"/>
        <w:spacing w:before="0" w:after="0"/>
        <w:jc w:val="center"/>
        <w:rPr>
          <w:b/>
          <w:bCs/>
        </w:rPr>
      </w:pPr>
      <w:r>
        <w:rPr>
          <w:b/>
          <w:bCs/>
        </w:rPr>
      </w:r>
    </w:p>
    <w:p>
      <w:pPr>
        <w:pStyle w:val="VEBodyText"/>
        <w:spacing w:before="0" w:after="0"/>
        <w:jc w:val="center"/>
        <w:rPr>
          <w:b/>
          <w:bCs/>
        </w:rPr>
      </w:pPr>
      <w:r>
        <w:rPr>
          <w:b/>
          <w:bCs/>
        </w:rPr>
      </w:r>
    </w:p>
    <w:p>
      <w:pPr>
        <w:pStyle w:val="VEBodyText"/>
        <w:rPr>
          <w:b/>
          <w:bCs/>
          <w:i/>
          <w:i/>
          <w:iCs/>
        </w:rPr>
      </w:pPr>
      <w:r>
        <w:rPr>
          <w:b/>
          <w:bCs/>
          <w:i/>
          <w:iCs/>
        </w:rPr>
        <w:t>Illustration of Rule 10b5-1 sales plan:</w:t>
      </w:r>
    </w:p>
    <w:p>
      <w:pPr>
        <w:pStyle w:val="VEBodyText"/>
        <w:jc w:val="center"/>
        <w:rPr>
          <w:b/>
          <w:bCs/>
          <w:i/>
          <w:i/>
          <w:iCs/>
        </w:rPr>
      </w:pPr>
      <w:r>
        <w:rPr>
          <w:b/>
          <w:bCs/>
        </w:rPr>
        <w:t>Sales Plan</w:t>
      </w:r>
    </w:p>
    <w:p>
      <w:pPr>
        <w:pStyle w:val="VEBodyText"/>
        <w:rPr/>
      </w:pPr>
      <w:r>
        <w:rPr>
          <w:b/>
          <w:bCs/>
        </w:rPr>
        <w:tab/>
      </w:r>
      <w:r>
        <w:rPr/>
        <w:t>This Sales Plan is adopted by the undersigned officer as a plan of disposition of shares of Common Stock of Enron Corp. (“Common Stock”) in compliance with Rule 10b5-1 under the Securities Exchange Act of 1934.</w:t>
      </w:r>
    </w:p>
    <w:p>
      <w:pPr>
        <w:pStyle w:val="VEBodyText"/>
        <w:rPr/>
      </w:pPr>
      <w:r>
        <w:rPr/>
        <w:tab/>
        <w:t>The undersigned broker (the “Broker”) is hereby instructed to effect sales of Enron Corp. Common Stock on behalf of the undersigned officer as follows:</w:t>
      </w:r>
    </w:p>
    <w:p>
      <w:pPr>
        <w:pStyle w:val="VEBodyText"/>
        <w:rPr/>
      </w:pPr>
      <w:r>
        <w:rPr/>
        <w:tab/>
        <w:t xml:space="preserve">1.  </w:t>
        <w:tab/>
      </w:r>
      <w:r>
        <w:rPr>
          <w:u w:val="single"/>
        </w:rPr>
        <w:t>Amounts and Timing</w:t>
      </w:r>
      <w:r>
        <w:rPr/>
        <w:t>. The Broker shall effect the sale of [5,000] shares of  Common Stock during each of the eight calendars quarters beginning with the fourth quarter of 2000 and ending with the third quarter of 2002.  Sales for any quarter shall be effected on or as soon as practicable following the first day of the second month of such quarter.</w:t>
      </w:r>
    </w:p>
    <w:p>
      <w:pPr>
        <w:pStyle w:val="VEBodyText"/>
        <w:rPr>
          <w:u w:val="single"/>
        </w:rPr>
      </w:pPr>
      <w:r>
        <w:rPr/>
        <w:tab/>
        <w:t>2.</w:t>
        <w:tab/>
      </w:r>
      <w:r>
        <w:rPr>
          <w:u w:val="single"/>
        </w:rPr>
        <w:t>Manner of Sale</w:t>
      </w:r>
      <w:r>
        <w:rPr/>
        <w:t>.  Sales shall be made on the New York Stock Exchange on such days as the Common Stock trades regular way and at then prevailing market prices.  [If an “affiliate”, or Section 16 Officer:  Broker agrees to conduct all sales in accordance with the manner of sale provisions of Rule 144 under the Securities Act of 1933.  The undersigned officer agrees not to take any action that would cause sales by Broker pursuant to this Sales Plan not to comply with Rule 144.]</w:t>
      </w:r>
    </w:p>
    <w:p>
      <w:pPr>
        <w:pStyle w:val="VEBodyText"/>
        <w:rPr/>
      </w:pPr>
      <w:r>
        <w:rPr/>
        <w:tab/>
        <w:t>3.</w:t>
        <w:tab/>
      </w:r>
      <w:r>
        <w:rPr>
          <w:u w:val="single"/>
        </w:rPr>
        <w:t>Inability to Sell</w:t>
      </w:r>
      <w:r>
        <w:rPr/>
        <w:t>.  If Broker is unable to effect a sale as a result of a market disruption or any other event, Broker shall effect such sale as promptly as practicable after the cessation of such market disruption or other event.</w:t>
      </w:r>
    </w:p>
    <w:p>
      <w:pPr>
        <w:pStyle w:val="VEBodyText"/>
        <w:rPr/>
      </w:pPr>
      <w:r>
        <w:rPr/>
        <w:tab/>
        <w:t>4.</w:t>
        <w:tab/>
      </w:r>
      <w:r>
        <w:rPr>
          <w:u w:val="single"/>
        </w:rPr>
        <w:t>Required Filings</w:t>
      </w:r>
      <w:r>
        <w:rPr/>
        <w:t>.  [For Section 16 Officers:  The undersigned officer agrees to be responsible for all required Form 144 filings and all filings under Sections 13(d) and 16 of the Securities Exchange Act of 1934.]</w:t>
      </w:r>
    </w:p>
    <w:p>
      <w:pPr>
        <w:pStyle w:val="VEBodyText"/>
        <w:rPr/>
      </w:pPr>
      <w:r>
        <w:rPr/>
        <w:tab/>
        <w:t>EXECUTED this __ day of October, 2000.</w:t>
      </w:r>
    </w:p>
    <w:p>
      <w:pPr>
        <w:pStyle w:val="VEBodyText"/>
        <w:rPr/>
      </w:pPr>
      <w:r>
        <w:rPr/>
        <w:tab/>
        <w:tab/>
        <w:tab/>
        <w:tab/>
        <w:tab/>
        <w:tab/>
        <w:tab/>
        <w:t>EXECUTIVE OFFICER</w:t>
      </w:r>
    </w:p>
    <w:p>
      <w:pPr>
        <w:pStyle w:val="VEBodyText"/>
        <w:rPr/>
      </w:pPr>
      <w:r>
        <w:rPr/>
        <w:tab/>
        <w:tab/>
        <w:tab/>
        <w:tab/>
        <w:tab/>
        <w:tab/>
        <w:tab/>
        <w:t>________________________________</w:t>
      </w:r>
    </w:p>
    <w:p>
      <w:pPr>
        <w:pStyle w:val="VEBodyText"/>
        <w:rPr/>
      </w:pPr>
      <w:r>
        <w:rPr/>
        <w:tab/>
        <w:tab/>
        <w:tab/>
        <w:tab/>
        <w:tab/>
        <w:tab/>
        <w:tab/>
        <w:t>BROKER</w:t>
      </w:r>
    </w:p>
    <w:p>
      <w:pPr>
        <w:pStyle w:val="VEBodyText"/>
        <w:rPr/>
      </w:pPr>
      <w:r>
        <w:rPr/>
        <w:tab/>
        <w:tab/>
        <w:tab/>
        <w:tab/>
        <w:tab/>
        <w:tab/>
        <w:tab/>
        <w:t>________________________________</w:t>
      </w:r>
    </w:p>
    <w:p>
      <w:pPr>
        <w:pStyle w:val="VEBodyText"/>
        <w:rPr/>
      </w:pPr>
      <w:r>
        <w:rPr/>
        <w:t>Acknowledged by Enron Corp. this __ day of October, 2000</w:t>
      </w:r>
    </w:p>
    <w:p>
      <w:pPr>
        <w:pStyle w:val="VEBodyText"/>
        <w:rPr/>
      </w:pPr>
      <w:r>
        <w:rPr/>
        <w:t>ENRON CORP.</w:t>
      </w:r>
    </w:p>
    <w:p>
      <w:pPr>
        <w:pStyle w:val="VEBodyText"/>
        <w:rPr/>
      </w:pPr>
      <w:r>
        <w:rPr/>
        <w:t>By ___________________________</w:t>
      </w:r>
    </w:p>
    <w:p>
      <w:pPr>
        <w:pStyle w:val="VEBodyText"/>
        <w:spacing w:before="0" w:after="240"/>
        <w:rPr>
          <w:sz w:val="16"/>
        </w:rPr>
      </w:pPr>
      <w:r>
        <w:rPr>
          <w:sz w:val="16"/>
        </w:rPr>
        <w:t>3513rrr.doc</w:t>
      </w:r>
    </w:p>
    <w:sectPr>
      <w:type w:val="nextPage"/>
      <w:pgSz w:w="12240" w:h="15840"/>
      <w:pgMar w:left="1440" w:right="1440" w:gutter="0" w:header="0" w:top="864"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2000-10-09T11:22:00Z</dcterms:created>
  <dc:creator>Vinson &amp; Elkins L.L.P.</dc:creator>
  <dc:description/>
  <dc:language>en-CA</dc:language>
  <cp:lastModifiedBy>smorgan</cp:lastModifiedBy>
  <cp:lastPrinted>2000-10-09T10:40:00Z</cp:lastPrinted>
  <dcterms:modified xsi:type="dcterms:W3CDTF">2000-10-09T13:29:00Z</dcterms:modified>
  <cp:revision>3</cp:revision>
  <dc:subject/>
  <dc:title>Illustration of Rule 10b5-1 sales plan:</dc:title>
</cp:coreProperties>
</file>