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Times New Roman" w:hAnsi="Times New Roman" w:cs="Times New Roman"/>
          <w:spacing w:val="-2"/>
          <w:sz w:val="28"/>
        </w:rPr>
      </w:pPr>
      <w:r>
        <w:rPr>
          <w:rFonts w:cs="Times New Roman" w:ascii="Times New Roman" w:hAnsi="Times New Roman"/>
          <w:b/>
          <w:spacing w:val="-3"/>
          <w:sz w:val="28"/>
        </w:rPr>
        <w:tab/>
        <w:t>Confidentiality and No-Solicitation Agreement</w:t>
      </w:r>
    </w:p>
    <w:p>
      <w:pPr>
        <w:pStyle w:val="Normal"/>
        <w:tabs>
          <w:tab w:val="clear" w:pos="720"/>
          <w:tab w:val="left" w:pos="-720" w:leader="none"/>
        </w:tabs>
        <w:suppressAutoHyphens w:val="true"/>
        <w:jc w:val="both"/>
        <w:rPr>
          <w:rFonts w:ascii="Times New Roman" w:hAnsi="Times New Roman" w:cs="Times New Roman"/>
          <w:spacing w:val="-2"/>
          <w:sz w:val="28"/>
        </w:rPr>
      </w:pPr>
      <w:r>
        <w:rPr>
          <w:rFonts w:cs="Times New Roman" w:ascii="Times New Roman" w:hAnsi="Times New Roman"/>
          <w:spacing w:val="-2"/>
          <w:sz w:val="28"/>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This Confidentiality and No-Solicitation Agreement (“Agreement”), is entered into by ____________________________ (print name) (“Consultant”) for the benefit of </w:t>
      </w:r>
      <w:r>
        <w:rPr>
          <w:rFonts w:cs="Times New Roman" w:ascii="Times New Roman" w:hAnsi="Times New Roman"/>
          <w:b/>
          <w:spacing w:val="-2"/>
        </w:rPr>
        <w:t>Enron Midstream Services, L.L.C.</w:t>
      </w:r>
      <w:r>
        <w:rPr>
          <w:rFonts w:cs="Times New Roman" w:ascii="Times New Roman" w:hAnsi="Times New Roman"/>
          <w:spacing w:val="-2"/>
        </w:rPr>
        <w:t>,</w:t>
      </w:r>
      <w:r>
        <w:rPr>
          <w:rFonts w:cs="Times New Roman" w:ascii="Times New Roman" w:hAnsi="Times New Roman"/>
          <w:b/>
          <w:spacing w:val="-2"/>
        </w:rPr>
        <w:t xml:space="preserve"> </w:t>
      </w:r>
      <w:r>
        <w:rPr>
          <w:rFonts w:cs="Times New Roman" w:ascii="Times New Roman" w:hAnsi="Times New Roman"/>
          <w:spacing w:val="-2"/>
        </w:rPr>
        <w:t>and its affiliates and subsidiaries (“Enron”), to be effective as of the date of signature.  Consultant agrees as follows:</w:t>
      </w:r>
    </w:p>
    <w:p>
      <w:pPr>
        <w:pStyle w:val="Normal"/>
        <w:jc w:val="both"/>
        <w:rPr>
          <w:rFonts w:ascii="Times New Roman" w:hAnsi="Times New Roman" w:cs="Times New Roman"/>
          <w:b/>
          <w:spacing w:val="-2"/>
        </w:rPr>
      </w:pPr>
      <w:r>
        <w:rPr>
          <w:rFonts w:cs="Times New Roman" w:ascii="Times New Roman" w:hAnsi="Times New Roman"/>
          <w:b/>
          <w:spacing w:val="-2"/>
        </w:rPr>
      </w:r>
    </w:p>
    <w:p>
      <w:pPr>
        <w:pStyle w:val="Heading1"/>
        <w:ind w:hanging="0" w:start="0"/>
        <w:jc w:val="both"/>
        <w:rPr>
          <w:rFonts w:ascii="Times New Roman" w:hAnsi="Times New Roman" w:cs="Times New Roman"/>
          <w:sz w:val="23"/>
        </w:rPr>
      </w:pPr>
      <w:r>
        <w:rPr>
          <w:rFonts w:cs="Times New Roman" w:ascii="Times New Roman" w:hAnsi="Times New Roman"/>
          <w:b/>
          <w:sz w:val="23"/>
        </w:rPr>
        <w:t>Article 1:  Confidentiality and Non-Solicitation</w:t>
      </w:r>
    </w:p>
    <w:p>
      <w:pPr>
        <w:pStyle w:val="Normal"/>
        <w:jc w:val="both"/>
        <w:rPr>
          <w:rFonts w:ascii="Times New Roman" w:hAnsi="Times New Roman" w:cs="Times New Roman"/>
          <w:b/>
          <w:spacing w:val="-2"/>
          <w:sz w:val="23"/>
        </w:rPr>
      </w:pPr>
      <w:r>
        <w:rPr>
          <w:rFonts w:cs="Times New Roman" w:ascii="Times New Roman" w:hAnsi="Times New Roman"/>
          <w:b/>
          <w:spacing w:val="-2"/>
          <w:sz w:val="23"/>
        </w:rPr>
      </w:r>
    </w:p>
    <w:p>
      <w:pPr>
        <w:pStyle w:val="Normal"/>
        <w:jc w:val="both"/>
        <w:rPr/>
      </w:pPr>
      <w:r>
        <w:rPr>
          <w:rFonts w:cs="Times New Roman" w:ascii="Times New Roman" w:hAnsi="Times New Roman"/>
          <w:spacing w:val="-2"/>
        </w:rPr>
        <w:tab/>
        <w:t>1.1</w:t>
      </w:r>
      <w:r>
        <w:rPr>
          <w:rFonts w:cs="Times New Roman" w:ascii="Times New Roman" w:hAnsi="Times New Roman"/>
        </w:rPr>
        <w:tab/>
      </w:r>
      <w:r>
        <w:rPr>
          <w:rFonts w:cs="Times New Roman" w:ascii="Times New Roman" w:hAnsi="Times New Roman"/>
          <w:u w:val="single"/>
        </w:rPr>
        <w:t>Enron Property</w:t>
      </w:r>
      <w:r>
        <w:rPr>
          <w:rFonts w:cs="Times New Roman" w:ascii="Times New Roman" w:hAnsi="Times New Roman"/>
        </w:rPr>
        <w:t xml:space="preserve">.  All written materials, records, data, and other documents prepared or possessed by </w:t>
      </w:r>
      <w:r>
        <w:rPr>
          <w:rFonts w:cs="Times New Roman" w:ascii="Times New Roman" w:hAnsi="Times New Roman"/>
          <w:lang w:val="en-CA" w:eastAsia="en-CA"/>
        </w:rPr>
        <w:t>Consultant</w:t>
      </w:r>
      <w:r>
        <w:rPr>
          <w:rFonts w:cs="Times New Roman" w:ascii="Times New Roman" w:hAnsi="Times New Roman"/>
        </w:rPr>
        <w:t xml:space="preserve"> before or during </w:t>
      </w:r>
      <w:r>
        <w:rPr>
          <w:rFonts w:cs="Times New Roman" w:ascii="Times New Roman" w:hAnsi="Times New Roman"/>
          <w:lang w:val="en-CA" w:eastAsia="en-CA"/>
        </w:rPr>
        <w:t>Consultant</w:t>
      </w:r>
      <w:r>
        <w:rPr>
          <w:rFonts w:cs="Times New Roman" w:ascii="Times New Roman" w:hAnsi="Times New Roman"/>
        </w:rPr>
        <w:t xml:space="preserve">’s employment by or relationship with Enron are Enron property.  All information, ideas, concepts, improvements, discoveries, and inventions that are conceived, made, developed, or acquired by </w:t>
      </w:r>
      <w:r>
        <w:rPr>
          <w:rFonts w:cs="Times New Roman" w:ascii="Times New Roman" w:hAnsi="Times New Roman"/>
          <w:lang w:val="en-CA" w:eastAsia="en-CA"/>
        </w:rPr>
        <w:t>Consultant</w:t>
      </w:r>
      <w:r>
        <w:rPr>
          <w:rFonts w:cs="Times New Roman" w:ascii="Times New Roman" w:hAnsi="Times New Roman"/>
        </w:rPr>
        <w:t xml:space="preserve"> individually or in conjunction with others during </w:t>
      </w:r>
      <w:r>
        <w:rPr>
          <w:rFonts w:cs="Times New Roman" w:ascii="Times New Roman" w:hAnsi="Times New Roman"/>
          <w:lang w:val="en-CA" w:eastAsia="en-CA"/>
        </w:rPr>
        <w:t>Consultant</w:t>
      </w:r>
      <w:r>
        <w:rPr>
          <w:rFonts w:cs="Times New Roman" w:ascii="Times New Roman" w:hAnsi="Times New Roman"/>
        </w:rPr>
        <w:t xml:space="preserve">’s employment or relationship with Enron (whether during business hours and whether on Enron’s premises or otherwise) which relate to Enron’s business, products, or services are Enron’s sole and exclusive property. All memoranda, notes, records, files, correspondence, drawings, manuals, models, specifications, computer programs, maps, and all other documents, data, or materials of any type embodying such information, ideas, concepts, improvements, discoveries, and inventions are Enron’s property.  At the termination of </w:t>
      </w:r>
      <w:r>
        <w:rPr>
          <w:rFonts w:cs="Times New Roman" w:ascii="Times New Roman" w:hAnsi="Times New Roman"/>
          <w:lang w:val="en-CA" w:eastAsia="en-CA"/>
        </w:rPr>
        <w:t>Consultant</w:t>
      </w:r>
      <w:r>
        <w:rPr>
          <w:rFonts w:cs="Times New Roman" w:ascii="Times New Roman" w:hAnsi="Times New Roman"/>
        </w:rPr>
        <w:t xml:space="preserve">’s employment or relationship with Enron for any reason, </w:t>
      </w:r>
      <w:r>
        <w:rPr>
          <w:rFonts w:cs="Times New Roman" w:ascii="Times New Roman" w:hAnsi="Times New Roman"/>
          <w:lang w:val="en-CA" w:eastAsia="en-CA"/>
        </w:rPr>
        <w:t>Consultant</w:t>
      </w:r>
      <w:r>
        <w:rPr>
          <w:rFonts w:cs="Times New Roman" w:ascii="Times New Roman" w:hAnsi="Times New Roman"/>
        </w:rPr>
        <w:t xml:space="preserve"> shall return all of Enron’s documents, data, or other Enron property to Enron.</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firstLine="720" w:end="0"/>
        <w:jc w:val="both"/>
        <w:rPr/>
      </w:pPr>
      <w:r>
        <w:rPr>
          <w:rFonts w:cs="Times New Roman" w:ascii="Times New Roman" w:hAnsi="Times New Roman"/>
        </w:rPr>
        <w:t>1.2</w:t>
        <w:tab/>
      </w:r>
      <w:r>
        <w:rPr>
          <w:rFonts w:cs="Times New Roman" w:ascii="Times New Roman" w:hAnsi="Times New Roman"/>
          <w:u w:val="single"/>
        </w:rPr>
        <w:t>Confidential Information; Non-Disclosure</w:t>
      </w:r>
      <w:r>
        <w:rPr>
          <w:rFonts w:cs="Times New Roman" w:ascii="Times New Roman" w:hAnsi="Times New Roman"/>
        </w:rPr>
        <w:t xml:space="preserve">.  </w:t>
      </w:r>
      <w:r>
        <w:rPr>
          <w:rFonts w:cs="Times New Roman" w:ascii="Times New Roman" w:hAnsi="Times New Roman"/>
          <w:lang w:val="en-CA" w:eastAsia="en-CA"/>
        </w:rPr>
        <w:t>Consultant</w:t>
      </w:r>
      <w:r>
        <w:rPr>
          <w:rFonts w:cs="Times New Roman" w:ascii="Times New Roman" w:hAnsi="Times New Roman"/>
        </w:rPr>
        <w:t xml:space="preserve"> acknowledges that the business of Enron and their affiliates is highly competitive and that Enron has provided and will provide </w:t>
      </w:r>
      <w:r>
        <w:rPr>
          <w:rFonts w:cs="Times New Roman" w:ascii="Times New Roman" w:hAnsi="Times New Roman"/>
          <w:lang w:val="en-CA" w:eastAsia="en-CA"/>
        </w:rPr>
        <w:t>Consultant</w:t>
      </w:r>
      <w:r>
        <w:rPr>
          <w:rFonts w:cs="Times New Roman" w:ascii="Times New Roman" w:hAnsi="Times New Roman"/>
        </w:rPr>
        <w:t xml:space="preserve"> with access to Confidential Information relating to the business of Enron and its affiliates.  “Confidential Information” means and includes Enron’s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Enron’s internal operations;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Enron’s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Enron;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Consultant acknowledges that this Confidential Information constitutes a valuable, special, and unique asset used by Enron or its affiliates in their businesses to obtain a competitive advantage over their competitors.  </w:t>
      </w:r>
      <w:r>
        <w:rPr>
          <w:rFonts w:cs="Times New Roman" w:ascii="Times New Roman" w:hAnsi="Times New Roman"/>
          <w:lang w:val="en-CA" w:eastAsia="en-CA"/>
        </w:rPr>
        <w:t>Consultant</w:t>
      </w:r>
      <w:r>
        <w:rPr>
          <w:rFonts w:cs="Times New Roman" w:ascii="Times New Roman" w:hAnsi="Times New Roman"/>
        </w:rPr>
        <w:t xml:space="preserve"> further acknowledges that protection of such Confidential Information against unauthorized disclosure and use is of critical importance to Enron and its affiliates in maintaining their competitive position.</w:t>
      </w:r>
    </w:p>
    <w:p>
      <w:pPr>
        <w:pStyle w:val="Normal"/>
        <w:ind w:firstLine="720" w:end="0"/>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lang w:val="en-CA" w:eastAsia="en-CA"/>
        </w:rPr>
        <w:t>Consultant</w:t>
      </w:r>
      <w:r>
        <w:rPr>
          <w:rFonts w:cs="Times New Roman" w:ascii="Times New Roman" w:hAnsi="Times New Roman"/>
        </w:rPr>
        <w:t xml:space="preserve"> also may have access to, or knowledge of, Confidential Information of third parties, such as actual and potential</w:t>
      </w:r>
      <w:r>
        <w:rPr>
          <w:rFonts w:cs="Times New Roman" w:ascii="Times New Roman" w:hAnsi="Times New Roman"/>
          <w:b/>
        </w:rPr>
        <w:t xml:space="preserve"> </w:t>
      </w:r>
      <w:r>
        <w:rPr>
          <w:rFonts w:cs="Times New Roman" w:ascii="Times New Roman" w:hAnsi="Times New Roman"/>
        </w:rPr>
        <w:t>customers, suppliers, partners, joint venturers, investors, financing sources and the like, of Enron and its affiliates.</w:t>
      </w:r>
    </w:p>
    <w:p>
      <w:pPr>
        <w:pStyle w:val="Normal"/>
        <w:ind w:firstLine="720" w:end="0"/>
        <w:jc w:val="both"/>
        <w:rPr>
          <w:rFonts w:ascii="Times New Roman" w:hAnsi="Times New Roman" w:cs="Times New Roman"/>
        </w:rPr>
      </w:pPr>
      <w:r>
        <w:rPr>
          <w:rFonts w:cs="Times New Roman" w:ascii="Times New Roman" w:hAnsi="Times New Roman"/>
        </w:rPr>
      </w:r>
    </w:p>
    <w:p>
      <w:pPr>
        <w:pStyle w:val="BodyText"/>
        <w:rPr/>
      </w:pPr>
      <w:r>
        <w:rPr>
          <w:lang w:val="en-CA" w:eastAsia="en-CA"/>
        </w:rPr>
        <w:t>Consultant</w:t>
      </w:r>
      <w:r>
        <w:rPr/>
        <w:t xml:space="preserve"> agrees that </w:t>
      </w:r>
      <w:r>
        <w:rPr>
          <w:lang w:val="en-CA" w:eastAsia="en-CA"/>
        </w:rPr>
        <w:t>Consultant</w:t>
      </w:r>
      <w:r>
        <w:rPr/>
        <w:t xml:space="preserve"> will not, at any time before, during, or after </w:t>
      </w:r>
      <w:r>
        <w:rPr>
          <w:lang w:val="en-CA" w:eastAsia="en-CA"/>
        </w:rPr>
        <w:t>Consultant</w:t>
      </w:r>
      <w:r>
        <w:rPr/>
        <w:t xml:space="preserve">’s employment or relationship with Enron, make any unauthorized disclosure of any Confidential Information of  Enron or its affiliates, or make any use thereof, except in the carrying out of his or her responsibilities or duties hereunder.  </w:t>
      </w:r>
      <w:r>
        <w:rPr>
          <w:lang w:val="en-CA" w:eastAsia="en-CA"/>
        </w:rPr>
        <w:t>Consultant</w:t>
      </w:r>
      <w:r>
        <w:rPr/>
        <w:t xml:space="preserve"> also agrees to preserve and protect the confidentiality of third party Confidential Information to the same extent, and on the same basis, as Enron’s Confidential Information.  </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Heading1"/>
        <w:ind w:hanging="0" w:start="0"/>
        <w:jc w:val="both"/>
        <w:rPr>
          <w:rFonts w:ascii="Times New Roman" w:hAnsi="Times New Roman" w:cs="Times New Roman"/>
          <w:sz w:val="23"/>
        </w:rPr>
      </w:pPr>
      <w:r>
        <w:rPr>
          <w:rFonts w:cs="Times New Roman" w:ascii="Times New Roman" w:hAnsi="Times New Roman"/>
          <w:b/>
          <w:sz w:val="23"/>
        </w:rPr>
        <w:t>Article 2:  Miscellaneous</w:t>
      </w:r>
    </w:p>
    <w:p>
      <w:pPr>
        <w:pStyle w:val="Normal"/>
        <w:jc w:val="both"/>
        <w:rPr>
          <w:rFonts w:ascii="Times New Roman" w:hAnsi="Times New Roman" w:cs="Times New Roman"/>
          <w:sz w:val="23"/>
        </w:rPr>
      </w:pPr>
      <w:r>
        <w:rPr>
          <w:rFonts w:cs="Times New Roman" w:ascii="Times New Roman" w:hAnsi="Times New Roman"/>
          <w:sz w:val="23"/>
        </w:rPr>
      </w:r>
    </w:p>
    <w:p>
      <w:pPr>
        <w:pStyle w:val="Normal"/>
        <w:ind w:firstLine="720" w:end="0"/>
        <w:jc w:val="both"/>
        <w:rPr/>
      </w:pPr>
      <w:r>
        <w:rPr>
          <w:rFonts w:cs="Times New Roman" w:ascii="Times New Roman" w:hAnsi="Times New Roman"/>
        </w:rPr>
        <w:t>2.1</w:t>
        <w:tab/>
      </w:r>
      <w:r>
        <w:rPr>
          <w:rFonts w:cs="Times New Roman" w:ascii="Times New Roman" w:hAnsi="Times New Roman"/>
          <w:u w:val="single"/>
        </w:rPr>
        <w:t>Statements About Enron</w:t>
      </w:r>
      <w:r>
        <w:rPr>
          <w:rFonts w:cs="Times New Roman" w:ascii="Times New Roman" w:hAnsi="Times New Roman"/>
        </w:rPr>
        <w:t xml:space="preserve">.  </w:t>
      </w:r>
      <w:r>
        <w:rPr>
          <w:rFonts w:cs="Times New Roman" w:ascii="Times New Roman" w:hAnsi="Times New Roman"/>
          <w:lang w:val="en-CA" w:eastAsia="en-CA"/>
        </w:rPr>
        <w:t>Consultant</w:t>
      </w:r>
      <w:r>
        <w:rPr>
          <w:rFonts w:cs="Times New Roman" w:ascii="Times New Roman" w:hAnsi="Times New Roman"/>
        </w:rPr>
        <w:t xml:space="preserve"> shall refrain, before, during, and after his or her employment or other type of relationship with Enron, from publishing any oral or written statements about  Enron, any of its respective subsidiaries or affiliates, or any of such entities’ officers, employees, agents, or representatives that are disparaging, slanderous, libelous, or defamatory; or that disclose private or confidential information about their business affairs; or that constitute an intrusion into their seclusion or private lives; or that give rise to unreasonable publicity about their private lives; or that place them in a false light before the public; or that constitute a misappropriation of their name or likeness.</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2.2</w:t>
        <w:tab/>
      </w:r>
      <w:r>
        <w:rPr>
          <w:rFonts w:cs="Times New Roman" w:ascii="Times New Roman" w:hAnsi="Times New Roman"/>
          <w:u w:val="single"/>
        </w:rPr>
        <w:t>Notices</w:t>
      </w:r>
      <w:r>
        <w:rPr>
          <w:rFonts w:cs="Times New Roman" w:ascii="Times New Roman" w:hAnsi="Times New Roman"/>
        </w:rPr>
        <w:t>.  Notices and all other communications shall be in writing and shall be deemed to have been duly given when personally delivered or when mailed by United States registered or certified mail.  Notices to Enron shall be sent to:</w:t>
      </w:r>
      <w:r>
        <w:rPr>
          <w:rFonts w:cs="Times New Roman" w:ascii="Times New Roman" w:hAnsi="Times New Roman"/>
          <w:spacing w:val="-2"/>
        </w:rPr>
        <w:t xml:space="preserve"> Enron Midstream Services, L.L.C., 1400 Smith Street, Houston, Texas 77002,  Attention:  Corporate Secretary.  Notices and communications to </w:t>
      </w:r>
      <w:r>
        <w:rPr>
          <w:rFonts w:cs="Times New Roman" w:ascii="Times New Roman" w:hAnsi="Times New Roman"/>
          <w:spacing w:val="-2"/>
          <w:lang w:val="en-CA" w:eastAsia="en-CA"/>
        </w:rPr>
        <w:t>Consultant</w:t>
      </w:r>
      <w:r>
        <w:rPr>
          <w:rFonts w:cs="Times New Roman" w:ascii="Times New Roman" w:hAnsi="Times New Roman"/>
          <w:spacing w:val="-2"/>
        </w:rPr>
        <w:t xml:space="preserve"> shall be sent to the address Consultant most recently provided Enron.</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2.3</w:t>
        <w:tab/>
      </w:r>
      <w:r>
        <w:rPr>
          <w:rFonts w:cs="Times New Roman" w:ascii="Times New Roman" w:hAnsi="Times New Roman"/>
          <w:spacing w:val="-2"/>
          <w:u w:val="single"/>
        </w:rPr>
        <w:t>No Waiver</w:t>
      </w:r>
      <w:r>
        <w:rPr>
          <w:rFonts w:cs="Times New Roman" w:ascii="Times New Roman" w:hAnsi="Times New Roman"/>
          <w:spacing w:val="-2"/>
        </w:rPr>
        <w:t>.  No failure</w:t>
      </w:r>
      <w:r>
        <w:rPr>
          <w:rFonts w:cs="Times New Roman" w:ascii="Times New Roman" w:hAnsi="Times New Roman"/>
        </w:rPr>
        <w:t xml:space="preserve"> by either party at any time to give notice of any breach by the other party of, or to require compliance with, any condition or provision of this Agreement shall be deemed a waiver of any provisions or conditions of this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2.4</w:t>
        <w:tab/>
      </w:r>
      <w:r>
        <w:rPr>
          <w:rFonts w:cs="Times New Roman" w:ascii="Times New Roman" w:hAnsi="Times New Roman"/>
          <w:spacing w:val="-2"/>
          <w:u w:val="single"/>
        </w:rPr>
        <w:t>Venue/Jurisdictions</w:t>
      </w:r>
      <w:r>
        <w:rPr>
          <w:rFonts w:cs="Times New Roman" w:ascii="Times New Roman" w:hAnsi="Times New Roman"/>
          <w:spacing w:val="-2"/>
        </w:rPr>
        <w:t>.  This Agreement</w:t>
      </w:r>
      <w:r>
        <w:rPr>
          <w:rFonts w:cs="Times New Roman" w:ascii="Times New Roman" w:hAnsi="Times New Roman"/>
        </w:rPr>
        <w:t xml:space="preserve"> shall be governed by Texas law. </w:t>
      </w:r>
      <w:r>
        <w:rPr>
          <w:rFonts w:cs="Times New Roman" w:ascii="Times New Roman" w:hAnsi="Times New Roman"/>
          <w:spacing w:val="-2"/>
        </w:rPr>
        <w:t xml:space="preserve"> Any litigation that may be brought by either party involving the enforcement of this Agreement or the rights, duties, or obligations of this Agreement, shall be brought exclusively in the State or federal courts sitting in Houston, Harris County, Texas.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numPr>
          <w:ilvl w:val="1"/>
          <w:numId w:val="2"/>
        </w:numPr>
        <w:tabs>
          <w:tab w:val="clear" w:pos="720"/>
          <w:tab w:val="left" w:pos="-720" w:leader="none"/>
        </w:tabs>
        <w:suppressAutoHyphens w:val="true"/>
        <w:ind w:firstLine="720" w:start="0" w:end="0"/>
        <w:jc w:val="both"/>
        <w:rPr>
          <w:rFonts w:ascii="Times New Roman" w:hAnsi="Times New Roman" w:cs="Times New Roman"/>
        </w:rPr>
      </w:pPr>
      <w:r>
        <w:rPr>
          <w:rFonts w:cs="Times New Roman" w:ascii="Times New Roman" w:hAnsi="Times New Roman"/>
          <w:spacing w:val="-2"/>
          <w:u w:val="single"/>
        </w:rPr>
        <w:t>Assignment</w:t>
      </w:r>
      <w:r>
        <w:rPr>
          <w:rFonts w:cs="Times New Roman" w:ascii="Times New Roman" w:hAnsi="Times New Roman"/>
          <w:spacing w:val="-2"/>
        </w:rPr>
        <w:t>.  This Agreement</w:t>
      </w:r>
      <w:r>
        <w:rPr>
          <w:rFonts w:cs="Times New Roman" w:ascii="Times New Roman" w:hAnsi="Times New Roman"/>
        </w:rPr>
        <w:t xml:space="preserve"> shall be binding upon and inure to the benefit of Enron and any other person, association, or entity that may acquire or succeed to all or substantially all of the business or assets of Enron.  </w:t>
      </w:r>
      <w:r>
        <w:rPr>
          <w:rFonts w:cs="Times New Roman" w:ascii="Times New Roman" w:hAnsi="Times New Roman"/>
          <w:lang w:val="en-CA" w:eastAsia="en-CA"/>
        </w:rPr>
        <w:t>Consultant</w:t>
      </w:r>
      <w:r>
        <w:rPr>
          <w:rFonts w:cs="Times New Roman" w:ascii="Times New Roman" w:hAnsi="Times New Roman"/>
        </w:rPr>
        <w:t>’s rights and obligations under this Agreement are personal, and they shall not be assigned or transferred.</w:t>
      </w:r>
    </w:p>
    <w:p>
      <w:pPr>
        <w:pStyle w:val="Normal"/>
        <w:tabs>
          <w:tab w:val="clear" w:pos="720"/>
          <w:tab w:val="left" w:pos="-720" w:leader="none"/>
        </w:tabs>
        <w:suppressAutoHyphens w:val="true"/>
        <w:jc w:val="both"/>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spacing w:val="-2"/>
        </w:rPr>
        <w:tab/>
        <w:t>2.6</w:t>
        <w:tab/>
      </w:r>
      <w:r>
        <w:rPr>
          <w:rFonts w:cs="Times New Roman" w:ascii="Times New Roman" w:hAnsi="Times New Roman"/>
          <w:spacing w:val="-2"/>
          <w:u w:val="single"/>
        </w:rPr>
        <w:t>Invalidity</w:t>
      </w:r>
      <w:r>
        <w:rPr>
          <w:rFonts w:cs="Times New Roman" w:ascii="Times New Roman" w:hAnsi="Times New Roman"/>
          <w:spacing w:val="-2"/>
        </w:rPr>
        <w:t>.  Should any provision(s) in this Agreement be held by a court of competent jurisdiction to be invalid, void, or unenforceable, the remaining provisions shall be unaffected and shall continue in full force and effect, and the invalid, void or unenforceable provision(s) shall be deemed not to be part of this Agreement.</w:t>
      </w:r>
    </w:p>
    <w:p>
      <w:pPr>
        <w:pStyle w:val="Normal"/>
        <w:tabs>
          <w:tab w:val="clear" w:pos="720"/>
          <w:tab w:val="left" w:pos="-720" w:leader="none"/>
        </w:tabs>
        <w:suppressAutoHyphens w:val="true"/>
        <w:jc w:val="both"/>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IN WITNESS WHEREOF, </w:t>
      </w:r>
      <w:r>
        <w:rPr>
          <w:rFonts w:cs="Times New Roman" w:ascii="Times New Roman" w:hAnsi="Times New Roman"/>
          <w:spacing w:val="-2"/>
          <w:lang w:val="en-CA" w:eastAsia="en-CA"/>
        </w:rPr>
        <w:t>Consultant</w:t>
      </w:r>
      <w:r>
        <w:rPr>
          <w:rFonts w:cs="Times New Roman" w:ascii="Times New Roman" w:hAnsi="Times New Roman"/>
          <w:spacing w:val="-2"/>
        </w:rPr>
        <w:t xml:space="preserve"> has executed this Agreement as follows: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4500" w:leader="none"/>
          <w:tab w:val="left" w:pos="4680" w:leader="none"/>
          <w:tab w:val="left" w:pos="5040" w:leader="none"/>
        </w:tabs>
        <w:suppressAutoHyphens w:val="true"/>
        <w:jc w:val="both"/>
        <w:rPr>
          <w:rFonts w:ascii="Times New Roman" w:hAnsi="Times New Roman" w:cs="Times New Roman"/>
          <w:spacing w:val="-2"/>
        </w:rPr>
      </w:pPr>
      <w:r>
        <w:rPr>
          <w:rFonts w:cs="Times New Roman" w:ascii="Times New Roman" w:hAnsi="Times New Roman"/>
          <w:b/>
          <w:spacing w:val="-2"/>
        </w:rPr>
        <w:tab/>
        <w:t>Consultant</w:t>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rPr>
      </w:pPr>
      <w:r>
        <w:rPr>
          <w:rFonts w:cs="Times New Roman" w:ascii="Times New Roman" w:hAnsi="Times New Roman"/>
          <w:spacing w:val="-2"/>
        </w:rPr>
        <w:tab/>
        <w:tab/>
        <w:t>By:</w:t>
      </w:r>
      <w:r>
        <w:rPr>
          <w:rFonts w:cs="Times New Roman" w:ascii="Times New Roman" w:hAnsi="Times New Roman"/>
          <w:spacing w:val="-2"/>
          <w:u w:val="single"/>
        </w:rPr>
        <w:tab/>
        <w:tab/>
        <w:tab/>
        <w:tab/>
        <w:tab/>
        <w:tab/>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tab/>
        <w:tab/>
        <w:t>This _____ day of ________________, 2000</w:t>
      </w:r>
    </w:p>
    <w:sectPr>
      <w:headerReference w:type="default" r:id="rId2"/>
      <w:footerReference w:type="default" r:id="rId3"/>
      <w:type w:val="nextPage"/>
      <w:pgSz w:w="12240" w:h="15840"/>
      <w:pgMar w:left="1152" w:right="1152" w:gutter="0" w:header="576"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4"/>
      </w:rPr>
      <w:fldChar w:fldCharType="begin"/>
    </w:r>
    <w:r>
      <w:rPr>
        <w:sz w:val="14"/>
        <w:spacing w:val="-2"/>
        <w:rFonts w:cs="Times New Roman" w:ascii="Times New Roman" w:hAnsi="Times New Roman"/>
      </w:rPr>
      <w:instrText xml:space="preserve"> FILENAME \p </w:instrText>
    </w:r>
    <w:r>
      <w:rPr>
        <w:sz w:val="14"/>
        <w:spacing w:val="-2"/>
        <w:rFonts w:cs="Times New Roman" w:ascii="Times New Roman" w:hAnsi="Times New Roman"/>
      </w:rPr>
      <w:fldChar w:fldCharType="separate"/>
    </w:r>
    <w:r>
      <w:rPr>
        <w:sz w:val="14"/>
        <w:spacing w:val="-2"/>
        <w:rFonts w:cs="Times New Roman" w:ascii="Times New Roman" w:hAnsi="Times New Roman"/>
      </w:rPr>
      <w:t>/mnt/main-storage/datasets/enron-docs/doc/3513conf.agmt..doc</w:t>
    </w:r>
    <w:r>
      <w:rPr>
        <w:sz w:val="14"/>
        <w:spacing w:val="-2"/>
        <w:rFonts w:cs="Times New Roman" w:ascii="Times New Roman" w:hAnsi="Times New Roman"/>
      </w:rPr>
      <w:fldChar w:fldCharType="end"/>
    </w:r>
    <w:r>
      <w:rPr>
        <w:rFonts w:cs="Times New Roman" w:ascii="Times New Roman" w:hAnsi="Times New Roman"/>
        <w:spacing w:val="-2"/>
        <w:sz w:val="14"/>
      </w:rPr>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2</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tab/>
      <w:t>Confidentiality Agreement</w:t>
    </w:r>
  </w:p>
  <w:p>
    <w:pPr>
      <w:pStyle w:val="Footer"/>
      <w:rPr>
        <w:rFonts w:ascii="Times New Roman" w:hAnsi="Times New Roman" w:cs="Times New Roman"/>
        <w:spacing w:val="-2"/>
        <w:sz w:val="14"/>
      </w:rPr>
    </w:pPr>
    <w:r>
      <w:rPr>
        <w:rFonts w:cs="Times New Roman" w:ascii="Times New Roman" w:hAnsi="Times New Roman"/>
        <w:spacing w:val="-2"/>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0" w:before="0" w:after="356"/>
      <w:rPr>
        <w:rFonts w:ascii="Times New Roman" w:hAnsi="Times New Roman" w:cs="Times New Roman"/>
        <w:b/>
        <w:sz w:val="10"/>
      </w:rPr>
    </w:pPr>
    <w:r>
      <w:rPr>
        <w:rFonts w:cs="Times New Roman" w:ascii="Times New Roman" w:hAnsi="Times New Roman"/>
        <w:b/>
        <w:sz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lvl w:ilvl="1">
      <w:start w:val="5"/>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3"/>
      <w:szCs w:val="20"/>
      <w:lang w:val="en-US" w:bidi="ar-SA" w:eastAsia="zh-CN"/>
    </w:rPr>
  </w:style>
  <w:style w:type="paragraph" w:styleId="Heading1">
    <w:name w:val="heading 1"/>
    <w:basedOn w:val="Normal"/>
    <w:next w:val="Normal"/>
    <w:qFormat/>
    <w:pPr>
      <w:numPr>
        <w:ilvl w:val="0"/>
        <w:numId w:val="1"/>
      </w:numPr>
      <w:outlineLvl w:val="0"/>
    </w:pPr>
    <w:rPr>
      <w:sz w:val="24"/>
    </w:rPr>
  </w:style>
  <w:style w:type="paragraph" w:styleId="Heading2">
    <w:name w:val="heading 2"/>
    <w:basedOn w:val="Normal"/>
    <w:next w:val="Normal"/>
    <w:qFormat/>
    <w:pPr>
      <w:numPr>
        <w:ilvl w:val="1"/>
        <w:numId w:val="1"/>
      </w:numPr>
      <w:outlineLvl w:val="1"/>
    </w:pPr>
    <w:rPr>
      <w:sz w:val="24"/>
    </w:rPr>
  </w:style>
  <w:style w:type="paragraph" w:styleId="Heading3">
    <w:name w:val="heading 3"/>
    <w:basedOn w:val="Normal"/>
    <w:next w:val="Normal"/>
    <w:qFormat/>
    <w:pPr>
      <w:numPr>
        <w:ilvl w:val="2"/>
        <w:numId w:val="1"/>
      </w:numPr>
      <w:outlineLvl w:val="2"/>
    </w:pPr>
    <w:rPr>
      <w:sz w:val="24"/>
    </w:rPr>
  </w:style>
  <w:style w:type="paragraph" w:styleId="Heading4">
    <w:name w:val="heading 4"/>
    <w:basedOn w:val="Normal"/>
    <w:next w:val="Normal"/>
    <w:qFormat/>
    <w:pPr>
      <w:numPr>
        <w:ilvl w:val="3"/>
        <w:numId w:val="1"/>
      </w:numPr>
      <w:outlineLvl w:val="3"/>
    </w:pPr>
    <w:rPr>
      <w:sz w:val="24"/>
    </w:rPr>
  </w:style>
  <w:style w:type="paragraph" w:styleId="Heading5">
    <w:name w:val="heading 5"/>
    <w:basedOn w:val="Normal"/>
    <w:next w:val="Normal"/>
    <w:qFormat/>
    <w:pPr>
      <w:numPr>
        <w:ilvl w:val="4"/>
        <w:numId w:val="1"/>
      </w:numPr>
      <w:outlineLvl w:val="4"/>
    </w:pPr>
    <w:rPr>
      <w:sz w:val="24"/>
    </w:rPr>
  </w:style>
  <w:style w:type="paragraph" w:styleId="Heading6">
    <w:name w:val="heading 6"/>
    <w:basedOn w:val="Normal"/>
    <w:next w:val="Normal"/>
    <w:qFormat/>
    <w:pPr>
      <w:numPr>
        <w:ilvl w:val="5"/>
        <w:numId w:val="1"/>
      </w:numPr>
      <w:outlineLvl w:val="5"/>
    </w:pPr>
    <w:rPr>
      <w:sz w:val="24"/>
    </w:rPr>
  </w:style>
  <w:style w:type="paragraph" w:styleId="Heading7">
    <w:name w:val="heading 7"/>
    <w:basedOn w:val="Normal"/>
    <w:next w:val="Normal"/>
    <w:qFormat/>
    <w:pPr>
      <w:numPr>
        <w:ilvl w:val="6"/>
        <w:numId w:val="1"/>
      </w:numPr>
      <w:outlineLvl w:val="6"/>
    </w:pPr>
    <w:rPr>
      <w:sz w:val="24"/>
    </w:rPr>
  </w:style>
  <w:style w:type="paragraph" w:styleId="Heading8">
    <w:name w:val="heading 8"/>
    <w:basedOn w:val="Normal"/>
    <w:next w:val="Normal"/>
    <w:qFormat/>
    <w:pPr>
      <w:numPr>
        <w:ilvl w:val="7"/>
        <w:numId w:val="1"/>
      </w:numPr>
      <w:outlineLvl w:val="7"/>
    </w:pPr>
    <w:rPr>
      <w:sz w:val="24"/>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IGHLIGHT1">
    <w:name w:val="HIGHLIGHT 1"/>
    <w:basedOn w:val="DefaultParagraphFont"/>
    <w:qFormat/>
    <w:rPr>
      <w:rFonts w:ascii="CG Times" w:hAnsi="CG Times" w:cs="CG Times"/>
      <w:b/>
      <w:i/>
      <w:sz w:val="23"/>
      <w:lang w:val="en-US"/>
    </w:rPr>
  </w:style>
  <w:style w:type="character" w:styleId="TITLE">
    <w:name w:val="TITLE"/>
    <w:basedOn w:val="DefaultParagraphFont"/>
    <w:qFormat/>
    <w:rPr>
      <w:b/>
      <w:sz w:val="35"/>
    </w:rPr>
  </w:style>
  <w:style w:type="character" w:styleId="BLOCKQUOTE">
    <w:name w:val="BLOCK QUOTE"/>
    <w:basedOn w:val="DefaultParagraphFont"/>
    <w:qFormat/>
    <w:rPr/>
  </w:style>
  <w:style w:type="character" w:styleId="HEADING11">
    <w:name w:val="HEADING 11"/>
    <w:basedOn w:val="DefaultParagraphFont"/>
    <w:qFormat/>
    <w:rPr>
      <w:rFonts w:ascii="CG Times" w:hAnsi="CG Times" w:cs="CG Times"/>
      <w:b/>
      <w:sz w:val="28"/>
      <w:lang w:val="en-US"/>
    </w:rPr>
  </w:style>
  <w:style w:type="character" w:styleId="HEADING21">
    <w:name w:val="HEADING 21"/>
    <w:basedOn w:val="DefaultParagraphFont"/>
    <w:qFormat/>
    <w:rPr>
      <w:sz w:val="28"/>
      <w:u w:val="single"/>
    </w:rPr>
  </w:style>
  <w:style w:type="character" w:styleId="HEADING31">
    <w:name w:val="HEADING 31"/>
    <w:basedOn w:val="DefaultParagraphFont"/>
    <w:qFormat/>
    <w:rPr>
      <w:rFonts w:ascii="CG Times" w:hAnsi="CG Times" w:cs="CG Times"/>
      <w:b/>
      <w:sz w:val="23"/>
      <w:lang w:val="en-US"/>
    </w:rPr>
  </w:style>
  <w:style w:type="character" w:styleId="HIGHLIGHT2">
    <w:name w:val="HIGHLIGHT 2"/>
    <w:basedOn w:val="DefaultParagraphFont"/>
    <w:qFormat/>
    <w:rPr>
      <w:rFonts w:ascii="CG Times" w:hAnsi="CG Times" w:cs="CG Times"/>
      <w:b/>
      <w:sz w:val="28"/>
      <w:lang w:val="en-US"/>
    </w:rPr>
  </w:style>
  <w:style w:type="character" w:styleId="HIGHLIGHT3">
    <w:name w:val="HIGHLIGHT 3"/>
    <w:basedOn w:val="DefaultParagraphFont"/>
    <w:qFormat/>
    <w:rPr>
      <w:sz w:val="28"/>
      <w:u w:val="single"/>
    </w:rPr>
  </w:style>
  <w:style w:type="character" w:styleId="FOOTNOTE">
    <w:name w:val="FOOTNOTE"/>
    <w:basedOn w:val="DefaultParagraphFont"/>
    <w:qFormat/>
    <w:rPr>
      <w:rFonts w:ascii="CG Times" w:hAnsi="CG Times" w:cs="CG Times"/>
      <w:sz w:val="18"/>
      <w:lang w:val="en-US"/>
    </w:rPr>
  </w:style>
  <w:style w:type="character" w:styleId="DRAFTON">
    <w:name w:val="DRAFT ON"/>
    <w:basedOn w:val="DefaultParagraphFont"/>
    <w:qFormat/>
    <w:rPr>
      <w:rFonts w:ascii="CG Times" w:hAnsi="CG Times" w:cs="CG Times"/>
      <w:sz w:val="23"/>
      <w:lang w:val="en-US"/>
    </w:rPr>
  </w:style>
  <w:style w:type="character" w:styleId="DRAFTOFF">
    <w:name w:val="DRAFT OFF"/>
    <w:basedOn w:val="DefaultParagraphFont"/>
    <w:qFormat/>
    <w:rPr/>
  </w:style>
  <w:style w:type="character" w:styleId="HEADER1">
    <w:name w:val="HEADER1"/>
    <w:basedOn w:val="DefaultParagraphFont"/>
    <w:qFormat/>
    <w:rPr>
      <w:rFonts w:ascii="CG Times" w:hAnsi="CG Times" w:cs="CG Times"/>
      <w:sz w:val="23"/>
      <w:lang w:val="en-US"/>
    </w:rPr>
  </w:style>
  <w:style w:type="character" w:styleId="LETTERLAND">
    <w:name w:val="LETTER LAND"/>
    <w:basedOn w:val="DefaultParagraphFont"/>
    <w:qFormat/>
    <w:rPr>
      <w:rFonts w:ascii="CG Times" w:hAnsi="CG Times" w:cs="CG Times"/>
      <w:sz w:val="23"/>
      <w:lang w:val="en-US"/>
    </w:rPr>
  </w:style>
  <w:style w:type="character" w:styleId="LEGALLAND">
    <w:name w:val="LEGAL LAND"/>
    <w:basedOn w:val="DefaultParagraphFont"/>
    <w:qFormat/>
    <w:rPr>
      <w:rFonts w:ascii="CG Times" w:hAnsi="CG Times" w:cs="CG Times"/>
      <w:sz w:val="23"/>
      <w:lang w:val="en-US"/>
    </w:rPr>
  </w:style>
  <w:style w:type="character" w:styleId="LETTERPORT">
    <w:name w:val="LETTER PORT"/>
    <w:basedOn w:val="DefaultParagraphFont"/>
    <w:qFormat/>
    <w:rPr>
      <w:rFonts w:ascii="CG Times" w:hAnsi="CG Times" w:cs="CG Times"/>
      <w:sz w:val="23"/>
      <w:lang w:val="en-US"/>
    </w:rPr>
  </w:style>
  <w:style w:type="character" w:styleId="LEGALPORT">
    <w:name w:val="LEGAL PORT"/>
    <w:basedOn w:val="DefaultParagraphFont"/>
    <w:qFormat/>
    <w:rPr>
      <w:rFonts w:ascii="CG Times" w:hAnsi="CG Times" w:cs="CG Times"/>
      <w:sz w:val="23"/>
      <w:lang w:val="en-US"/>
    </w:rPr>
  </w:style>
  <w:style w:type="character" w:styleId="FOOTER1">
    <w:name w:val="FOOTER1"/>
    <w:basedOn w:val="DefaultParagraphFont"/>
    <w:qFormat/>
    <w:rPr>
      <w:rFonts w:ascii="CG Times" w:hAnsi="CG Times" w:cs="CG Times"/>
      <w:sz w:val="23"/>
      <w:lang w:val="en-US"/>
    </w:rPr>
  </w:style>
  <w:style w:type="character" w:styleId="LETTERHEAD">
    <w:name w:val="LETTERHEAD"/>
    <w:basedOn w:val="DefaultParagraphFont"/>
    <w:qFormat/>
    <w:rPr/>
  </w:style>
  <w:style w:type="character" w:styleId="MEMORANDUM">
    <w:name w:val="MEMORANDUM"/>
    <w:basedOn w:val="DefaultParagraphFont"/>
    <w:qFormat/>
    <w:rPr>
      <w:sz w:val="23"/>
    </w:rPr>
  </w:style>
  <w:style w:type="character" w:styleId="INVOICEHEAD">
    <w:name w:val="INVOICE HEAD"/>
    <w:basedOn w:val="DefaultParagraphFont"/>
    <w:qFormat/>
    <w:rPr>
      <w:rFonts w:ascii="CG Times" w:hAnsi="CG Times" w:cs="CG Times"/>
      <w:sz w:val="23"/>
      <w:lang w:val="en-US"/>
    </w:rPr>
  </w:style>
  <w:style w:type="character" w:styleId="NORMAL1">
    <w:name w:val="NORMAL1"/>
    <w:basedOn w:val="DefaultParagraphFont"/>
    <w:qFormat/>
    <w:rPr>
      <w:rFonts w:ascii="CG Times" w:hAnsi="CG Times" w:cs="CG Times"/>
      <w:sz w:val="23"/>
      <w:lang w:val="en-US"/>
    </w:rPr>
  </w:style>
  <w:style w:type="character" w:styleId="SMALL">
    <w:name w:val="SMALL"/>
    <w:basedOn w:val="DefaultParagraphFont"/>
    <w:qFormat/>
    <w:rPr>
      <w:rFonts w:ascii="CG Times" w:hAnsi="CG Times" w:cs="CG Times"/>
      <w:sz w:val="18"/>
      <w:lang w:val="en-US"/>
    </w:rPr>
  </w:style>
  <w:style w:type="character" w:styleId="FINE">
    <w:name w:val="FINE"/>
    <w:basedOn w:val="DefaultParagraphFont"/>
    <w:qFormat/>
    <w:rPr>
      <w:rFonts w:ascii="CG Times" w:hAnsi="CG Times" w:cs="CG Times"/>
      <w:sz w:val="14"/>
      <w:lang w:val="en-US"/>
    </w:rPr>
  </w:style>
  <w:style w:type="character" w:styleId="LARGE">
    <w:name w:val="LARGE"/>
    <w:basedOn w:val="DefaultParagraphFont"/>
    <w:qFormat/>
    <w:rPr>
      <w:rFonts w:ascii="CG Times" w:hAnsi="CG Times" w:cs="CG Times"/>
      <w:sz w:val="28"/>
      <w:lang w:val="en-US"/>
    </w:rPr>
  </w:style>
  <w:style w:type="character" w:styleId="EXTRALARGE">
    <w:name w:val="EXTRA LARGE"/>
    <w:basedOn w:val="DefaultParagraphFont"/>
    <w:qFormat/>
    <w:rPr>
      <w:rFonts w:ascii="CG Times" w:hAnsi="CG Times" w:cs="CG Times"/>
      <w:sz w:val="46"/>
      <w:lang w:val="en-US"/>
    </w:rPr>
  </w:style>
  <w:style w:type="character" w:styleId="VERYLARGE">
    <w:name w:val="VERY LARGE"/>
    <w:basedOn w:val="DefaultParagraphFont"/>
    <w:qFormat/>
    <w:rPr>
      <w:rFonts w:ascii="CG Times" w:hAnsi="CG Times" w:cs="CG Times"/>
      <w:sz w:val="35"/>
      <w:lang w:val="en-US"/>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G Times" w:hAnsi="CG Times" w:eastAsia="Times New Roman" w:cs="CG Times"/>
      <w:color w:val="auto"/>
      <w:sz w:val="23"/>
      <w:szCs w:val="20"/>
      <w:lang w:val="en-US" w:bidi="ar-SA" w:eastAsia="zh-CN"/>
    </w:rPr>
  </w:style>
  <w:style w:type="paragraph" w:styleId="INVOICEEXP">
    <w:name w:val="INVOICE EXP"/>
    <w:qFormat/>
    <w:pPr>
      <w:widowControl/>
      <w:tabs>
        <w:tab w:val="clear" w:pos="720"/>
        <w:tab w:val="left" w:pos="-5832" w:leader="none"/>
        <w:tab w:val="left" w:pos="-4248" w:leader="none"/>
        <w:tab w:val="decimal" w:pos="5184" w:leader="none"/>
      </w:tabs>
      <w:suppressAutoHyphens w:val="true"/>
      <w:bidi w:val="0"/>
    </w:pPr>
    <w:rPr>
      <w:rFonts w:ascii="CG Times" w:hAnsi="CG Times" w:eastAsia="Times New Roman" w:cs="CG Times"/>
      <w:color w:val="auto"/>
      <w:sz w:val="23"/>
      <w:szCs w:val="20"/>
      <w:lang w:val="en-US" w:bidi="ar-SA" w:eastAsia="zh-CN"/>
    </w:rPr>
  </w:style>
  <w:style w:type="paragraph" w:styleId="INVOICETOT">
    <w:name w:val="INVOICE TOT"/>
    <w:qFormat/>
    <w:pPr>
      <w:widowControl/>
      <w:tabs>
        <w:tab w:val="clear" w:pos="720"/>
        <w:tab w:val="left" w:pos="-5832" w:leader="none"/>
        <w:tab w:val="left" w:pos="-4248" w:leader="none"/>
        <w:tab w:val="decimal" w:pos="5184" w:leader="none"/>
      </w:tabs>
      <w:suppressAutoHyphens w:val="true"/>
      <w:bidi w:val="0"/>
    </w:pPr>
    <w:rPr>
      <w:rFonts w:ascii="CG Times" w:hAnsi="CG Times" w:eastAsia="Times New Roman" w:cs="CG Times"/>
      <w:color w:val="auto"/>
      <w:sz w:val="23"/>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1008"/>
    </w:pPr>
    <w:rPr>
      <w:rFonts w:ascii="CG Times" w:hAnsi="CG Times" w:eastAsia="Times New Roman" w:cs="CG Times"/>
      <w:color w:val="auto"/>
      <w:sz w:val="23"/>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EEATRADT.DOT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2000-08-22T11:43:00Z</dcterms:created>
  <dc:creator>Enron</dc:creator>
  <dc:description/>
  <dc:language>en-CA</dc:language>
  <cp:lastModifiedBy>tsweet</cp:lastModifiedBy>
  <cp:lastPrinted>2000-08-01T14:48:00Z</cp:lastPrinted>
  <dcterms:modified xsi:type="dcterms:W3CDTF">2000-08-22T11:43:00Z</dcterms:modified>
  <cp:revision>3</cp:revision>
  <dc:subject/>
  <dc:title>	EXECUTIVE EMPLOYMENT AGREEMENT</dc:title>
</cp:coreProperties>
</file>