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34-1-141.  Easements.</w:t>
      </w:r>
    </w:p>
    <w:p>
      <w:pPr>
        <w:pStyle w:val="Normal"/>
        <w:rPr/>
      </w:pPr>
      <w:r>
        <w:rPr/>
      </w:r>
    </w:p>
    <w:p>
      <w:pPr>
        <w:pStyle w:val="BodyText"/>
        <w:rPr/>
      </w:pPr>
      <w:r>
        <w:rPr/>
        <w:t>(a)</w:t>
        <w:tab/>
        <w:t xml:space="preserve">Except as provided in subsection (c) of this section, easements across land executed and recorded after the effective date of this act which do not specifically describe the location of the easement are null and void and of no force and effect. </w:t>
      </w:r>
    </w:p>
    <w:p>
      <w:pPr>
        <w:pStyle w:val="BodyText"/>
        <w:rPr/>
      </w:pPr>
      <w:r>
        <w:rPr/>
        <w:t>(b)</w:t>
        <w:tab/>
        <w:t>Except as provided in subsection (c) of this section, agreements entered into after the effective date of this act which grant the right to locate an easement at a later date and which do not specifically describe the location of the easement are null and void.</w:t>
      </w:r>
    </w:p>
    <w:p>
      <w:pPr>
        <w:pStyle w:val="BodyText"/>
        <w:rPr/>
      </w:pPr>
      <w:r>
        <w:rPr/>
        <w:t>(c)</w:t>
        <w:tab/>
        <w:t xml:space="preserve">For purposes of this act [section] an easement or agreement which does not specifically describe the location of the easement or which grants a right to locate an easement at a later date shall be valid for a period of one (1) year from the date of execution of the easement or agreement. If the specific description is not recorded within one (1) year then the easement or agreement shall be of no further force and effect. </w:t>
      </w:r>
    </w:p>
    <w:p>
      <w:pPr>
        <w:pStyle w:val="BodyText"/>
        <w:rPr/>
      </w:pPr>
      <w:r>
        <w:rPr/>
        <w:t>(d)</w:t>
        <w:tab/>
        <w:t>For purposes of this act [section] the specific description required in an easement shall be sufficient to locate the easement and is not limited to a survey.</w:t>
      </w:r>
    </w:p>
    <w:p>
      <w:pPr>
        <w:pStyle w:val="BodyText"/>
        <w:rPr/>
      </w:pPr>
      <w:r>
        <w:rPr/>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lowerLetter"/>
      <w:lvlText w:val="%2"/>
      <w:lvlJc w:val="start"/>
      <w:pPr>
        <w:tabs>
          <w:tab w:val="num" w:pos="0"/>
        </w:tabs>
        <w:ind w:start="0" w:hanging="0"/>
      </w:pPr>
    </w:lvl>
    <w:lvl w:ilvl="2">
      <w:start w:val="1"/>
      <w:pStyle w:val="Heading3"/>
      <w:numFmt w:val="lowerRoman"/>
      <w:lvlText w:val="%3"/>
      <w:lvlJc w:val="start"/>
      <w:pPr>
        <w:tabs>
          <w:tab w:val="num" w:pos="0"/>
        </w:tabs>
        <w:ind w:start="0" w:hanging="0"/>
      </w:pPr>
    </w:lvl>
    <w:lvl w:ilvl="3">
      <w:start w:val="1"/>
      <w:pStyle w:val="Heading4"/>
      <w:numFmt w:val="decimal"/>
      <w:lvlText w:val="%4"/>
      <w:lvlJc w:val="start"/>
      <w:pPr>
        <w:tabs>
          <w:tab w:val="num" w:pos="0"/>
        </w:tabs>
        <w:ind w:start="0" w:hanging="0"/>
      </w:pPr>
    </w:lvl>
    <w:lvl w:ilvl="4">
      <w:start w:val="1"/>
      <w:pStyle w:val="Heading5"/>
      <w:numFmt w:val="lowerLetter"/>
      <w:lvlText w:val="%5"/>
      <w:lvlJc w:val="start"/>
      <w:pPr>
        <w:tabs>
          <w:tab w:val="num" w:pos="0"/>
        </w:tabs>
        <w:ind w:start="0" w:hanging="0"/>
      </w:pPr>
    </w:lvl>
    <w:lvl w:ilvl="5">
      <w:start w:val="1"/>
      <w:pStyle w:val="Heading6"/>
      <w:numFmt w:val="lowerRoman"/>
      <w:lvlText w:val="%6"/>
      <w:lvlJc w:val="start"/>
      <w:pPr>
        <w:tabs>
          <w:tab w:val="num" w:pos="0"/>
        </w:tabs>
        <w:ind w:start="0" w:hanging="0"/>
      </w:pPr>
    </w:lvl>
    <w:lvl w:ilvl="6">
      <w:start w:val="1"/>
      <w:pStyle w:val="Heading7"/>
      <w:numFmt w:val="decimal"/>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1"/>
      <w:pStyle w:val="Heading9"/>
      <w:numFmt w:val="decimal"/>
      <w:lvlText w:val="%9"/>
      <w:lvlJc w:val="start"/>
      <w:pPr>
        <w:tabs>
          <w:tab w:val="num" w:pos="0"/>
        </w:tabs>
        <w:ind w:start="0" w:hanging="0"/>
      </w:pPr>
    </w:lvl>
  </w:abstractNum>
  <w:abstractNum w:abstractNumId="2">
    <w:lvl w:ilvl="0">
      <w:start w:val="1"/>
      <w:numFmt w:val="upp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4"/>
      <w:lang w:val="en-US" w:eastAsia="zh-CN" w:bidi="hi-IN"/>
    </w:rPr>
  </w:style>
  <w:style w:type="paragraph" w:styleId="Heading1">
    <w:name w:val="heading 1"/>
    <w:basedOn w:val="Normal"/>
    <w:next w:val="BodyText"/>
    <w:qFormat/>
    <w:pPr>
      <w:numPr>
        <w:ilvl w:val="0"/>
        <w:numId w:val="1"/>
      </w:numPr>
      <w:spacing w:before="0" w:after="240"/>
      <w:ind w:firstLine="720" w:start="0" w:end="0"/>
      <w:outlineLvl w:val="0"/>
    </w:pPr>
    <w:rPr/>
  </w:style>
  <w:style w:type="paragraph" w:styleId="Heading2">
    <w:name w:val="heading 2"/>
    <w:basedOn w:val="Heading1"/>
    <w:next w:val="BodyText"/>
    <w:qFormat/>
    <w:pPr>
      <w:numPr>
        <w:ilvl w:val="1"/>
        <w:numId w:val="1"/>
      </w:numPr>
      <w:ind w:firstLine="1440" w:start="0" w:end="0"/>
      <w:outlineLvl w:val="1"/>
    </w:pPr>
    <w:rPr/>
  </w:style>
  <w:style w:type="paragraph" w:styleId="Heading3">
    <w:name w:val="heading 3"/>
    <w:basedOn w:val="Heading1"/>
    <w:next w:val="BodyText"/>
    <w:qFormat/>
    <w:pPr>
      <w:numPr>
        <w:ilvl w:val="2"/>
        <w:numId w:val="1"/>
      </w:numPr>
      <w:ind w:firstLine="2160" w:start="0" w:end="0"/>
      <w:outlineLvl w:val="2"/>
    </w:pPr>
    <w:rPr/>
  </w:style>
  <w:style w:type="paragraph" w:styleId="Heading4">
    <w:name w:val="heading 4"/>
    <w:basedOn w:val="Heading1"/>
    <w:next w:val="BodyText"/>
    <w:qFormat/>
    <w:pPr>
      <w:numPr>
        <w:ilvl w:val="3"/>
        <w:numId w:val="1"/>
      </w:numPr>
      <w:ind w:firstLine="2880" w:start="0" w:end="0"/>
      <w:outlineLvl w:val="3"/>
    </w:pPr>
    <w:rPr/>
  </w:style>
  <w:style w:type="paragraph" w:styleId="Heading5">
    <w:name w:val="heading 5"/>
    <w:basedOn w:val="Heading1"/>
    <w:next w:val="BodyText"/>
    <w:qFormat/>
    <w:pPr>
      <w:numPr>
        <w:ilvl w:val="4"/>
        <w:numId w:val="1"/>
      </w:numPr>
      <w:ind w:firstLine="3600" w:start="0" w:end="0"/>
      <w:outlineLvl w:val="4"/>
    </w:pPr>
    <w:rPr/>
  </w:style>
  <w:style w:type="paragraph" w:styleId="Heading6">
    <w:name w:val="heading 6"/>
    <w:basedOn w:val="Heading1"/>
    <w:next w:val="BodyText"/>
    <w:qFormat/>
    <w:pPr>
      <w:numPr>
        <w:ilvl w:val="5"/>
        <w:numId w:val="1"/>
      </w:numPr>
      <w:ind w:firstLine="4320" w:start="0" w:end="0"/>
      <w:outlineLvl w:val="5"/>
    </w:pPr>
    <w:rPr/>
  </w:style>
  <w:style w:type="paragraph" w:styleId="Heading7">
    <w:name w:val="heading 7"/>
    <w:basedOn w:val="Heading1"/>
    <w:next w:val="BodyText"/>
    <w:qFormat/>
    <w:pPr>
      <w:numPr>
        <w:ilvl w:val="6"/>
        <w:numId w:val="1"/>
      </w:numPr>
      <w:ind w:firstLine="5040" w:start="0" w:end="0"/>
      <w:outlineLvl w:val="6"/>
    </w:pPr>
    <w:rPr/>
  </w:style>
  <w:style w:type="paragraph" w:styleId="Heading8">
    <w:name w:val="heading 8"/>
    <w:basedOn w:val="Heading1"/>
    <w:next w:val="BodyText"/>
    <w:qFormat/>
    <w:pPr>
      <w:numPr>
        <w:ilvl w:val="7"/>
        <w:numId w:val="1"/>
      </w:numPr>
      <w:ind w:firstLine="5760" w:start="0" w:end="0"/>
      <w:outlineLvl w:val="7"/>
    </w:pPr>
    <w:rPr/>
  </w:style>
  <w:style w:type="paragraph" w:styleId="Heading9">
    <w:name w:val="heading 9"/>
    <w:basedOn w:val="Heading1"/>
    <w:next w:val="BodyText"/>
    <w:qFormat/>
    <w:pPr>
      <w:numPr>
        <w:ilvl w:val="8"/>
        <w:numId w:val="1"/>
      </w:numPr>
      <w:ind w:hanging="0" w:start="0" w:end="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style>
  <w:style w:type="character" w:styleId="TitleText3">
    <w:name w:val="TitleText3"/>
    <w:basedOn w:val="DefaultParagraphFont"/>
    <w:qFormat/>
    <w:rPr/>
  </w:style>
  <w:style w:type="character" w:styleId="TitleText4">
    <w:name w:val="TitleText4"/>
    <w:basedOn w:val="DefaultParagraphFont"/>
    <w:qFormat/>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Caption">
    <w:name w:val="Centered Caption"/>
    <w:basedOn w:val="Normal"/>
    <w:next w:val="BodyText"/>
    <w:qFormat/>
    <w:pPr>
      <w:spacing w:before="0" w:after="240"/>
      <w:jc w:val="center"/>
    </w:pPr>
    <w:rPr>
      <w:b/>
      <w:bCs/>
      <w:smallCaps/>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120"/>
    </w:pPr>
    <w:rPr/>
  </w:style>
  <w:style w:type="paragraph" w:styleId="Header">
    <w:name w:val="header"/>
    <w:basedOn w:val="Normal"/>
    <w:pPr>
      <w:tabs>
        <w:tab w:val="clear" w:pos="720"/>
        <w:tab w:val="center" w:pos="4320" w:leader="none"/>
        <w:tab w:val="right" w:pos="8640" w:leader="none"/>
      </w:tabs>
    </w:pPr>
    <w:rPr/>
  </w:style>
  <w:style w:type="paragraph" w:styleId="quote">
    <w:name w:val="quote"/>
    <w:basedOn w:val="Normal"/>
    <w:qFormat/>
    <w:pPr>
      <w:spacing w:before="0" w:after="240"/>
      <w:ind w:hanging="0" w:start="1440" w:end="1440"/>
    </w:pPr>
    <w:rPr/>
  </w:style>
  <w:style w:type="paragraph" w:styleId="TOC1">
    <w:name w:val="toc 1"/>
    <w:basedOn w:val="Normal"/>
    <w:next w:val="Normal"/>
    <w:pPr>
      <w:tabs>
        <w:tab w:val="clear" w:pos="720"/>
        <w:tab w:val="right" w:pos="8640" w:leader="dot"/>
      </w:tabs>
      <w:spacing w:before="0" w:after="240"/>
      <w:ind w:hanging="270" w:start="270" w:end="720"/>
    </w:pPr>
    <w:rPr>
      <w:lang w:val="en-CA"/>
    </w:rPr>
  </w:style>
  <w:style w:type="paragraph" w:styleId="TOC2">
    <w:name w:val="toc 2"/>
    <w:basedOn w:val="Normal"/>
    <w:next w:val="Normal"/>
    <w:pPr>
      <w:tabs>
        <w:tab w:val="clear" w:pos="720"/>
        <w:tab w:val="right" w:pos="8640" w:leader="dot"/>
      </w:tabs>
      <w:spacing w:before="0" w:after="240"/>
      <w:ind w:hanging="360" w:start="630" w:end="720"/>
    </w:pPr>
    <w:rPr>
      <w:lang w:val="en-CA"/>
    </w:rPr>
  </w:style>
  <w:style w:type="paragraph" w:styleId="TOC3">
    <w:name w:val="toc 3"/>
    <w:basedOn w:val="Normal"/>
    <w:next w:val="Normal"/>
    <w:pPr>
      <w:tabs>
        <w:tab w:val="clear" w:pos="720"/>
        <w:tab w:val="right" w:pos="8640" w:leader="dot"/>
      </w:tabs>
      <w:spacing w:before="0" w:after="240"/>
      <w:ind w:hanging="270" w:start="900" w:end="720"/>
    </w:pPr>
    <w:rPr>
      <w:lang w:val="en-CA"/>
    </w:rPr>
  </w:style>
  <w:style w:type="paragraph" w:styleId="TOC4">
    <w:name w:val="toc 4"/>
    <w:basedOn w:val="Normal"/>
    <w:next w:val="Normal"/>
    <w:pPr>
      <w:tabs>
        <w:tab w:val="clear" w:pos="720"/>
        <w:tab w:val="right" w:pos="8640" w:leader="dot"/>
      </w:tabs>
      <w:spacing w:before="0" w:after="240"/>
      <w:ind w:hanging="270" w:start="1170" w:end="720"/>
    </w:pPr>
    <w:rPr>
      <w:lang w:val="en-CA"/>
    </w:rPr>
  </w:style>
  <w:style w:type="paragraph" w:styleId="TOC5">
    <w:name w:val="toc 5"/>
    <w:basedOn w:val="Normal"/>
    <w:next w:val="Normal"/>
    <w:pPr>
      <w:tabs>
        <w:tab w:val="clear" w:pos="720"/>
        <w:tab w:val="right" w:pos="8640" w:leader="dot"/>
      </w:tabs>
      <w:spacing w:before="0" w:after="240"/>
      <w:ind w:hanging="360" w:start="1530" w:end="720"/>
    </w:pPr>
    <w:rPr>
      <w:lang w:val="en-CA"/>
    </w:rPr>
  </w:style>
  <w:style w:type="paragraph" w:styleId="TOC6">
    <w:name w:val="toc 6"/>
    <w:basedOn w:val="Normal"/>
    <w:next w:val="Normal"/>
    <w:pPr>
      <w:tabs>
        <w:tab w:val="clear" w:pos="720"/>
        <w:tab w:val="right" w:pos="8640" w:leader="dot"/>
      </w:tabs>
      <w:spacing w:before="0" w:after="240"/>
      <w:ind w:hanging="360" w:start="1890" w:end="720"/>
    </w:pPr>
    <w:rPr>
      <w:lang w:val="en-CA"/>
    </w:rPr>
  </w:style>
  <w:style w:type="paragraph" w:styleId="TOC7">
    <w:name w:val="toc 7"/>
    <w:basedOn w:val="Normal"/>
    <w:next w:val="Normal"/>
    <w:pPr>
      <w:tabs>
        <w:tab w:val="clear" w:pos="720"/>
        <w:tab w:val="left" w:pos="2160" w:leader="none"/>
        <w:tab w:val="right" w:pos="8640" w:leader="dot"/>
      </w:tabs>
      <w:spacing w:before="0" w:after="240"/>
      <w:ind w:hanging="270" w:start="2160" w:end="720"/>
    </w:pPr>
    <w:rPr>
      <w:lang w:val="en-CA"/>
    </w:rPr>
  </w:style>
  <w:style w:type="paragraph" w:styleId="TOC8">
    <w:name w:val="toc 8"/>
    <w:basedOn w:val="Normal"/>
    <w:next w:val="Normal"/>
    <w:pPr>
      <w:tabs>
        <w:tab w:val="clear" w:pos="720"/>
        <w:tab w:val="right" w:pos="8640" w:leader="dot"/>
      </w:tabs>
      <w:spacing w:before="0" w:after="240"/>
      <w:ind w:hanging="180" w:start="2340" w:end="720"/>
    </w:pPr>
    <w:rPr>
      <w:lang w:val="en-CA"/>
    </w:rPr>
  </w:style>
  <w:style w:type="paragraph" w:styleId="TOC9">
    <w:name w:val="toc 9"/>
    <w:basedOn w:val="Normal"/>
    <w:next w:val="Normal"/>
    <w:pPr>
      <w:tabs>
        <w:tab w:val="clear" w:pos="720"/>
        <w:tab w:val="right" w:pos="8640" w:leader="dot"/>
      </w:tabs>
      <w:ind w:hanging="270" w:start="2610" w:end="0"/>
    </w:pPr>
    <w:rPr>
      <w:lang w:val="en-CA"/>
    </w:rPr>
  </w:style>
  <w:style w:type="paragraph" w:styleId="ListAlpha">
    <w:name w:val="List Alpha"/>
    <w:basedOn w:val="Normal"/>
    <w:qFormat/>
    <w:pPr>
      <w:numPr>
        <w:ilvl w:val="0"/>
        <w:numId w:val="2"/>
      </w:numPr>
      <w:spacing w:before="0" w:after="240"/>
      <w:ind w:firstLine="720" w:start="0" w:end="0"/>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1999-03-17T22:04:00Z</dcterms:created>
  <dc:creator>T_BUFFINGTON</dc:creator>
  <dc:description/>
  <dc:language>en-CA</dc:language>
  <cp:lastModifiedBy>T_BUFFINGTON</cp:lastModifiedBy>
  <dcterms:modified xsi:type="dcterms:W3CDTF">1999-03-18T13:15:00Z</dcterms:modified>
  <cp:revision>2</cp:revision>
  <dc:subject/>
  <dc:title>34-1-141</dc:title>
</cp:coreProperties>
</file>