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590" w:type="dxa"/>
        <w:jc w:val="start"/>
        <w:tblInd w:w="-456" w:type="dxa"/>
        <w:tblLayout w:type="fixed"/>
        <w:tblCellMar>
          <w:top w:w="0" w:type="dxa"/>
          <w:start w:w="120" w:type="dxa"/>
          <w:bottom w:w="0" w:type="dxa"/>
          <w:end w:w="120" w:type="dxa"/>
        </w:tblCellMar>
      </w:tblPr>
      <w:tblGrid>
        <w:gridCol w:w="1926"/>
        <w:gridCol w:w="4916"/>
        <w:gridCol w:w="1654"/>
        <w:gridCol w:w="2094"/>
      </w:tblGrid>
      <w:tr>
        <w:trPr/>
        <w:tc>
          <w:tcPr>
            <w:tcW w:w="1926"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To:</w:t>
            </w:r>
          </w:p>
        </w:tc>
        <w:tc>
          <w:tcPr>
            <w:tcW w:w="4916" w:type="dxa"/>
            <w:tcBorders/>
          </w:tcPr>
          <w:p>
            <w:pPr>
              <w:pStyle w:val="Footer"/>
              <w:tabs>
                <w:tab w:val="clear" w:pos="4320"/>
                <w:tab w:val="clear" w:pos="8640"/>
                <w:tab w:val="left" w:pos="-720" w:leader="none"/>
                <w:tab w:val="left" w:pos="540" w:leader="none"/>
              </w:tabs>
              <w:suppressAutoHyphens w:val="true"/>
              <w:spacing w:lineRule="exact" w:line="400"/>
              <w:rPr>
                <w:rFonts w:ascii="Times New Roman" w:hAnsi="Times New Roman" w:cs="Times New Roman"/>
                <w:spacing w:val="-3"/>
              </w:rPr>
            </w:pPr>
            <w:r>
              <w:rPr>
                <w:rFonts w:cs="Times New Roman" w:ascii="Times New Roman" w:hAnsi="Times New Roman"/>
                <w:spacing w:val="-3"/>
              </w:rPr>
              <w:t>Sharon Butcher</w:t>
            </w:r>
          </w:p>
          <w:p>
            <w:pPr>
              <w:pStyle w:val="Footer"/>
              <w:tabs>
                <w:tab w:val="clear" w:pos="4320"/>
                <w:tab w:val="clear" w:pos="8640"/>
                <w:tab w:val="left" w:pos="-720" w:leader="none"/>
                <w:tab w:val="left" w:pos="540" w:leader="none"/>
              </w:tabs>
              <w:suppressAutoHyphens w:val="true"/>
              <w:spacing w:lineRule="exact" w:line="300"/>
              <w:rPr>
                <w:rFonts w:ascii="Times New Roman" w:hAnsi="Times New Roman" w:cs="Times New Roman"/>
                <w:spacing w:val="-3"/>
              </w:rPr>
            </w:pPr>
            <w:r>
              <w:rPr>
                <w:rFonts w:cs="Times New Roman" w:ascii="Times New Roman" w:hAnsi="Times New Roman"/>
                <w:spacing w:val="-3"/>
              </w:rPr>
              <w:t>Chuck Cheek</w:t>
            </w:r>
          </w:p>
          <w:p>
            <w:pPr>
              <w:pStyle w:val="Footer"/>
              <w:tabs>
                <w:tab w:val="clear" w:pos="4320"/>
                <w:tab w:val="clear" w:pos="8640"/>
                <w:tab w:val="left" w:pos="-720" w:leader="none"/>
                <w:tab w:val="left" w:pos="540" w:leader="none"/>
              </w:tabs>
              <w:suppressAutoHyphens w:val="true"/>
              <w:spacing w:lineRule="exact" w:line="300"/>
              <w:rPr>
                <w:rFonts w:ascii="Times New Roman" w:hAnsi="Times New Roman" w:cs="Times New Roman"/>
                <w:spacing w:val="-3"/>
              </w:rPr>
            </w:pPr>
            <w:r>
              <w:rPr>
                <w:rFonts w:cs="Times New Roman" w:ascii="Times New Roman" w:hAnsi="Times New Roman"/>
                <w:spacing w:val="-3"/>
              </w:rPr>
              <w:t>Pat Mackin (Via-email)</w:t>
            </w:r>
          </w:p>
        </w:tc>
        <w:tc>
          <w:tcPr>
            <w:tcW w:w="1654"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rPr>
            </w:pPr>
            <w:r>
              <w:rPr>
                <w:rFonts w:cs="Times New Roman" w:ascii="Times New Roman" w:hAnsi="Times New Roman"/>
                <w:spacing w:val="-3"/>
              </w:rPr>
            </w:r>
          </w:p>
        </w:tc>
        <w:tc>
          <w:tcPr>
            <w:tcW w:w="209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rPr>
            </w:pPr>
            <w:r>
              <w:rPr>
                <w:rFonts w:cs="Times New Roman" w:ascii="Times New Roman" w:hAnsi="Times New Roman"/>
                <w:spacing w:val="-3"/>
              </w:rPr>
            </w:r>
          </w:p>
        </w:tc>
      </w:tr>
      <w:tr>
        <w:trPr/>
        <w:tc>
          <w:tcPr>
            <w:tcW w:w="1926"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From:</w:t>
            </w:r>
          </w:p>
        </w:tc>
        <w:tc>
          <w:tcPr>
            <w:tcW w:w="4916" w:type="dxa"/>
            <w:tcBorders/>
          </w:tcPr>
          <w:p>
            <w:pPr>
              <w:pStyle w:val="Footer"/>
              <w:tabs>
                <w:tab w:val="clear" w:pos="4320"/>
                <w:tab w:val="clear" w:pos="8640"/>
                <w:tab w:val="left" w:pos="-720" w:leader="none"/>
                <w:tab w:val="left" w:pos="540" w:leader="none"/>
              </w:tabs>
              <w:suppressAutoHyphens w:val="true"/>
              <w:spacing w:before="120" w:after="0"/>
              <w:rPr>
                <w:rFonts w:ascii="Times New Roman" w:hAnsi="Times New Roman" w:cs="Times New Roman"/>
                <w:spacing w:val="-3"/>
              </w:rPr>
            </w:pPr>
            <w:r>
              <w:rPr>
                <w:rFonts w:cs="Times New Roman" w:ascii="Times New Roman" w:hAnsi="Times New Roman"/>
                <w:spacing w:val="-3"/>
              </w:rPr>
              <w:t>Kriste K. Sullivan</w:t>
            </w:r>
          </w:p>
          <w:p>
            <w:pPr>
              <w:pStyle w:val="Normal"/>
              <w:tabs>
                <w:tab w:val="left" w:pos="-720" w:leader="none"/>
                <w:tab w:val="left" w:pos="540" w:leader="none"/>
              </w:tabs>
              <w:suppressAutoHyphens w:val="true"/>
              <w:rPr>
                <w:rFonts w:ascii="Times New Roman" w:hAnsi="Times New Roman" w:cs="Times New Roman"/>
                <w:spacing w:val="-3"/>
              </w:rPr>
            </w:pPr>
            <w:r>
              <w:rPr>
                <w:rFonts w:cs="Times New Roman" w:ascii="Times New Roman" w:hAnsi="Times New Roman"/>
                <w:spacing w:val="-3"/>
              </w:rPr>
              <w:t xml:space="preserve">Michelle Cash                                                  </w:t>
            </w:r>
          </w:p>
        </w:tc>
        <w:tc>
          <w:tcPr>
            <w:tcW w:w="1654"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Department:</w:t>
            </w:r>
          </w:p>
        </w:tc>
        <w:tc>
          <w:tcPr>
            <w:tcW w:w="209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rPr>
            </w:pPr>
            <w:r>
              <w:rPr>
                <w:rFonts w:cs="Times New Roman" w:ascii="Times New Roman" w:hAnsi="Times New Roman"/>
                <w:spacing w:val="-3"/>
              </w:rPr>
              <w:t>Legal</w:t>
            </w:r>
          </w:p>
        </w:tc>
      </w:tr>
      <w:tr>
        <w:trPr/>
        <w:tc>
          <w:tcPr>
            <w:tcW w:w="1926"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Subject:</w:t>
            </w:r>
          </w:p>
        </w:tc>
        <w:tc>
          <w:tcPr>
            <w:tcW w:w="4916" w:type="dxa"/>
            <w:tcBorders/>
          </w:tcPr>
          <w:p>
            <w:pPr>
              <w:pStyle w:val="Footer"/>
              <w:tabs>
                <w:tab w:val="clear" w:pos="4320"/>
                <w:tab w:val="clear" w:pos="8640"/>
                <w:tab w:val="left" w:pos="-720" w:leader="none"/>
                <w:tab w:val="left" w:pos="540" w:leader="none"/>
              </w:tabs>
              <w:suppressAutoHyphens w:val="true"/>
              <w:spacing w:before="120" w:after="0"/>
              <w:rPr>
                <w:rFonts w:ascii="Times New Roman" w:hAnsi="Times New Roman" w:cs="Times New Roman"/>
                <w:spacing w:val="-3"/>
              </w:rPr>
            </w:pPr>
            <w:r>
              <w:rPr>
                <w:rFonts w:cs="Times New Roman" w:ascii="Times New Roman" w:hAnsi="Times New Roman"/>
                <w:spacing w:val="-3"/>
              </w:rPr>
              <w:t>Enron Corp. Deferral Plan</w:t>
            </w:r>
          </w:p>
        </w:tc>
        <w:tc>
          <w:tcPr>
            <w:tcW w:w="1654"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rPr>
            </w:pPr>
            <w:r>
              <w:rPr>
                <w:rFonts w:cs="Times New Roman" w:ascii="Times New Roman" w:hAnsi="Times New Roman"/>
                <w:b/>
                <w:spacing w:val="-2"/>
              </w:rPr>
              <w:t>Date:</w:t>
            </w:r>
          </w:p>
        </w:tc>
        <w:tc>
          <w:tcPr>
            <w:tcW w:w="2094" w:type="dxa"/>
            <w:tcBorders/>
          </w:tcPr>
          <w:p>
            <w:pPr>
              <w:pStyle w:val="Normal"/>
              <w:tabs>
                <w:tab w:val="left" w:pos="-720" w:leader="none"/>
                <w:tab w:val="left" w:pos="540" w:leader="none"/>
              </w:tabs>
              <w:suppressAutoHyphens w:val="true"/>
              <w:spacing w:before="90" w:after="54"/>
              <w:ind w:end="-186"/>
              <w:rPr>
                <w:rFonts w:ascii="Times New Roman" w:hAnsi="Times New Roman" w:cs="Times New Roman"/>
                <w:spacing w:val="-3"/>
              </w:rPr>
            </w:pPr>
            <w:r>
              <w:rPr>
                <w:rFonts w:cs="Times New Roman" w:ascii="Times New Roman" w:hAnsi="Times New Roman"/>
                <w:spacing w:val="-3"/>
              </w:rPr>
              <w:t>July 19, 2000</w:t>
            </w:r>
          </w:p>
        </w:tc>
      </w:tr>
      <w:tr>
        <w:trPr/>
        <w:tc>
          <w:tcPr>
            <w:tcW w:w="1926" w:type="dxa"/>
            <w:tcBorders>
              <w:bottom w:val="single" w:sz="4"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b/>
                <w:spacing w:val="-2"/>
              </w:rPr>
            </w:pPr>
            <w:r>
              <w:rPr>
                <w:rFonts w:cs="Times New Roman" w:ascii="Times New Roman" w:hAnsi="Times New Roman"/>
                <w:b/>
                <w:spacing w:val="-2"/>
              </w:rPr>
            </w:r>
          </w:p>
        </w:tc>
        <w:tc>
          <w:tcPr>
            <w:tcW w:w="4916" w:type="dxa"/>
            <w:tcBorders>
              <w:bottom w:val="single" w:sz="4" w:space="0" w:color="000000"/>
            </w:tcBorders>
          </w:tcPr>
          <w:p>
            <w:pPr>
              <w:pStyle w:val="Footer"/>
              <w:tabs>
                <w:tab w:val="clear" w:pos="4320"/>
                <w:tab w:val="clear" w:pos="8640"/>
                <w:tab w:val="left" w:pos="-720" w:leader="none"/>
                <w:tab w:val="left" w:pos="540" w:leader="none"/>
              </w:tabs>
              <w:suppressAutoHyphens w:val="true"/>
              <w:snapToGrid w:val="false"/>
              <w:spacing w:before="120" w:after="0"/>
              <w:rPr>
                <w:rFonts w:ascii="Times New Roman" w:hAnsi="Times New Roman" w:cs="Times New Roman"/>
                <w:b/>
                <w:spacing w:val="-3"/>
              </w:rPr>
            </w:pPr>
            <w:r>
              <w:rPr>
                <w:rFonts w:cs="Times New Roman" w:ascii="Times New Roman" w:hAnsi="Times New Roman"/>
                <w:b/>
                <w:spacing w:val="-3"/>
              </w:rPr>
            </w:r>
          </w:p>
        </w:tc>
        <w:tc>
          <w:tcPr>
            <w:tcW w:w="1654" w:type="dxa"/>
            <w:tcBorders>
              <w:bottom w:val="single" w:sz="4"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b/>
                <w:spacing w:val="-2"/>
              </w:rPr>
            </w:pPr>
            <w:r>
              <w:rPr>
                <w:rFonts w:cs="Times New Roman" w:ascii="Times New Roman" w:hAnsi="Times New Roman"/>
                <w:b/>
                <w:spacing w:val="-2"/>
              </w:rPr>
            </w:r>
          </w:p>
        </w:tc>
        <w:tc>
          <w:tcPr>
            <w:tcW w:w="2094" w:type="dxa"/>
            <w:tcBorders>
              <w:bottom w:val="single" w:sz="4" w:space="0" w:color="000000"/>
            </w:tcBorders>
          </w:tcPr>
          <w:p>
            <w:pPr>
              <w:pStyle w:val="Normal"/>
              <w:tabs>
                <w:tab w:val="left" w:pos="-720" w:leader="none"/>
                <w:tab w:val="left" w:pos="540" w:leader="none"/>
              </w:tabs>
              <w:suppressAutoHyphens w:val="true"/>
              <w:snapToGrid w:val="false"/>
              <w:spacing w:before="90" w:after="54"/>
              <w:ind w:end="-186"/>
              <w:rPr>
                <w:rFonts w:ascii="Times New Roman" w:hAnsi="Times New Roman" w:cs="Times New Roman"/>
                <w:b/>
                <w:spacing w:val="-3"/>
              </w:rPr>
            </w:pPr>
            <w:r>
              <w:rPr>
                <w:rFonts w:cs="Times New Roman" w:ascii="Times New Roman" w:hAnsi="Times New Roman"/>
                <w:b/>
                <w:spacing w:val="-3"/>
              </w:rPr>
            </w:r>
          </w:p>
        </w:tc>
      </w:tr>
    </w:tbl>
    <w:p>
      <w:pPr>
        <w:pStyle w:val="Normal"/>
        <w:tabs>
          <w:tab w:val="left" w:pos="-720" w:leader="none"/>
          <w:tab w:val="left" w:pos="540" w:leader="none"/>
        </w:tabs>
        <w:suppressAutoHyphens w:val="true"/>
        <w:ind w:start="540" w:end="0"/>
        <w:jc w:val="both"/>
        <w:rPr>
          <w:rFonts w:ascii="Times New Roman" w:hAnsi="Times New Roman" w:cs="Times New Roman"/>
        </w:rPr>
      </w:pPr>
      <w:r>
        <w:rPr>
          <w:rFonts w:cs="Times New Roman" w:ascii="Times New Roman" w:hAnsi="Times New Roman"/>
        </w:rPr>
      </w:r>
    </w:p>
    <w:p>
      <w:pPr>
        <w:pStyle w:val="Heading4"/>
        <w:tabs>
          <w:tab w:val="clear" w:pos="540"/>
          <w:tab w:val="left" w:pos="-720" w:leader="none"/>
        </w:tabs>
        <w:ind w:hanging="0" w:start="0"/>
        <w:rPr/>
      </w:pPr>
      <w:r>
        <w:rPr/>
        <w:t>Introduction</w:t>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t>As you know, certain eligible employees may participate in the Enron Corp. 1994 Deferral Plan (the “Plan”).  To maintain compliance with the IRS ruling relating to deferral plans, all Plan participants must be employed by Enron Corp., which is the single employer in the Plan’s rabbi trust.  Many of the participants, however, are working within business units and have signed employment contracts (“Contracts”) with the business unit entity.  The Contracts contain covenants not to compete that are specific to the business unit.  Thus, there are apparent inconsistencies regarding the identity of the “Employer” for Plan participants.</w:t>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r>
    </w:p>
    <w:p>
      <w:pPr>
        <w:pStyle w:val="Heading4"/>
        <w:tabs>
          <w:tab w:val="clear" w:pos="540"/>
          <w:tab w:val="left" w:pos="-720" w:leader="none"/>
        </w:tabs>
        <w:ind w:hanging="0" w:start="0"/>
        <w:rPr/>
      </w:pPr>
      <w:r>
        <w:rPr/>
        <w:t>Background Facts and Issues Relating to the Enron Corp. 1994 Deferral Plan</w:t>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t>The Plan requires that plan participants must be Enron Corp. employees because the Plan is a single employer plan with a rabbi trust.  To maintain the rabbi trust and to have all deferral participants “employed” by Enron Corp., the Enron Corp. Compensation Department transferred all Plan participants to the Enron Corp. payroll.  When some of the Plan participants have contracts with various operating companies, however, those agreements are between the Employee and the operating company as the “Employer.”  This “dual employer” situation arguably impacts the employee’s eligibility for Plan participation and could jeopardize the Plan as a whole.  To qualify as a single-employer deferral plan, all of the participants’ assets must be subject to attachment by creditors. To the extent that there is evidence (i.e. contracts) contradicting that all Plan participants are Enron Corp. employees, there is a risk that Plan will not qualify and that the participants’ deferrals will be treated as regular income, resulting in serious tax consequences.  Another result is that the Plan could face taxation, possible penalties, or disqualification.</w:t>
      </w:r>
      <w:r>
        <w:br w:type="page"/>
      </w:r>
    </w:p>
    <w:p>
      <w:pPr>
        <w:pStyle w:val="Normal"/>
        <w:tabs>
          <w:tab w:val="clear" w:pos="54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540"/>
        </w:tabs>
        <w:suppressAutoHyphens w:val="true"/>
        <w:jc w:val="both"/>
        <w:rPr>
          <w:rFonts w:ascii="Times New Roman" w:hAnsi="Times New Roman" w:cs="Times New Roman"/>
          <w:b/>
          <w:bCs/>
          <w:u w:val="single"/>
        </w:rPr>
      </w:pPr>
      <w:r>
        <w:rPr>
          <w:rFonts w:cs="Times New Roman" w:ascii="Times New Roman" w:hAnsi="Times New Roman"/>
          <w:b/>
          <w:bCs/>
          <w:u w:val="single"/>
        </w:rPr>
        <w:t>Proposed Solutions</w:t>
      </w:r>
    </w:p>
    <w:p>
      <w:pPr>
        <w:pStyle w:val="Normal"/>
        <w:tabs>
          <w:tab w:val="clear" w:pos="540"/>
        </w:tabs>
        <w:suppressAutoHyphens w:val="true"/>
        <w:jc w:val="both"/>
        <w:rPr>
          <w:rFonts w:ascii="Times New Roman" w:hAnsi="Times New Roman" w:cs="Times New Roman"/>
          <w:b/>
          <w:bCs/>
          <w:u w:val="single"/>
        </w:rPr>
      </w:pPr>
      <w:r>
        <w:rPr>
          <w:rFonts w:cs="Times New Roman" w:ascii="Times New Roman" w:hAnsi="Times New Roman"/>
          <w:b/>
          <w:bCs/>
          <w:u w:val="single"/>
        </w:rPr>
      </w:r>
    </w:p>
    <w:p>
      <w:pPr>
        <w:pStyle w:val="BodyText"/>
        <w:tabs>
          <w:tab w:val="clear" w:pos="540"/>
          <w:tab w:val="left" w:pos="-720" w:leader="none"/>
        </w:tabs>
        <w:rPr/>
      </w:pPr>
      <w:r>
        <w:rPr/>
        <w:t>Due to this potential exposure, we provide the following proposed options to rectify this inconsistency:</w:t>
      </w:r>
    </w:p>
    <w:p>
      <w:pPr>
        <w:pStyle w:val="Normal"/>
        <w:tabs>
          <w:tab w:val="clear" w:pos="540"/>
        </w:tabs>
        <w:suppressAutoHyphens w:val="true"/>
        <w:ind w:start="540" w:end="0"/>
        <w:jc w:val="both"/>
        <w:rPr>
          <w:rFonts w:ascii="Times New Roman" w:hAnsi="Times New Roman" w:cs="Times New Roman"/>
        </w:rPr>
      </w:pPr>
      <w:r>
        <w:rPr>
          <w:rFonts w:cs="Times New Roman" w:ascii="Times New Roman" w:hAnsi="Times New Roman"/>
        </w:rPr>
      </w:r>
    </w:p>
    <w:p>
      <w:pPr>
        <w:pStyle w:val="Normal"/>
        <w:tabs>
          <w:tab w:val="clear" w:pos="540"/>
        </w:tabs>
        <w:suppressAutoHyphens w:val="true"/>
        <w:ind w:firstLine="720" w:end="0"/>
        <w:jc w:val="both"/>
        <w:rPr/>
      </w:pPr>
      <w:r>
        <w:rPr>
          <w:rFonts w:cs="Times New Roman" w:ascii="Times New Roman" w:hAnsi="Times New Roman"/>
          <w:b/>
          <w:bCs/>
        </w:rPr>
        <w:t>Option 1.</w:t>
      </w:r>
      <w:r>
        <w:rPr>
          <w:rFonts w:cs="Times New Roman" w:ascii="Times New Roman" w:hAnsi="Times New Roman"/>
        </w:rPr>
        <w:tab/>
        <w:t>Create multiple grantor trusts for each operating business unit; or</w:t>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r>
    </w:p>
    <w:p>
      <w:pPr>
        <w:pStyle w:val="Normal"/>
        <w:tabs>
          <w:tab w:val="clear" w:pos="540"/>
          <w:tab w:val="left" w:pos="-720" w:leader="none"/>
        </w:tabs>
        <w:suppressAutoHyphens w:val="true"/>
        <w:ind w:hanging="1440" w:start="2160" w:end="0"/>
        <w:jc w:val="both"/>
        <w:rPr/>
      </w:pPr>
      <w:r>
        <w:rPr>
          <w:rFonts w:cs="Times New Roman" w:ascii="Times New Roman" w:hAnsi="Times New Roman"/>
          <w:b/>
          <w:bCs/>
        </w:rPr>
        <w:t>Option 2.</w:t>
        <w:tab/>
      </w:r>
      <w:r>
        <w:rPr>
          <w:rFonts w:cs="Times New Roman" w:ascii="Times New Roman" w:hAnsi="Times New Roman"/>
        </w:rPr>
        <w:t>Assign all Plan participants working for operating companies other than Enron Corp. to Enron Corp. and second these Employees to the various operating business unit for which they provide services.</w:t>
      </w:r>
    </w:p>
    <w:p>
      <w:pPr>
        <w:pStyle w:val="Normal"/>
        <w:tabs>
          <w:tab w:val="clear" w:pos="540"/>
        </w:tabs>
        <w:suppressAutoHyphens w:val="true"/>
        <w:ind w:hanging="1620" w:start="2160" w:end="0"/>
        <w:jc w:val="both"/>
        <w:rPr>
          <w:rFonts w:ascii="Times New Roman" w:hAnsi="Times New Roman" w:cs="Times New Roman"/>
        </w:rPr>
      </w:pPr>
      <w:r>
        <w:rPr>
          <w:rFonts w:cs="Times New Roman" w:ascii="Times New Roman" w:hAnsi="Times New Roman"/>
        </w:rPr>
      </w:r>
    </w:p>
    <w:p>
      <w:pPr>
        <w:pStyle w:val="Normal"/>
        <w:tabs>
          <w:tab w:val="clear" w:pos="540"/>
          <w:tab w:val="left" w:pos="-720" w:leader="none"/>
        </w:tabs>
        <w:suppressAutoHyphens w:val="true"/>
        <w:jc w:val="both"/>
        <w:rPr>
          <w:rFonts w:ascii="Times New Roman" w:hAnsi="Times New Roman" w:cs="Times New Roman"/>
          <w:b/>
          <w:bCs/>
        </w:rPr>
      </w:pPr>
      <w:r>
        <w:rPr>
          <w:rFonts w:cs="Times New Roman" w:ascii="Times New Roman" w:hAnsi="Times New Roman"/>
          <w:b/>
          <w:bCs/>
        </w:rPr>
        <w:tab/>
        <w:t>A.</w:t>
        <w:tab/>
      </w:r>
      <w:r>
        <w:rPr>
          <w:rFonts w:cs="Times New Roman" w:ascii="Times New Roman" w:hAnsi="Times New Roman"/>
          <w:b/>
          <w:bCs/>
          <w:u w:val="single"/>
        </w:rPr>
        <w:t>Option 1:</w:t>
      </w:r>
      <w:r>
        <w:rPr>
          <w:rFonts w:cs="Times New Roman" w:ascii="Times New Roman" w:hAnsi="Times New Roman"/>
          <w:b/>
          <w:bCs/>
        </w:rPr>
        <w:t xml:space="preserve">   </w:t>
      </w:r>
      <w:r>
        <w:rPr>
          <w:rFonts w:cs="Times New Roman" w:ascii="Times New Roman" w:hAnsi="Times New Roman"/>
          <w:b/>
          <w:bCs/>
          <w:u w:val="single"/>
        </w:rPr>
        <w:t>Restructure the Trust?</w:t>
      </w:r>
    </w:p>
    <w:p>
      <w:pPr>
        <w:pStyle w:val="Normal"/>
        <w:tabs>
          <w:tab w:val="clear" w:pos="540"/>
          <w:tab w:val="left" w:pos="-720" w:leader="none"/>
        </w:tabs>
        <w:suppressAutoHyphens w:val="true"/>
        <w:ind w:start="2160" w:end="0"/>
        <w:jc w:val="both"/>
        <w:rPr>
          <w:rFonts w:ascii="Times New Roman" w:hAnsi="Times New Roman" w:cs="Times New Roman"/>
          <w:b/>
          <w:bCs/>
        </w:rPr>
      </w:pPr>
      <w:r>
        <w:rPr>
          <w:rFonts w:cs="Times New Roman" w:ascii="Times New Roman" w:hAnsi="Times New Roman"/>
          <w:b/>
          <w:bCs/>
        </w:rPr>
      </w:r>
    </w:p>
    <w:p>
      <w:pPr>
        <w:pStyle w:val="Normal"/>
        <w:tabs>
          <w:tab w:val="clear" w:pos="540"/>
          <w:tab w:val="left" w:pos="-720" w:leader="none"/>
        </w:tabs>
        <w:suppressAutoHyphens w:val="true"/>
        <w:jc w:val="both"/>
        <w:rPr/>
      </w:pPr>
      <w:r>
        <w:rPr>
          <w:rFonts w:cs="Times New Roman" w:ascii="Times New Roman" w:hAnsi="Times New Roman"/>
        </w:rPr>
        <w:t>According to our experts in tax and compensation, Option 1 (</w:t>
      </w:r>
      <w:r>
        <w:rPr>
          <w:rFonts w:cs="Times New Roman" w:ascii="Times New Roman" w:hAnsi="Times New Roman"/>
          <w:i/>
          <w:iCs/>
        </w:rPr>
        <w:t>i.e.</w:t>
      </w:r>
      <w:r>
        <w:rPr>
          <w:rFonts w:cs="Times New Roman" w:ascii="Times New Roman" w:hAnsi="Times New Roman"/>
        </w:rPr>
        <w:t xml:space="preserve">, multiple grantor trusts for each operating unit) is not feasible due to tax implications and reporting issues. Specifically, the Plan is set up by creating a rabbi trust, which is necessary to provide security for the monies against all events, except bankruptcy.  Enron has purchased trust-owned life insurance as assets under the trust and as a funding vehicle when the deferral liabilities are paid.  If Enron were to establish multiple grantor trusts, the trust-owned life insurance policies would have to be transferred from parent to subsidiary.  Additionally, the assets would have to be available to creditors based upon an allocation relating to liability rather than deferral contributions.  This would create potential for a mismatch between deferrals made by an entity and the portion of the trust assets that may be available to the creditors of that entity.  </w:t>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t xml:space="preserve">The compensation department also investigated the possibility of a commingled approach, which would allow Enron to segregate assets based on the requisite deferred compensation obligation allocation.  These scenarios would result in funding issues for Enron.  If an employee was sequentially employed by several employers who are grantors of a rabbi trust, each grantor must always be a grantor with its creditors having access based upon the deferred compensation obligations accrued while the employee was in the service of that grantor.  This approach would be extremely burdensome due to the movement we see at Enron.  Finally, there are potential tax implications with a multiple trust arrangement.  </w:t>
      </w:r>
    </w:p>
    <w:p>
      <w:pPr>
        <w:pStyle w:val="Normal"/>
        <w:tabs>
          <w:tab w:val="clear" w:pos="540"/>
        </w:tabs>
        <w:suppressAutoHyphens w:val="true"/>
        <w:ind w:start="720" w:end="0"/>
        <w:jc w:val="both"/>
        <w:rPr>
          <w:rFonts w:ascii="Times New Roman" w:hAnsi="Times New Roman" w:cs="Times New Roman"/>
        </w:rPr>
      </w:pPr>
      <w:r>
        <w:rPr>
          <w:rFonts w:cs="Times New Roman" w:ascii="Times New Roman" w:hAnsi="Times New Roman"/>
        </w:rPr>
      </w:r>
    </w:p>
    <w:p>
      <w:pPr>
        <w:pStyle w:val="Normal"/>
        <w:tabs>
          <w:tab w:val="clear" w:pos="540"/>
        </w:tabs>
        <w:suppressAutoHyphens w:val="true"/>
        <w:ind w:start="720" w:end="0"/>
        <w:jc w:val="both"/>
        <w:rPr>
          <w:rFonts w:ascii="Times New Roman" w:hAnsi="Times New Roman" w:cs="Times New Roman"/>
          <w:b/>
          <w:bCs/>
        </w:rPr>
      </w:pPr>
      <w:r>
        <w:rPr>
          <w:rFonts w:cs="Times New Roman" w:ascii="Times New Roman" w:hAnsi="Times New Roman"/>
          <w:b/>
          <w:bCs/>
        </w:rPr>
        <w:t>B.</w:t>
        <w:tab/>
      </w:r>
      <w:r>
        <w:rPr>
          <w:rFonts w:cs="Times New Roman" w:ascii="Times New Roman" w:hAnsi="Times New Roman"/>
          <w:b/>
          <w:bCs/>
          <w:u w:val="single"/>
        </w:rPr>
        <w:t>Option 2:</w:t>
      </w:r>
      <w:r>
        <w:rPr>
          <w:rFonts w:cs="Times New Roman" w:ascii="Times New Roman" w:hAnsi="Times New Roman"/>
          <w:b/>
          <w:bCs/>
        </w:rPr>
        <w:t xml:space="preserve">    </w:t>
      </w:r>
      <w:r>
        <w:rPr>
          <w:rFonts w:cs="Times New Roman" w:ascii="Times New Roman" w:hAnsi="Times New Roman"/>
          <w:b/>
          <w:bCs/>
          <w:u w:val="single"/>
        </w:rPr>
        <w:t>Assignments</w:t>
      </w:r>
    </w:p>
    <w:p>
      <w:pPr>
        <w:pStyle w:val="Normal"/>
        <w:tabs>
          <w:tab w:val="clear" w:pos="540"/>
        </w:tabs>
        <w:suppressAutoHyphens w:val="true"/>
        <w:ind w:start="720" w:end="0"/>
        <w:jc w:val="both"/>
        <w:rPr>
          <w:rFonts w:ascii="Times New Roman" w:hAnsi="Times New Roman" w:cs="Times New Roman"/>
          <w:b/>
          <w:bCs/>
        </w:rPr>
      </w:pPr>
      <w:r>
        <w:rPr>
          <w:rFonts w:cs="Times New Roman" w:ascii="Times New Roman" w:hAnsi="Times New Roman"/>
          <w:b/>
          <w:bCs/>
        </w:rPr>
      </w:r>
    </w:p>
    <w:p>
      <w:pPr>
        <w:pStyle w:val="BodyTextIndent"/>
        <w:tabs>
          <w:tab w:val="clear" w:pos="540"/>
        </w:tabs>
        <w:suppressAutoHyphens w:val="true"/>
        <w:ind w:start="0" w:end="0"/>
        <w:rPr/>
      </w:pPr>
      <w:r>
        <w:rPr/>
        <w:t>Option 2 is to employ all non-Enron Corp. Plan participants at Enron Corp. and assign them to the business unit for which they provide service.  This option appears viable, but would be administratively intensive.  Additionally, even the Plan participants without contracts would need to sign a three-way assignment agreement to facilitate the Plan participants’ efforts to provide services to an operating business unit.</w:t>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r>
    </w:p>
    <w:p>
      <w:pPr>
        <w:pStyle w:val="Normal"/>
        <w:tabs>
          <w:tab w:val="clear" w:pos="540"/>
          <w:tab w:val="left" w:pos="720" w:leader="none"/>
        </w:tabs>
        <w:suppressAutoHyphens w:val="true"/>
        <w:jc w:val="both"/>
        <w:rPr/>
      </w:pPr>
      <w:r>
        <w:rPr>
          <w:rFonts w:cs="Times New Roman" w:ascii="Times New Roman" w:hAnsi="Times New Roman"/>
        </w:rPr>
        <w:t>One of the primary issues related to the Plan participants with contracts is to verify that the non-compete provisions and obligations in the executive employment agreements remain valid as to the business unit for which the employee is providing services.  We will need to verify that recitals as to an exchange of confidential information from the operating company to the employee</w:t>
      </w:r>
      <w:r>
        <w:rPr>
          <w:rFonts w:cs="Times New Roman" w:ascii="Times New Roman" w:hAnsi="Times New Roman"/>
          <w:b/>
        </w:rPr>
        <w:t xml:space="preserve"> </w:t>
      </w:r>
      <w:r>
        <w:rPr>
          <w:rFonts w:cs="Times New Roman" w:ascii="Times New Roman" w:hAnsi="Times New Roman"/>
          <w:bCs/>
        </w:rPr>
        <w:t xml:space="preserve">are </w:t>
      </w:r>
      <w:r>
        <w:rPr>
          <w:rFonts w:cs="Times New Roman" w:ascii="Times New Roman" w:hAnsi="Times New Roman"/>
        </w:rPr>
        <w:t>sufficient consideration to uphold the otherwise valid non-compete provision under these circumstances.  Another issue from an administrative perspective is the fact that the Plan participants change from year to year at the eligible employees’ election.  Accordingly, a process will have to be put in place each year to review the list of new Plan participants and to request the preparation of the appropriate assignment agreement.  A copy of a sample form of assignment letter among the Employee, Enron Corp., and ENA is attached hereto for review and comment.  The non-competition provisions of the assignment letter would vary by business unit.</w:t>
      </w:r>
    </w:p>
    <w:p>
      <w:pPr>
        <w:pStyle w:val="Normal"/>
        <w:tabs>
          <w:tab w:val="clear" w:pos="540"/>
        </w:tabs>
        <w:suppressAutoHyphens w:val="true"/>
        <w:jc w:val="both"/>
        <w:rPr>
          <w:rFonts w:ascii="Times New Roman" w:hAnsi="Times New Roman" w:cs="Times New Roman"/>
        </w:rPr>
      </w:pPr>
      <w:r>
        <w:rPr>
          <w:rFonts w:cs="Times New Roman" w:ascii="Times New Roman" w:hAnsi="Times New Roman"/>
        </w:rPr>
      </w:r>
    </w:p>
    <w:p>
      <w:pPr>
        <w:pStyle w:val="Heading5"/>
        <w:ind w:start="0" w:end="0"/>
        <w:rPr/>
      </w:pPr>
      <w:r>
        <w:rPr/>
        <w:t>Conclusion</w:t>
      </w:r>
    </w:p>
    <w:p>
      <w:pPr>
        <w:pStyle w:val="Normal"/>
        <w:tabs>
          <w:tab w:val="clear" w:pos="540"/>
        </w:tabs>
        <w:suppressAutoHyphens w:val="true"/>
        <w:ind w:firstLine="90" w:end="0"/>
        <w:jc w:val="both"/>
        <w:rPr>
          <w:rFonts w:ascii="Times New Roman" w:hAnsi="Times New Roman" w:cs="Times New Roman"/>
          <w:b/>
          <w:bCs/>
          <w:u w:val="single"/>
        </w:rPr>
      </w:pPr>
      <w:r>
        <w:rPr>
          <w:rFonts w:cs="Times New Roman" w:ascii="Times New Roman" w:hAnsi="Times New Roman"/>
          <w:b/>
          <w:bCs/>
          <w:u w:val="single"/>
        </w:rPr>
      </w:r>
    </w:p>
    <w:p>
      <w:pPr>
        <w:pStyle w:val="BodyTextIndent3"/>
        <w:ind w:start="0" w:end="0"/>
        <w:rPr/>
      </w:pPr>
      <w:r>
        <w:rPr/>
        <w:t>Please advise if you are in agreement with recommending to management that the Company move forward with Option 2 in order to address the Plan issue.  Additionally, provide us with your comments, if any, to the attached Assignment Agreement.</w:t>
      </w:r>
    </w:p>
    <w:sectPr>
      <w:headerReference w:type="default" r:id="rId3"/>
      <w:headerReference w:type="first" r:id="rId4"/>
      <w:footerReference w:type="default" r:id="rId5"/>
      <w:footerReference w:type="first" r:id="rId6"/>
      <w:type w:val="nextPage"/>
      <w:pgSz w:w="12240" w:h="15840"/>
      <w:pgMar w:left="108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lockText"/>
      <w:tabs>
        <w:tab w:val="clear" w:pos="540"/>
        <w:tab w:val="left" w:pos="-720" w:leader="none"/>
      </w:tabs>
      <w:rPr>
        <w:b/>
        <w:sz w:val="16"/>
      </w:rPr>
    </w:pPr>
    <w:r>
      <w:rPr>
        <w:b/>
        <w:sz w:val="16"/>
      </w:rPr>
    </w:r>
  </w:p>
  <w:p>
    <w:pPr>
      <w:pStyle w:val="BlockText"/>
      <w:tabs>
        <w:tab w:val="left" w:pos="-720" w:leader="none"/>
        <w:tab w:val="left" w:pos="540" w:leader="none"/>
        <w:tab w:val="left" w:pos="3780" w:leader="none"/>
        <w:tab w:val="center" w:pos="7560" w:leader="none"/>
        <w:tab w:val="right" w:pos="10800" w:leader="none"/>
      </w:tabs>
      <w:ind w:start="0" w:end="144"/>
      <w:rPr>
        <w:sz w:val="12"/>
      </w:rPr>
    </w:pPr>
    <w:r>
      <w:rPr>
        <w:sz w:val="16"/>
      </w:rPr>
      <w:t>3499mhc.doc</w:t>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lockText"/>
      <w:tabs>
        <w:tab w:val="left" w:pos="-720" w:leader="none"/>
        <w:tab w:val="left" w:pos="540" w:leader="none"/>
        <w:tab w:val="left" w:pos="3780" w:leader="none"/>
        <w:tab w:val="center" w:pos="7560" w:leader="none"/>
        <w:tab w:val="right" w:pos="10800" w:leader="none"/>
      </w:tabs>
      <w:rPr>
        <w:sz w:val="16"/>
      </w:rPr>
    </w:pPr>
    <w:r>
      <w:rPr>
        <w:sz w:val="16"/>
      </w:rPr>
    </w:r>
  </w:p>
  <w:p>
    <w:pPr>
      <w:pStyle w:val="BlockText"/>
      <w:tabs>
        <w:tab w:val="left" w:pos="-720" w:leader="none"/>
        <w:tab w:val="left" w:pos="540" w:leader="none"/>
        <w:tab w:val="left" w:pos="3780" w:leader="none"/>
        <w:tab w:val="center" w:pos="7560" w:leader="none"/>
        <w:tab w:val="right" w:pos="10800" w:leader="none"/>
      </w:tabs>
      <w:ind w:start="0" w:end="144"/>
      <w:rPr>
        <w:sz w:val="12"/>
      </w:rPr>
    </w:pPr>
    <w:r>
      <w:rPr>
        <w:sz w:val="12"/>
      </w:rPr>
      <w:t>3499mhc.doc</w:t>
    </w:r>
  </w:p>
  <w:p>
    <w:pPr>
      <w:pStyle w:val="BlockText"/>
      <w:tabs>
        <w:tab w:val="left" w:pos="-720" w:leader="none"/>
        <w:tab w:val="left" w:pos="540" w:leader="none"/>
        <w:tab w:val="left" w:pos="3780" w:leader="none"/>
        <w:tab w:val="center" w:pos="756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Memo Re Enron Corp. Deferral Plan</w:t>
    </w:r>
  </w:p>
  <w:p>
    <w:pPr>
      <w:pStyle w:val="Header"/>
      <w:rPr>
        <w:rFonts w:ascii="Times New Roman" w:hAnsi="Times New Roman" w:cs="Times New Roman"/>
        <w:sz w:val="20"/>
      </w:rPr>
    </w:pPr>
    <w:r>
      <w:rPr>
        <w:rFonts w:cs="Times New Roman" w:ascii="Times New Roman" w:hAnsi="Times New Roman"/>
        <w:sz w:val="20"/>
      </w:rPr>
      <w:t>July 17, 2000</w:t>
    </w:r>
  </w:p>
  <w:p>
    <w:pPr>
      <w:pStyle w:val="Header"/>
      <w:rPr>
        <w:rFonts w:ascii="Times New Roman" w:hAnsi="Times New Roman" w:cs="Times New Roman"/>
        <w:sz w:val="20"/>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3819525</wp:posOffset>
              </wp:positionH>
              <wp:positionV relativeFrom="paragraph">
                <wp:posOffset>-227965</wp:posOffset>
              </wp:positionV>
              <wp:extent cx="3834765" cy="826770"/>
              <wp:effectExtent l="0" t="0" r="0" b="0"/>
              <wp:wrapSquare wrapText="bothSides"/>
              <wp:docPr id="2" name="Frame1"/>
              <a:graphic xmlns:a="http://schemas.openxmlformats.org/drawingml/2006/main">
                <a:graphicData uri="http://schemas.microsoft.com/office/word/2010/wordprocessingShape">
                  <wps:wsp>
                    <wps:cNvSpPr txBox="1"/>
                    <wps:spPr>
                      <a:xfrm>
                        <a:off x="0" y="0"/>
                        <a:ext cx="3834765" cy="826770"/>
                      </a:xfrm>
                      <a:prstGeom prst="rect"/>
                      <a:solidFill>
                        <a:srgbClr val="FFFFFF">
                          <a:alpha val="0"/>
                        </a:srgbClr>
                      </a:solidFill>
                    </wps:spPr>
                    <wps:txbx>
                      <w:txbxContent>
                        <w:p>
                          <w:pPr>
                            <w:pStyle w:val="Heading1"/>
                            <w:ind w:start="1530" w:end="0"/>
                            <w:rPr>
                              <w:rFonts w:ascii="Times New Roman" w:hAnsi="Times New Roman" w:cs="Times New Roman"/>
                              <w:sz w:val="28"/>
                            </w:rPr>
                          </w:pPr>
                          <w:r>
                            <w:rPr>
                              <w:rFonts w:cs="Times New Roman" w:ascii="Times New Roman" w:hAnsi="Times New Roman"/>
                              <w:sz w:val="28"/>
                            </w:rPr>
                            <w:t>Interoffice Memorandum</w:t>
                          </w:r>
                        </w:p>
                        <w:p>
                          <w:pPr>
                            <w:pStyle w:val="BodyTextIndent2"/>
                            <w:ind w:start="1530" w:end="0"/>
                            <w:rPr>
                              <w:rFonts w:ascii="Times New Roman" w:hAnsi="Times New Roman" w:cs="Times New Roman"/>
                              <w:sz w:val="28"/>
                            </w:rPr>
                          </w:pPr>
                          <w:r>
                            <w:rPr>
                              <w:rFonts w:cs="Times New Roman" w:ascii="Times New Roman" w:hAnsi="Times New Roman"/>
                              <w:sz w:val="28"/>
                            </w:rPr>
                            <w:t>Confidential/Attorney Client</w:t>
                          </w:r>
                        </w:p>
                        <w:p>
                          <w:pPr>
                            <w:pStyle w:val="Normal"/>
                            <w:ind w:start="1530" w:end="0"/>
                            <w:rPr>
                              <w:rFonts w:ascii="Times New Roman" w:hAnsi="Times New Roman" w:cs="Times New Roman"/>
                              <w:b/>
                              <w:sz w:val="28"/>
                            </w:rPr>
                          </w:pPr>
                          <w:r>
                            <w:rPr>
                              <w:rFonts w:cs="Times New Roman" w:ascii="Times New Roman" w:hAnsi="Times New Roman"/>
                              <w:b/>
                              <w:sz w:val="28"/>
                            </w:rPr>
                            <w:t xml:space="preserve">Communication And Work </w:t>
                          </w:r>
                          <w:r>
                            <w:rPr>
                              <w:rFonts w:cs="Times New Roman" w:ascii="Times New Roman" w:hAnsi="Times New Roman"/>
                              <w:b/>
                              <w:sz w:val="28"/>
                            </w:rPr>
                            <w:t xml:space="preserve">Product  </w:t>
                          </w:r>
                        </w:p>
                      </w:txbxContent>
                    </wps:txbx>
                    <wps:bodyPr anchor="t" lIns="0" tIns="0" rIns="0" bIns="0">
                      <a:noAutofit/>
                    </wps:bodyPr>
                  </wps:wsp>
                </a:graphicData>
              </a:graphic>
            </wp:anchor>
          </w:drawing>
        </mc:Choice>
        <mc:Fallback>
          <w:pict>
            <v:rect fillcolor="#FFFFFF" style="position:absolute;rotation:-0;width:301.95pt;height:65.1pt;mso-wrap-distance-left:9.35pt;mso-wrap-distance-right:9.35pt;mso-wrap-distance-top:0pt;mso-wrap-distance-bottom:0pt;margin-top:-17.95pt;mso-position-vertical-relative:text;margin-left:300.75pt;mso-position-horizontal-relative:page">
              <v:fill opacity="0f"/>
              <v:textbox inset="0in,0in,0in,0in">
                <w:txbxContent>
                  <w:p>
                    <w:pPr>
                      <w:pStyle w:val="Heading1"/>
                      <w:ind w:start="1530" w:end="0"/>
                      <w:rPr>
                        <w:rFonts w:ascii="Times New Roman" w:hAnsi="Times New Roman" w:cs="Times New Roman"/>
                        <w:sz w:val="28"/>
                      </w:rPr>
                    </w:pPr>
                    <w:r>
                      <w:rPr>
                        <w:rFonts w:cs="Times New Roman" w:ascii="Times New Roman" w:hAnsi="Times New Roman"/>
                        <w:sz w:val="28"/>
                      </w:rPr>
                      <w:t>Interoffice Memorandum</w:t>
                    </w:r>
                  </w:p>
                  <w:p>
                    <w:pPr>
                      <w:pStyle w:val="BodyTextIndent2"/>
                      <w:ind w:start="1530" w:end="0"/>
                      <w:rPr>
                        <w:rFonts w:ascii="Times New Roman" w:hAnsi="Times New Roman" w:cs="Times New Roman"/>
                        <w:sz w:val="28"/>
                      </w:rPr>
                    </w:pPr>
                    <w:r>
                      <w:rPr>
                        <w:rFonts w:cs="Times New Roman" w:ascii="Times New Roman" w:hAnsi="Times New Roman"/>
                        <w:sz w:val="28"/>
                      </w:rPr>
                      <w:t>Confidential/Attorney Client</w:t>
                    </w:r>
                  </w:p>
                  <w:p>
                    <w:pPr>
                      <w:pStyle w:val="Normal"/>
                      <w:ind w:start="1530" w:end="0"/>
                      <w:rPr>
                        <w:rFonts w:ascii="Times New Roman" w:hAnsi="Times New Roman" w:cs="Times New Roman"/>
                        <w:b/>
                        <w:sz w:val="28"/>
                      </w:rPr>
                    </w:pPr>
                    <w:r>
                      <w:rPr>
                        <w:rFonts w:cs="Times New Roman" w:ascii="Times New Roman" w:hAnsi="Times New Roman"/>
                        <w:b/>
                        <w:sz w:val="28"/>
                      </w:rPr>
                      <w:t xml:space="preserve">Communication And Work </w:t>
                    </w:r>
                    <w:r>
                      <w:rPr>
                        <w:rFonts w:cs="Times New Roman" w:ascii="Times New Roman" w:hAnsi="Times New Roman"/>
                        <w:b/>
                        <w:sz w:val="28"/>
                      </w:rPr>
                      <w:t xml:space="preserve">Product  </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2160" w:end="0"/>
      <w:outlineLvl w:val="0"/>
    </w:pPr>
    <w:rPr>
      <w:b/>
      <w:sz w:val="32"/>
    </w:rPr>
  </w:style>
  <w:style w:type="paragraph" w:styleId="Heading2">
    <w:name w:val="heading 2"/>
    <w:basedOn w:val="Normal"/>
    <w:next w:val="Normal"/>
    <w:qFormat/>
    <w:pPr>
      <w:keepNext w:val="true"/>
      <w:numPr>
        <w:ilvl w:val="1"/>
        <w:numId w:val="1"/>
      </w:numPr>
      <w:tabs>
        <w:tab w:val="left" w:pos="-720" w:leader="none"/>
        <w:tab w:val="left" w:pos="540" w:leader="none"/>
      </w:tabs>
      <w:suppressAutoHyphens w:val="true"/>
      <w:ind w:hanging="0" w:start="720" w:end="144"/>
      <w:jc w:val="both"/>
      <w:outlineLvl w:val="1"/>
    </w:pPr>
    <w:rPr>
      <w:rFonts w:ascii="Times New Roman" w:hAnsi="Times New Roman" w:cs="Times New Roman"/>
      <w:b/>
      <w:bCs/>
      <w:sz w:val="28"/>
    </w:rPr>
  </w:style>
  <w:style w:type="paragraph" w:styleId="Heading3">
    <w:name w:val="heading 3"/>
    <w:basedOn w:val="Normal"/>
    <w:next w:val="Footer"/>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Normal"/>
    <w:next w:val="Normal"/>
    <w:qFormat/>
    <w:pPr>
      <w:keepNext w:val="true"/>
      <w:numPr>
        <w:ilvl w:val="3"/>
        <w:numId w:val="1"/>
      </w:numPr>
      <w:tabs>
        <w:tab w:val="left" w:pos="-720" w:leader="none"/>
        <w:tab w:val="left" w:pos="540" w:leader="none"/>
      </w:tabs>
      <w:suppressAutoHyphens w:val="true"/>
      <w:jc w:val="both"/>
      <w:outlineLvl w:val="3"/>
    </w:pPr>
    <w:rPr>
      <w:rFonts w:ascii="Times New Roman" w:hAnsi="Times New Roman" w:cs="Times New Roman"/>
      <w:b/>
      <w:bCs/>
      <w:u w:val="single"/>
    </w:rPr>
  </w:style>
  <w:style w:type="paragraph" w:styleId="Heading5">
    <w:name w:val="heading 5"/>
    <w:basedOn w:val="Normal"/>
    <w:next w:val="Normal"/>
    <w:qFormat/>
    <w:pPr>
      <w:keepNext w:val="true"/>
      <w:numPr>
        <w:ilvl w:val="4"/>
        <w:numId w:val="1"/>
      </w:numPr>
      <w:tabs>
        <w:tab w:val="clear" w:pos="540"/>
      </w:tabs>
      <w:suppressAutoHyphens w:val="true"/>
      <w:ind w:hanging="0" w:start="540" w:end="0"/>
      <w:jc w:val="both"/>
      <w:outlineLvl w:val="4"/>
    </w:pPr>
    <w:rPr>
      <w:rFonts w:ascii="Times New Roman" w:hAnsi="Times New Roman" w:cs="Times New Roman"/>
      <w:b/>
      <w:bCs/>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s>
      <w:suppressAutoHyphens w:val="true"/>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ind w:hanging="0" w:start="3600" w:end="0"/>
    </w:pPr>
    <w:rPr>
      <w:b/>
      <w:sz w:val="3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lockText">
    <w:name w:val="Block Text"/>
    <w:basedOn w:val="Normal"/>
    <w:qFormat/>
    <w:pPr>
      <w:tabs>
        <w:tab w:val="left" w:pos="-720" w:leader="none"/>
        <w:tab w:val="left" w:pos="540" w:leader="none"/>
      </w:tabs>
      <w:suppressAutoHyphens w:val="true"/>
      <w:ind w:hanging="0" w:start="720" w:end="144"/>
      <w:jc w:val="both"/>
    </w:pPr>
    <w:rPr>
      <w:rFonts w:ascii="Times New Roman" w:hAnsi="Times New Roman" w:cs="Times New Roman"/>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ind w:hanging="0" w:start="720" w:end="0"/>
      <w:jc w:val="both"/>
    </w:pPr>
    <w:rPr>
      <w:rFonts w:ascii="Times New Roman" w:hAnsi="Times New Roman" w:cs="Times New Roman"/>
    </w:rPr>
  </w:style>
  <w:style w:type="paragraph" w:styleId="BodyTextIndent2">
    <w:name w:val="Body Text Indent 2"/>
    <w:basedOn w:val="Normal"/>
    <w:qFormat/>
    <w:pPr>
      <w:ind w:hanging="0" w:start="2160" w:end="0"/>
    </w:pPr>
    <w:rPr>
      <w:b/>
      <w:sz w:val="32"/>
    </w:rPr>
  </w:style>
  <w:style w:type="paragraph" w:styleId="BodyTextIndent3">
    <w:name w:val="Body Text Indent 3"/>
    <w:basedOn w:val="Normal"/>
    <w:qFormat/>
    <w:pPr>
      <w:tabs>
        <w:tab w:val="clear" w:pos="540"/>
      </w:tabs>
      <w:suppressAutoHyphens w:val="true"/>
      <w:ind w:hanging="0" w:start="63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2000-06-28T13:42:00Z</dcterms:created>
  <dc:creator>Enron</dc:creator>
  <dc:description/>
  <dc:language>en-CA</dc:language>
  <cp:lastModifiedBy>tsweet</cp:lastModifiedBy>
  <cp:lastPrinted>2000-07-18T17:53:00Z</cp:lastPrinted>
  <dcterms:modified xsi:type="dcterms:W3CDTF">2000-07-18T20:24:00Z</dcterms:modified>
  <cp:revision>22</cp:revision>
  <dc:subject/>
  <dc:title> </dc:title>
</cp:coreProperties>
</file>