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06/26/00</w:t>
      </w:r>
    </w:p>
    <w:p>
      <w:pPr>
        <w:pStyle w:val="Normal"/>
        <w:jc w:val="end"/>
        <w:rPr>
          <w:b/>
          <w:sz w:val="22"/>
          <w:u w:val="single"/>
        </w:rPr>
      </w:pPr>
      <w:r>
        <w:rPr>
          <w:b/>
          <w:sz w:val="22"/>
          <w:u w:val="single"/>
        </w:rPr>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February 1,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sz w:val="22"/>
              </w:rPr>
            </w:pPr>
            <w:r>
              <w:rPr>
                <w:b/>
                <w:sz w:val="22"/>
              </w:rPr>
              <w:t>THE OSPRAIE PORTFOLIO LTD., a company incorporated under the law of the Cayman Islands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Enron Corp., but only to the extent that Enron Corp. is a Credit Support Provider;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as amended will apply to Party A, and will apply to Party B.  Section 5(a)(vi) is hereby amended by deleting in the seventh line thereof, the words “, or becoming capable at such time of being declared,”.</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numPr>
          <w:ilvl w:val="0"/>
          <w:numId w:val="3"/>
        </w:numPr>
        <w:tabs>
          <w:tab w:val="clear" w:pos="720"/>
          <w:tab w:val="left" w:pos="0" w:leader="none"/>
        </w:tabs>
        <w:spacing w:lineRule="exact" w:line="240" w:before="240" w:after="0"/>
        <w:ind w:firstLine="720" w:start="0" w:end="0"/>
        <w:jc w:val="both"/>
        <w:rPr>
          <w:sz w:val="22"/>
        </w:rPr>
      </w:pPr>
      <w:r>
        <w:rPr>
          <w:sz w:val="22"/>
        </w:rPr>
        <w:t xml:space="preserve">(i)  The </w:t>
      </w:r>
      <w:r>
        <w:rPr>
          <w:b/>
          <w:sz w:val="22"/>
        </w:rPr>
        <w:t>“Credit Event Upon Merger”</w:t>
      </w:r>
      <w:r>
        <w:rPr>
          <w:sz w:val="22"/>
        </w:rPr>
        <w:t xml:space="preserve"> provisions of Section 5(b)(iv) as amended below will apply to Party A and to Party B.</w:t>
      </w:r>
    </w:p>
    <w:p>
      <w:pPr>
        <w:pStyle w:val="Justified"/>
        <w:widowControl/>
        <w:spacing w:lineRule="exact" w:line="240" w:before="240" w:after="0"/>
        <w:ind w:firstLine="1440" w:end="0"/>
        <w:rPr/>
      </w:pPr>
      <w:r>
        <w:rPr>
          <w:rFonts w:cs="Times New Roman" w:ascii="Times New Roman" w:hAnsi="Times New Roman"/>
        </w:rPr>
        <w:t>(ii) Section 5(b)(iv) is hereby amended by:  (I) deleting in the fourth line thereof the words “another entity” and replacing them with the words “or reorganizes, incorporates, reincorporates, reconstitutes, or reforms into or as, or receives all or substantially all of the assets and/or liabilities or obligations of, another entity or X, such Credit Support Provider, or such Specified Entity, as the case may be, effects a recapitalization, liquidating dividend, leveraged buy-out, other similar highly-leveraged transaction, or stock buy-back or similar call on equity,”; (II) deleting in the fifth line thereof the words “the resulting, surviving or transferee” and replacing them with the words “X, such Credit Support Provider, or such Specified Entity, as the case may be, or any resulting, surviving, transferee, reorganized, reconstituted, reformed, or recapitalized”; and (III) deleting in the seventh line thereof the words “its successor or transferee” and replacing them with the words “any resulting, surviving, transferee, reorganized, reconstituted, reformed, or recapitalized”; and (IV) adding the following phrase between the closing parenthesis and the semicolon at the end thereof:  “</w:t>
      </w:r>
      <w:r>
        <w:rPr>
          <w:rFonts w:cs="Times New Roman" w:ascii="Times New Roman" w:hAnsi="Times New Roman"/>
          <w:u w:val="single"/>
        </w:rPr>
        <w:t>provided</w:t>
      </w:r>
      <w:r>
        <w:rPr>
          <w:rFonts w:cs="Times New Roman" w:ascii="Times New Roman" w:hAnsi="Times New Roman"/>
        </w:rPr>
        <w:t xml:space="preserve">, </w:t>
      </w:r>
      <w:r>
        <w:rPr>
          <w:rFonts w:cs="Times New Roman" w:ascii="Times New Roman" w:hAnsi="Times New Roman"/>
          <w:u w:val="single"/>
        </w:rPr>
        <w:t>however</w:t>
      </w:r>
      <w:r>
        <w:rPr>
          <w:rFonts w:cs="Times New Roman" w:ascii="Times New Roman" w:hAnsi="Times New Roman"/>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cs="Times New Roman" w:ascii="Times New Roman" w:hAnsi="Times New Roman"/>
          <w:u w:val="single"/>
        </w:rPr>
        <w:t>Annex A</w:t>
      </w:r>
      <w:r>
        <w:rPr>
          <w:rFonts w:cs="Times New Roman" w:ascii="Times New Roman" w:hAnsi="Times New Roman"/>
        </w:rPr>
        <w:t xml:space="preserve">, but it shall be otherwise administered under </w:t>
      </w:r>
      <w:r>
        <w:rPr>
          <w:rFonts w:cs="Times New Roman" w:ascii="Times New Roman" w:hAnsi="Times New Roman"/>
          <w:u w:val="single"/>
        </w:rPr>
        <w:t>Annex A</w:t>
      </w:r>
      <w:r>
        <w:rPr>
          <w:rFonts w:cs="Times New Roman" w:ascii="Times New Roman" w:hAnsi="Times New Roman"/>
        </w:rPr>
        <w:t>.”</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rPr>
      </w:pPr>
      <w:r>
        <w:rPr>
          <w:sz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rPr>
      </w:pPr>
      <w:r>
        <w:rPr>
          <w:sz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rPr>
      </w:pPr>
      <w:r>
        <w:rPr>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 or that is not eligible for the “safe harbor” provided by Section 861 of the Internal Revenue Code with respect to trading in stocks, securities and certain commodities.</w:t>
      </w:r>
    </w:p>
    <w:p>
      <w:pPr>
        <w:pStyle w:val="Normal"/>
        <w:spacing w:lineRule="exact" w:line="240" w:before="240" w:after="0"/>
        <w:ind w:start="720" w:end="0"/>
        <w:jc w:val="both"/>
        <w:rPr>
          <w:sz w:val="22"/>
        </w:rPr>
      </w:pPr>
      <w:r>
        <w:rPr>
          <w:sz w:val="22"/>
        </w:rPr>
        <w:t>With respect to such Transactions, each payment received or to be received by it in connection with this Agreement will be effectively connected with its conduct of a trade or business in the United States.</w:t>
      </w:r>
      <w:r>
        <w:br w:type="page"/>
      </w:r>
    </w:p>
    <w:p>
      <w:pPr>
        <w:pStyle w:val="Normal"/>
        <w:spacing w:lineRule="exact" w:line="240" w:before="240" w:after="0"/>
        <w:ind w:hanging="720" w:start="720" w:end="0"/>
        <w:jc w:val="both"/>
        <w:rPr>
          <w:b/>
          <w:sz w:val="22"/>
        </w:rPr>
      </w:pPr>
      <w:r>
        <w:rPr>
          <w:b/>
          <w:sz w:val="22"/>
        </w:rPr>
        <w:t>Part 3.</w:t>
        <w:tab/>
        <w:t>Agreement to Deliver Documents</w:t>
      </w:r>
    </w:p>
    <w:p>
      <w:pPr>
        <w:pStyle w:val="Normal"/>
        <w:spacing w:lineRule="exact" w:line="240" w:before="240" w:after="0"/>
        <w:jc w:val="both"/>
        <w:rPr>
          <w:sz w:val="22"/>
        </w:rPr>
      </w:pPr>
      <w:r>
        <w:rPr>
          <w:sz w:val="22"/>
        </w:rPr>
        <w:t>For the purpose of Section 4(a), the Tax forms, documents, or certificates to be delivered are:</w:t>
      </w:r>
    </w:p>
    <w:p>
      <w:pPr>
        <w:pStyle w:val="Normal"/>
        <w:numPr>
          <w:ilvl w:val="0"/>
          <w:numId w:val="4"/>
        </w:numPr>
        <w:spacing w:lineRule="exact" w:line="240" w:before="240" w:after="0"/>
        <w:jc w:val="both"/>
        <w:rPr>
          <w:sz w:val="22"/>
        </w:rPr>
      </w:pPr>
      <w:r>
        <w:rPr>
          <w:sz w:val="22"/>
        </w:rPr>
        <w:t xml:space="preserve">Party A agrees to complete (accurately and in a manner reasonably satisfactory to Party B), execute, and deliver to Party B, United States Internal Revenue Service Form W-9, or any successor form:  (i) before the first Scheduled Payment Date under this Agreement, (ii) before the first Scheduled Payment Date of each successive taxable year of Party A, (iii) promptly upon reasonable demand by Party B, and (iv) promptly upon learning that any such form previously provided by Party A has become obsolete or incorrect. </w:t>
      </w:r>
    </w:p>
    <w:p>
      <w:pPr>
        <w:pStyle w:val="Normal"/>
        <w:numPr>
          <w:ilvl w:val="0"/>
          <w:numId w:val="4"/>
        </w:numPr>
        <w:spacing w:lineRule="exact" w:line="240" w:before="240" w:after="0"/>
        <w:jc w:val="both"/>
        <w:rPr>
          <w:sz w:val="22"/>
        </w:rPr>
      </w:pPr>
      <w:r>
        <w:rPr>
          <w:sz w:val="22"/>
        </w:rPr>
        <w:t>Party B agrees to complete (accurately and in a manner reasonably satisfactory to Party A), execute and deliver to Party A a United States Internal Revenue Form W-BEN,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Justified"/>
        <w:widowControl/>
        <w:spacing w:lineRule="exact" w:line="240" w:before="240" w:after="0"/>
        <w:rPr/>
      </w:pPr>
      <w:r>
        <w:rPr/>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its first three fiscal quarters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Unaudited monthly report of Party B</w:t>
            </w:r>
          </w:p>
        </w:tc>
        <w:tc>
          <w:tcPr>
            <w:tcW w:w="2340" w:type="dxa"/>
            <w:tcBorders/>
          </w:tcPr>
          <w:p>
            <w:pPr>
              <w:pStyle w:val="Normal"/>
              <w:spacing w:lineRule="atLeast" w:line="240" w:before="240" w:after="0"/>
              <w:jc w:val="both"/>
              <w:rPr>
                <w:sz w:val="22"/>
              </w:rPr>
            </w:pPr>
            <w:r>
              <w:rPr>
                <w:sz w:val="22"/>
              </w:rPr>
              <w:t>Promptly following demand by Party A</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Legal opinion in form and substance of Attachment 1 hereto</w:t>
            </w:r>
          </w:p>
        </w:tc>
        <w:tc>
          <w:tcPr>
            <w:tcW w:w="2340" w:type="dxa"/>
            <w:tcBorders/>
          </w:tcPr>
          <w:p>
            <w:pPr>
              <w:pStyle w:val="Normal"/>
              <w:spacing w:lineRule="atLeast" w:line="240" w:before="240" w:after="0"/>
              <w:jc w:val="both"/>
              <w:rPr>
                <w:sz w:val="22"/>
              </w:rPr>
            </w:pPr>
            <w:r>
              <w:rPr>
                <w:sz w:val="22"/>
              </w:rPr>
              <w:t>Within 30 days following the execution of this Master Agreement</w:t>
            </w:r>
          </w:p>
        </w:tc>
        <w:tc>
          <w:tcPr>
            <w:tcW w:w="1926" w:type="dxa"/>
            <w:tcBorders/>
          </w:tcPr>
          <w:p>
            <w:pPr>
              <w:pStyle w:val="Normal"/>
              <w:spacing w:lineRule="atLeast" w:line="240" w:before="240" w:after="0"/>
              <w:jc w:val="both"/>
              <w:rPr>
                <w:sz w:val="22"/>
              </w:rPr>
            </w:pPr>
            <w:r>
              <w:rPr>
                <w:sz w:val="22"/>
              </w:rPr>
              <w:t>No</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The Ospraie Portfolio Ltd.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c/o Tudor Investment Corporation</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1275 King Street</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Greenwich, Connecticut  06831</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Operations</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(203) 863-8695</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(203) 863-6700</w:t>
            </w:r>
          </w:p>
        </w:tc>
      </w:tr>
    </w:tbl>
    <w:p>
      <w:pPr>
        <w:pStyle w:val="Justified"/>
        <w:widowControl/>
        <w:tabs>
          <w:tab w:val="left" w:pos="720" w:leader="none"/>
          <w:tab w:val="left" w:pos="1440" w:leader="none"/>
          <w:tab w:val="left" w:pos="5472" w:leader="dot"/>
          <w:tab w:val="right" w:pos="9360" w:leader="dot"/>
        </w:tabs>
        <w:spacing w:lineRule="exact" w:line="240" w:before="240" w:after="0"/>
        <w:rPr>
          <w:rFonts w:ascii="Times New Roman" w:hAnsi="Times New Roman" w:cs="Times New Roman"/>
        </w:rPr>
      </w:pPr>
      <w:r>
        <w:rPr>
          <w:rFonts w:cs="Times New Roman" w:ascii="Times New Roman" w:hAnsi="Times New Roman"/>
        </w:rPr>
        <w:t>Copies of all notices or communications pursuant to Sections 5, 6 and 7 and all legal notices or communications shall also be given to:</w:t>
      </w:r>
    </w:p>
    <w:p>
      <w:pPr>
        <w:pStyle w:val="Heading2"/>
        <w:rPr>
          <w:rFonts w:ascii="Times New Roman" w:hAnsi="Times New Roman" w:cs="Times New Roman"/>
        </w:rPr>
      </w:pPr>
      <w:r>
        <w:rPr>
          <w:rFonts w:cs="Times New Roman" w:ascii="Times New Roman" w:hAnsi="Times New Roman"/>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Tudor Investment Corporation</w:t>
            </w:r>
          </w:p>
          <w:p>
            <w:pPr>
              <w:pStyle w:val="Normal"/>
              <w:keepNext w:val="true"/>
              <w:tabs>
                <w:tab w:val="clear" w:pos="720"/>
                <w:tab w:val="left" w:pos="3762" w:leader="none"/>
                <w:tab w:val="left" w:pos="4230" w:leader="none"/>
                <w:tab w:val="left" w:pos="9360" w:leader="none"/>
              </w:tabs>
              <w:spacing w:lineRule="exact" w:line="240"/>
              <w:jc w:val="both"/>
              <w:rPr/>
            </w:pPr>
            <w:r>
              <w:rPr>
                <w:sz w:val="22"/>
              </w:rPr>
              <w:t>One Liberty Plaza, 51</w:t>
            </w:r>
            <w:r>
              <w:rPr>
                <w:sz w:val="22"/>
                <w:vertAlign w:val="superscript"/>
              </w:rPr>
              <w:t>st</w:t>
            </w:r>
            <w:r>
              <w:rPr>
                <w:sz w:val="22"/>
              </w:rPr>
              <w:t xml:space="preserve"> Floor</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New York, New York  10006</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General Counsel</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(212) 406-3282</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(203) 602-6704</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 </w:t>
      </w:r>
      <w:r>
        <w:rPr>
          <w:sz w:val="22"/>
          <w:u w:val="single"/>
        </w:rPr>
        <w:t>provided</w:t>
      </w:r>
      <w:r>
        <w:rPr>
          <w:sz w:val="22"/>
        </w:rPr>
        <w:t xml:space="preserve">, </w:t>
      </w:r>
      <w:r>
        <w:rPr>
          <w:sz w:val="22"/>
          <w:u w:val="single"/>
        </w:rPr>
        <w:t>however</w:t>
      </w:r>
      <w:r>
        <w:rPr>
          <w:sz w:val="22"/>
        </w:rPr>
        <w:t>, that all calculations and determinations made by the Calculation Agent are subject to review and concurrence by Party B.  If Party A and Party B disagree with respect to any calculation or determination, Party A and Party B each will appoint an independent Reference Market-maker, and such two Reference Market-makers jointly will appoint a third Reference Market-maker.  Such three Reference Market-makers jointly will make such calculation or determination (acting as experts and not as arbitrators), whose calculation or determination will be binding and conclusive absent manifest error.  In addition, if at any time a Potential Event of Default, Event of Default, or Termination Event occurs or exists with respect to Party A, then Party B will act as the Calculation Agent or will appoint a third party to act as Calculation Agent.</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13(b)(i) shall apply and Section 13(b)(ii) is hereby deleted in its entirety and replaced with the following:</w:t>
      </w:r>
    </w:p>
    <w:p>
      <w:pPr>
        <w:pStyle w:val="Normal"/>
        <w:spacing w:lineRule="exact" w:line="240" w:before="240" w:after="0"/>
        <w:ind w:firstLine="720" w:start="720" w:end="0"/>
        <w:jc w:val="both"/>
        <w:rPr/>
      </w:pPr>
      <w:r>
        <w:rPr>
          <w:sz w:val="22"/>
        </w:rPr>
        <w:tab/>
        <w:t>(b)</w:t>
        <w:tab/>
      </w:r>
      <w:r>
        <w:rPr>
          <w:b/>
          <w:sz w:val="22"/>
        </w:rPr>
        <w:t>Jurisdiction.</w:t>
      </w:r>
      <w:r>
        <w:rPr>
          <w:sz w:val="22"/>
        </w:rPr>
        <w:t xml:space="preserve">  With respect to any suit, action, claim or proceeding relating to this Agreement (“Proceedings”), neither party (i) waives any objection which it may have at any time to the laying of venue of any Proceedings brought in any such court, (ii) waives any claim that such Proceedings have been brought in an inconvenient forum, or (iii) waives the right to object, with respect to such Proceedings, that such court does not have any jurisdiction over such party.</w:t>
      </w:r>
    </w:p>
    <w:p>
      <w:pPr>
        <w:pStyle w:val="Normal"/>
        <w:tabs>
          <w:tab w:val="left" w:pos="720" w:leader="none"/>
        </w:tabs>
        <w:spacing w:lineRule="exact" w:line="240" w:before="240" w:after="0"/>
        <w:ind w:firstLine="720" w:start="720" w:end="0"/>
        <w:jc w:val="both"/>
        <w:rPr>
          <w:sz w:val="22"/>
        </w:rPr>
      </w:pPr>
      <w:r>
        <w:rPr>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before="240" w:after="0"/>
        <w:ind w:firstLine="1440" w:start="720" w:end="0"/>
        <w:jc w:val="both"/>
        <w:rPr/>
      </w:pPr>
      <w:r>
        <w:rPr>
          <w:sz w:val="22"/>
        </w:rPr>
        <w:t>(c)</w:t>
        <w:tab/>
      </w:r>
      <w:r>
        <w:rPr>
          <w:b/>
          <w:sz w:val="22"/>
        </w:rPr>
        <w:t>Waiver of Jury Trial.</w:t>
      </w:r>
      <w:r>
        <w:rPr>
          <w:sz w:val="22"/>
        </w:rPr>
        <w:t xml:space="preserve">  Each party irrevocably waives any and all right to trial by jury with respect to any Proceeding arising out of or relating to this Agreement, any Credit Support Document, or any Transaction. </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 </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BodyTextIndent3"/>
        <w:widowControl/>
        <w:spacing w:before="240" w:after="0"/>
        <w:rPr/>
      </w:pPr>
      <w:r>
        <w:rPr/>
        <w:t>(k)</w:t>
        <w:tab/>
      </w:r>
      <w:r>
        <w:rPr>
          <w:b/>
        </w:rPr>
        <w:t>ERISA Representation.</w:t>
      </w:r>
      <w:r>
        <w:rPr/>
        <w:t xml:space="preserve">  Party B represents to Party A that, with respect to each source of funds to be used by it to enter into Transactions (the "Source"), the Source is not the assets of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BodyTextIndent3"/>
        <w:widowControl/>
        <w:spacing w:before="240" w:after="0"/>
        <w:rPr/>
      </w:pPr>
      <w:r>
        <w:rPr/>
      </w:r>
    </w:p>
    <w:p>
      <w:pPr>
        <w:pStyle w:val="Normal"/>
        <w:ind w:firstLine="720" w:end="0"/>
        <w:jc w:val="both"/>
        <w:rPr/>
      </w:pPr>
      <w:r>
        <w:rPr>
          <w:sz w:val="22"/>
        </w:rPr>
        <w:t>(c)</w:t>
        <w:tab/>
      </w:r>
      <w:r>
        <w:rPr>
          <w:b/>
          <w:sz w:val="22"/>
        </w:rPr>
        <w:t>Additional Representations of Party A.</w:t>
      </w:r>
      <w:r>
        <w:rPr>
          <w:sz w:val="22"/>
        </w:rPr>
        <w:t xml:space="preserve">  For the purpose of Section 3 of the Agreement, Party A further represents and warrants to Party B (which representations will be deemed repeated by Party A on each date on which a Transaction is entered into) that:</w:t>
      </w:r>
    </w:p>
    <w:p>
      <w:pPr>
        <w:pStyle w:val="Normal"/>
        <w:ind w:firstLine="720" w:end="0"/>
        <w:rPr>
          <w:sz w:val="22"/>
        </w:rPr>
      </w:pPr>
      <w:r>
        <w:rPr>
          <w:sz w:val="22"/>
        </w:rPr>
      </w:r>
    </w:p>
    <w:p>
      <w:pPr>
        <w:pStyle w:val="Normal"/>
        <w:spacing w:lineRule="exact" w:line="240" w:before="240" w:after="0"/>
        <w:ind w:start="720" w:end="0"/>
        <w:jc w:val="both"/>
        <w:rPr>
          <w:sz w:val="22"/>
        </w:rPr>
      </w:pPr>
      <w:r>
        <w:rPr>
          <w:sz w:val="22"/>
        </w:rPr>
        <w:t>With respect to Options, Party A  is a producer, processor, commercial user of, or merchant handling, the commodity subject to the Transaction or the products or byproducts thereof, and is entering into each Option Transaction solely for purposes related to its business as such.</w:t>
      </w:r>
    </w:p>
    <w:p>
      <w:pPr>
        <w:pStyle w:val="BodyText2"/>
        <w:widowControl/>
        <w:spacing w:lineRule="auto" w:line="240"/>
        <w:ind w:end="720"/>
        <w:rPr>
          <w:sz w:val="22"/>
        </w:rPr>
      </w:pPr>
      <w:r>
        <w:rPr>
          <w:sz w:val="22"/>
        </w:rPr>
      </w:r>
    </w:p>
    <w:p>
      <w:pPr>
        <w:pStyle w:val="Normal"/>
        <w:ind w:firstLine="720" w:end="0"/>
        <w:jc w:val="both"/>
        <w:rPr>
          <w:sz w:val="22"/>
        </w:rPr>
      </w:pPr>
      <w:r>
        <w:rPr>
          <w:sz w:val="22"/>
        </w:rPr>
      </w:r>
    </w:p>
    <w:p>
      <w:pPr>
        <w:pStyle w:val="Normal"/>
        <w:ind w:firstLine="720" w:end="0"/>
        <w:jc w:val="both"/>
        <w:rPr/>
      </w:pPr>
      <w:r>
        <w:rPr>
          <w:sz w:val="22"/>
        </w:rPr>
        <w:t>(d)</w:t>
        <w:tab/>
      </w:r>
      <w:r>
        <w:rPr>
          <w:b/>
          <w:sz w:val="22"/>
        </w:rPr>
        <w:t>Additional Representations of Party B.</w:t>
      </w:r>
      <w:r>
        <w:rPr>
          <w:sz w:val="22"/>
        </w:rPr>
        <w:t xml:space="preserve">  For the purpose of Section 3 of the Agreement, Party B further represents and warrants to Party A (which representations will be deemed repeated by Party B on each date on which a Transaction is entered into) that:</w:t>
      </w:r>
    </w:p>
    <w:p>
      <w:pPr>
        <w:pStyle w:val="Normal"/>
        <w:ind w:firstLine="720" w:end="0"/>
        <w:rPr>
          <w:sz w:val="22"/>
        </w:rPr>
      </w:pPr>
      <w:r>
        <w:rPr>
          <w:sz w:val="22"/>
        </w:rPr>
      </w:r>
    </w:p>
    <w:p>
      <w:pPr>
        <w:pStyle w:val="BodyText2"/>
        <w:widowControl/>
        <w:spacing w:lineRule="auto" w:line="240"/>
        <w:ind w:end="720"/>
        <w:rPr/>
      </w:pPr>
      <w:r>
        <w:rPr/>
        <w:t>This Agreement and each Transaction hereunder are not prohibited investments under Party B’s Confidential Offering Memorandum.</w:t>
      </w:r>
    </w:p>
    <w:p>
      <w:pPr>
        <w:pStyle w:val="Normal"/>
        <w:spacing w:lineRule="exact" w:line="240" w:before="240" w:after="0"/>
        <w:ind w:firstLine="720" w:end="0"/>
        <w:jc w:val="both"/>
        <w:rPr/>
      </w:pPr>
      <w:r>
        <w:rPr>
          <w:sz w:val="22"/>
        </w:rPr>
        <w:t>(e)</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(f)</w:t>
        <w:tab/>
      </w:r>
      <w:r>
        <w:rPr>
          <w:b/>
          <w:sz w:val="22"/>
        </w:rPr>
        <w:t>Definitions and Addenda.</w:t>
      </w:r>
      <w:r>
        <w:rPr>
          <w:sz w:val="22"/>
        </w:rPr>
        <w:t xml:space="preserve">  Reference is made to the 1991 ISDA Definitions (as amended by the 1998 ISDA Supplement) (collectively, the “1991 Definitions”), the 1998 FX and Currency Option Definitions (the “FX Definitions”), the 1996 ISDA Equity Derivatives Definitions (the “Equity Definitions”), the 1993 ISDA Commodity Derivatives Definitions and the 2000 Supplement to the 1993 ISDA Commodity Derivatives Defintions (the “Commodity Definitions”), and the 1999 ISDA Credit Derivatives Definitions (the “Credit Definitions”), each as published by the International Swaps and Derivatives Association, Inc., which are incorporated by reference herein and made part hereof.  Unless specified otherwise in a Confirmation, any capitalized terms used and not otherwise defined in this Agreement or in such Confirmation that are contained in the 1991 Definitions, the FX Definitions, the Equity Definitions, the Commodity Definitions, or the Credit Definitions will have the meanings given such terms in such Definitions (without regard to any amendments or supplements thereto subsequent to the date hereof).  For these purposes, (i) all references in the 1991 Definitions to a “Swap Transaction” and all references in the FX Definitions to an “FX Transaction” or “Currency Option” will be deemed to be references to Transactions under this Agreement, and (ii) all references in the 1991 Definitions to a “Business Day” will be deemed to be references to a Local Business Day under this Agreement.  Subject to Section 1(b):  (I) in the event of any inconsistency between the 1991 Definitions and the FX Definitions, the FX Definitions will prevail with respect to an FX Transaction or a Currency Option, and the 1991 Definitions will prevail with respect to all other Transactions; (II) in the event of any inconsistency between the provisions of this Agreement and the 1991 Definitions, the FX Definitions, the Equity Definitions, the Commodity Definitions, or the Credit Definitions, the provisions of this Agreement will prevail; and (III) any definitions included or incorporated by reference in a Confirmation will prevail over the provisions of this Agreement, the 1991 Definitions, the FX Definitions, the Equity Definitions, the Commodity Definitions, and the Credit Definitions.</w:t>
      </w:r>
    </w:p>
    <w:p>
      <w:pPr>
        <w:pStyle w:val="Normal"/>
        <w:spacing w:lineRule="exact" w:line="240" w:before="240" w:after="0"/>
        <w:ind w:firstLine="720" w:end="0"/>
        <w:jc w:val="both"/>
        <w:rPr/>
      </w:pPr>
      <w:r>
        <w:rPr>
          <w:sz w:val="22"/>
        </w:rPr>
        <w:t>(g)</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within five Local Business Days.  If any dispute shall arise as to whether an error exists in a Confirmation, the parties shall in good faith make reasonable efforts to resolve the dispute.  The requirement of this Section and elsewhere in this Agreement that the parties exchange Confirmations shall for all purposes be deemed satisfied by a Confirmation sent and an acknowledgment given as provided herein.”</w:t>
      </w:r>
    </w:p>
    <w:p>
      <w:pPr>
        <w:pStyle w:val="Normal"/>
        <w:spacing w:lineRule="exact" w:line="240"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(i)</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(j)</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(k)</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(iv) as may be furnished to the disclosing party’s Affiliates, and to each of such person’s auditors, attorneys, advisors or lenders which are required to keep the information that is disclosed in confidence; or (v) as the parties may otherwise agree in writing.</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(l)</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Upon notice in writing to Party B, Party A may transfer its rights and obligations under this Agreement, in whole but not in part, to any Affiliate so long as the obligations of such Affiliate are guaranteed by Enron Corp. pursuant to a guaranty substantially similar to the one provided on behalf of Party A, and provided that such transfer will not give rise to adverse tax consequences to Party B or to a Termination Event or an Event of Default, and the proposed transfer would not adversely affect Party B’s existing netting or setoff rights under this Agreement or  under applicable law.</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Party B may transfer its rights and obligations under this Agreement, in whole but not in part, with the prior written consent of Party A, such consent not to be unreasonably withheld.”</w:t>
      </w:r>
    </w:p>
    <w:p>
      <w:pPr>
        <w:pStyle w:val="Normal"/>
        <w:spacing w:lineRule="exact" w:line="240" w:before="240" w:after="0"/>
        <w:ind w:firstLine="720" w:end="0"/>
        <w:jc w:val="both"/>
        <w:rPr/>
      </w:pPr>
      <w:r>
        <w:rPr>
          <w:sz w:val="22"/>
        </w:rPr>
        <w:t>(m)</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(n)</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(o)</w:t>
        <w:tab/>
      </w:r>
      <w:r>
        <w:rPr>
          <w:b/>
          <w:sz w:val="22"/>
        </w:rPr>
        <w:t>Additional Definitions.</w:t>
      </w:r>
      <w:r>
        <w:rPr>
          <w:sz w:val="22"/>
        </w:rPr>
        <w:t xml:space="preserve">  Section 14 is hereby amended by inserting the following definition in alphabetical order:</w:t>
      </w:r>
    </w:p>
    <w:p>
      <w:pPr>
        <w:pStyle w:val="Normal"/>
        <w:spacing w:lineRule="exact" w:line="240"/>
        <w:ind w:firstLine="720" w:end="0"/>
        <w:jc w:val="both"/>
        <w:rPr>
          <w:b/>
          <w:sz w:val="22"/>
        </w:rPr>
      </w:pPr>
      <w:r>
        <w:rPr>
          <w:b/>
          <w:sz w:val="22"/>
        </w:rPr>
      </w:r>
    </w:p>
    <w:p>
      <w:pPr>
        <w:pStyle w:val="Normal"/>
        <w:spacing w:lineRule="exact" w:line="240"/>
        <w:ind w:start="720" w:end="0"/>
        <w:jc w:val="both"/>
        <w:rPr/>
      </w:pPr>
      <w:r>
        <w:rPr>
          <w:b/>
          <w:sz w:val="22"/>
        </w:rPr>
        <w:t>“</w:t>
      </w:r>
      <w:r>
        <w:rPr>
          <w:b/>
          <w:sz w:val="22"/>
        </w:rPr>
        <w:t>Confidential Offering Memorandum”</w:t>
      </w:r>
      <w:r>
        <w:rPr>
          <w:sz w:val="22"/>
        </w:rPr>
        <w:t xml:space="preserve"> means Party B’s investment objectives, restrictions and guidelines as set forth in Party B’s Confidential Offering Memorandum which incorporates the use of derivative products, including swaps, options and other Transactions.</w:t>
      </w:r>
    </w:p>
    <w:p>
      <w:pPr>
        <w:pStyle w:val="Normal"/>
        <w:spacing w:lineRule="exact" w:line="240"/>
        <w:ind w:start="720" w:end="0"/>
        <w:jc w:val="both"/>
        <w:rPr>
          <w:b/>
          <w:sz w:val="22"/>
        </w:rPr>
      </w:pPr>
      <w:r>
        <w:rPr>
          <w:b/>
          <w:sz w:val="22"/>
        </w:rPr>
      </w:r>
    </w:p>
    <w:p>
      <w:pPr>
        <w:pStyle w:val="Normal"/>
        <w:spacing w:lineRule="exact" w:line="240"/>
        <w:ind w:firstLine="720" w:end="0"/>
        <w:jc w:val="both"/>
        <w:rPr/>
      </w:pPr>
      <w:r>
        <w:rPr>
          <w:sz w:val="22"/>
        </w:rPr>
        <w:t>(p)</w:t>
        <w:tab/>
      </w:r>
      <w:r>
        <w:rPr>
          <w:b/>
          <w:sz w:val="22"/>
        </w:rPr>
        <w:t>Accuracy of Specified Information.</w:t>
      </w:r>
      <w:r>
        <w:rPr>
          <w:sz w:val="22"/>
        </w:rPr>
        <w:t xml:space="preserve">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spacing w:lineRule="exact" w:line="240"/>
        <w:ind w:firstLine="720" w:end="0"/>
        <w:jc w:val="both"/>
        <w:rPr>
          <w:b/>
          <w:sz w:val="22"/>
        </w:rPr>
      </w:pPr>
      <w:r>
        <w:rPr>
          <w:b/>
          <w:sz w:val="22"/>
        </w:rPr>
      </w:r>
    </w:p>
    <w:p>
      <w:pPr>
        <w:pStyle w:val="Normal"/>
        <w:spacing w:lineRule="exact" w:line="240"/>
        <w:ind w:firstLine="720" w:end="0"/>
        <w:jc w:val="both"/>
        <w:rPr/>
      </w:pPr>
      <w:r>
        <w:rPr>
          <w:sz w:val="22"/>
        </w:rPr>
        <w:t>(q)</w:t>
        <w:tab/>
      </w:r>
      <w:r>
        <w:rPr>
          <w:b/>
          <w:sz w:val="22"/>
        </w:rPr>
        <w:t>“Affiliate”.</w:t>
      </w:r>
      <w:r>
        <w:rPr>
          <w:sz w:val="22"/>
        </w:rPr>
        <w:t xml:space="preserve">  Notwithstanding any inconsistent or contrary provision of this Agreement, the Credit Support Annex, or any Confirmation, Party B will be deemed not to have any Affiliates.</w:t>
      </w:r>
    </w:p>
    <w:p>
      <w:pPr>
        <w:pStyle w:val="Normal"/>
        <w:spacing w:lineRule="exact" w:line="240"/>
        <w:ind w:firstLine="720" w:end="0"/>
        <w:jc w:val="both"/>
        <w:rPr>
          <w:sz w:val="22"/>
        </w:rPr>
      </w:pPr>
      <w:r>
        <w:rPr>
          <w:sz w:val="22"/>
        </w:rPr>
      </w:r>
    </w:p>
    <w:p>
      <w:pPr>
        <w:pStyle w:val="Normal"/>
        <w:tabs>
          <w:tab w:val="left" w:pos="720" w:leader="none"/>
          <w:tab w:val="left" w:pos="1440" w:leader="none"/>
        </w:tabs>
        <w:jc w:val="both"/>
        <w:rPr/>
      </w:pPr>
      <w:r>
        <w:rPr>
          <w:sz w:val="22"/>
        </w:rPr>
        <w:tab/>
        <w:t>(r)</w:t>
        <w:tab/>
      </w:r>
      <w:r>
        <w:rPr>
          <w:b/>
          <w:bCs/>
          <w:sz w:val="22"/>
        </w:rPr>
        <w:t>Entire Agreement.</w:t>
      </w:r>
      <w:r>
        <w:rPr>
          <w:sz w:val="22"/>
        </w:rPr>
        <w:t xml:space="preserve">  Section 9(a) is deleted in its entirety and replaced with the following:</w:t>
      </w:r>
    </w:p>
    <w:p>
      <w:pPr>
        <w:pStyle w:val="Normal"/>
        <w:jc w:val="both"/>
        <w:rPr>
          <w:sz w:val="22"/>
        </w:rPr>
      </w:pPr>
      <w:r>
        <w:rPr>
          <w:sz w:val="22"/>
        </w:rPr>
      </w:r>
      <w:r>
        <w:br w:type="page"/>
      </w:r>
    </w:p>
    <w:p>
      <w:pPr>
        <w:pStyle w:val="Normal"/>
        <w:ind w:start="720" w:end="0"/>
        <w:jc w:val="both"/>
        <w:rPr>
          <w:sz w:val="22"/>
        </w:rPr>
      </w:pPr>
      <w:r>
        <w:rPr>
          <w:b/>
          <w:bCs/>
          <w:sz w:val="22"/>
        </w:rPr>
        <w:t>“</w:t>
      </w:r>
      <w:r>
        <w:rPr>
          <w:b/>
          <w:bCs/>
          <w:sz w:val="22"/>
        </w:rPr>
        <w:t>Other Agreements; Integration.</w:t>
      </w:r>
    </w:p>
    <w:p>
      <w:pPr>
        <w:pStyle w:val="Normal"/>
        <w:ind w:start="720" w:end="0"/>
        <w:jc w:val="both"/>
        <w:rPr>
          <w:sz w:val="22"/>
        </w:rPr>
      </w:pPr>
      <w:r>
        <w:rPr>
          <w:sz w:val="22"/>
        </w:rPr>
      </w:r>
    </w:p>
    <w:p>
      <w:pPr>
        <w:pStyle w:val="BodyTextIndent"/>
        <w:numPr>
          <w:ilvl w:val="1"/>
          <w:numId w:val="2"/>
        </w:numPr>
        <w:tabs>
          <w:tab w:val="clear" w:pos="720"/>
        </w:tabs>
        <w:ind w:hanging="720" w:start="1440" w:end="0"/>
        <w:rPr/>
      </w:pPr>
      <w:r>
        <w:rPr/>
        <w:t>Notwithstanding any inconsistent or contrary provision of this Agreement, the following will be applicable.  Any existing Master Agreement, Interest Rate and Currency Exchange Agreement, Interest Rate Swap Agreement, Swap Agreement, International Foreign Exchange Master Agreement, International Foreign Exchange and Options Master Agreement, International Currency Options Market Master Agreement, and other agreements similar to any of the foregoing (including confirmations and other confirming evidences thereunder or pursuant thereto) into which the parties have entered are superseded and replaced by this Agreement.  Any transaction into which the parties may enter and in respect of which the confirmation or other confirming evidence refers to or incorporates any of the above</w:t>
        <w:noBreakHyphen/>
        <w:t>referenced agreements will be governed by this Agreement in all circumstances except where the parties expressly agree that this provision will not apply.  Each such transaction will be deemed to be a Transaction, and each such confirmation or other confirming evidence will be deemed to be a Confirmation, for purposes of this Agreement.</w:t>
      </w:r>
    </w:p>
    <w:p>
      <w:pPr>
        <w:pStyle w:val="BodyTextIndent"/>
        <w:rPr/>
      </w:pPr>
      <w:r>
        <w:rPr/>
      </w:r>
    </w:p>
    <w:p>
      <w:pPr>
        <w:pStyle w:val="BodyTextIndent"/>
        <w:numPr>
          <w:ilvl w:val="1"/>
          <w:numId w:val="2"/>
        </w:numPr>
        <w:tabs>
          <w:tab w:val="clear" w:pos="720"/>
        </w:tabs>
        <w:ind w:hanging="720" w:start="1440" w:end="0"/>
        <w:rPr/>
      </w:pPr>
      <w:r>
        <w:rPr/>
        <w:t>This Agreement, this Schedule, any Credit Support Document, all Confirmations, and the above</w:t>
        <w:noBreakHyphen/>
        <w:t>described agreements and confirmations and other confirming evidences thereunder or pursuant thereto collectively constitute the entire agreement and understanding of the parties with respect to the subject matter hereof and thereof, and supersede all oral communications and prior writings with respect hereto and thereto.</w:t>
      </w:r>
    </w:p>
    <w:p>
      <w:pPr>
        <w:pStyle w:val="BodyTextIndent"/>
        <w:ind w:start="0" w:end="0"/>
        <w:rPr/>
      </w:pPr>
      <w:r>
        <w:rPr/>
      </w:r>
    </w:p>
    <w:p>
      <w:pPr>
        <w:pStyle w:val="BodyTextIndent"/>
        <w:tabs>
          <w:tab w:val="clear" w:pos="720"/>
          <w:tab w:val="left" w:pos="1440" w:leader="none"/>
        </w:tabs>
        <w:ind w:hanging="720" w:start="1440" w:end="0"/>
        <w:rPr/>
      </w:pPr>
      <w:r>
        <w:rPr/>
        <w:t>(iii)</w:t>
        <w:tab/>
        <w:t>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and the 2000 Supplement to 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pPr>
      <w:r>
        <w:rPr>
          <w:sz w:val="22"/>
        </w:rPr>
        <w:tab/>
        <w:t>(iv)</w:t>
        <w:tab/>
        <w:t xml:space="preserve">The Relevant Price will be determined and calculated as set forth in the definition of “Commodity-Reference Dealers”. Notwithstanding any reference to the number of Specified Prices in such definition, Party A and Party B shall each obtain in good faith a quotation from a leading dealer in the relevant market and the price for that Pricing Date will be the arithmetic mean of the Specified Prices; </w:t>
      </w:r>
      <w:r>
        <w:rPr>
          <w:sz w:val="22"/>
          <w:u w:val="single"/>
        </w:rPr>
        <w:t>provided</w:t>
      </w:r>
      <w:r>
        <w:rPr>
          <w:sz w:val="22"/>
        </w:rPr>
        <w:t>, that if Party B is unable to obtain a quotation or fails to designate a Reference Dealer within three Local Business Days after Party A’s request, than Party A shall in good faith, provide a substitute quotation from a leading dealer.</w:t>
      </w:r>
    </w:p>
    <w:p>
      <w:pPr>
        <w:pStyle w:val="Normal"/>
        <w:tabs>
          <w:tab w:val="clear" w:pos="720"/>
          <w:tab w:val="left" w:pos="1350" w:leader="none"/>
        </w:tabs>
        <w:spacing w:before="480" w:after="0"/>
        <w:ind w:firstLine="86" w:end="0"/>
        <w:jc w:val="both"/>
        <w:rPr>
          <w:sz w:val="22"/>
        </w:rPr>
      </w:pPr>
      <w:r>
        <w:rPr>
          <w:b/>
          <w:sz w:val="22"/>
        </w:rPr>
        <w:t>Part 7.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 xml:space="preserve">Amendments to FX Definitions.  </w:t>
      </w: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rPr>
          <w:sz w:val="22"/>
        </w:rPr>
      </w:pPr>
      <w:r>
        <w:rPr>
          <w:sz w:val="22"/>
        </w:rPr>
      </w:r>
    </w:p>
    <w:p>
      <w:pPr>
        <w:pStyle w:val="Header"/>
        <w:widowControl/>
        <w:rPr/>
      </w:pPr>
      <w:r>
        <w:rPr/>
      </w:r>
    </w:p>
    <w:p>
      <w:pPr>
        <w:pStyle w:val="Header"/>
        <w:widowControl/>
        <w:rPr/>
      </w:pPr>
      <w:r>
        <w:rPr/>
      </w:r>
      <w:r>
        <w:br w:type="page"/>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b/>
                <w:sz w:val="22"/>
              </w:rPr>
            </w:pPr>
            <w:r>
              <w:rPr>
                <w:b/>
                <w:sz w:val="22"/>
              </w:rPr>
            </w:r>
          </w:p>
          <w:p>
            <w:pPr>
              <w:pStyle w:val="Normal"/>
              <w:keepNext w:val="true"/>
              <w:spacing w:lineRule="exact" w:line="240"/>
              <w:jc w:val="both"/>
              <w:rPr>
                <w:b/>
                <w:sz w:val="22"/>
              </w:rPr>
            </w:pPr>
            <w:r>
              <w:rPr>
                <w:b/>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sz w:val="22"/>
              </w:rPr>
              <w:t>THE OSPRAIE PORTFOLIO LTD.</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t>By:</w:t>
              <w:tab/>
              <w:t>Tudor Investment Corporation,</w:t>
            </w:r>
          </w:p>
          <w:p>
            <w:pPr>
              <w:pStyle w:val="Normal"/>
              <w:keepNext w:val="true"/>
              <w:spacing w:lineRule="exact" w:line="240"/>
              <w:jc w:val="both"/>
              <w:rPr>
                <w:sz w:val="22"/>
              </w:rPr>
            </w:pPr>
            <w:r>
              <w:rPr>
                <w:sz w:val="22"/>
              </w:rPr>
              <w:tab/>
              <w:t>Investment Advisor</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ab/>
              <w:t>By:</w:t>
            </w:r>
            <w:r>
              <w:rPr>
                <w:sz w:val="22"/>
                <w:u w:val="single"/>
              </w:rPr>
              <w:tab/>
              <w:tab/>
              <w:tab/>
              <w:tab/>
              <w:tab/>
            </w:r>
          </w:p>
          <w:p>
            <w:pPr>
              <w:pStyle w:val="Normal"/>
              <w:keepNext w:val="true"/>
              <w:spacing w:lineRule="exact" w:line="240"/>
              <w:jc w:val="both"/>
              <w:rPr>
                <w:sz w:val="22"/>
              </w:rPr>
            </w:pPr>
            <w:r>
              <w:rPr>
                <w:sz w:val="22"/>
              </w:rPr>
              <w:tab/>
              <w:t>Name:</w:t>
            </w:r>
            <w:r>
              <w:rPr>
                <w:sz w:val="22"/>
                <w:u w:val="single"/>
              </w:rPr>
              <w:tab/>
              <w:tab/>
              <w:tab/>
              <w:tab/>
              <w:tab/>
            </w:r>
          </w:p>
          <w:p>
            <w:pPr>
              <w:pStyle w:val="Normal"/>
              <w:keepNext w:val="true"/>
              <w:spacing w:lineRule="exact" w:line="240"/>
              <w:jc w:val="both"/>
              <w:rPr/>
            </w:pPr>
            <w:r>
              <w:rPr>
                <w:sz w:val="22"/>
              </w:rPr>
              <w:tab/>
              <w:t>Title:</w:t>
            </w:r>
            <w:r>
              <w:rPr>
                <w:sz w:val="22"/>
                <w:u w:val="single"/>
              </w:rPr>
              <w:tab/>
              <w:tab/>
              <w:tab/>
              <w:tab/>
              <w:tab/>
            </w:r>
          </w:p>
          <w:p>
            <w:pPr>
              <w:pStyle w:val="Normal"/>
              <w:keepNext w:val="true"/>
              <w:spacing w:lineRule="exact" w:line="240"/>
              <w:jc w:val="both"/>
              <w:rPr>
                <w:sz w:val="22"/>
              </w:rPr>
            </w:pPr>
            <w:r>
              <w:rPr>
                <w:sz w:val="22"/>
              </w:rPr>
              <w:tab/>
              <w:t>Date:</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 w:val="left" w:pos="2880" w:leader="none"/>
        </w:tabs>
        <w:spacing w:lineRule="exact" w:line="240"/>
        <w:ind w:hanging="2880" w:start="2880" w:end="0"/>
        <w:jc w:val="both"/>
        <w:rPr>
          <w:sz w:val="22"/>
        </w:rPr>
      </w:pPr>
      <w:r>
        <w:rPr>
          <w:sz w:val="22"/>
        </w:rPr>
        <w:t>ATTACHMENT 1</w:t>
        <w:tab/>
        <w:t>FORM OF LEGAL OPINION (PARTY B)</w:t>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9"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Heading1"/>
        <w:ind w:hanging="0" w:start="0"/>
        <w:rPr>
          <w:color w:val="000000"/>
        </w:rPr>
      </w:pPr>
      <w:r>
        <w:rPr>
          <w:color w:val="000000"/>
        </w:rPr>
        <w:t>LEGAL OPINION</w:t>
      </w:r>
    </w:p>
    <w:p>
      <w:pPr>
        <w:pStyle w:val="Normal"/>
        <w:rPr>
          <w:color w:val="000000"/>
          <w:sz w:val="22"/>
        </w:rPr>
      </w:pPr>
      <w:r>
        <w:rPr>
          <w:color w:val="000000"/>
          <w:sz w:val="22"/>
        </w:rPr>
      </w:r>
    </w:p>
    <w:p>
      <w:pPr>
        <w:pStyle w:val="Normal"/>
        <w:jc w:val="center"/>
        <w:rPr>
          <w:sz w:val="22"/>
        </w:rPr>
      </w:pPr>
      <w:r>
        <w:rPr>
          <w:sz w:val="22"/>
        </w:rPr>
        <w:t>[Letterhead of</w:t>
      </w:r>
    </w:p>
    <w:p>
      <w:pPr>
        <w:pStyle w:val="Normal"/>
        <w:jc w:val="center"/>
        <w:rPr>
          <w:sz w:val="22"/>
        </w:rPr>
      </w:pPr>
      <w:r>
        <w:rPr>
          <w:sz w:val="22"/>
        </w:rPr>
        <w:t>Counsel to Counterparty]</w:t>
      </w:r>
    </w:p>
    <w:p>
      <w:pPr>
        <w:pStyle w:val="Heading1"/>
        <w:ind w:hanging="0" w:start="0"/>
        <w:rPr>
          <w:bCs/>
          <w:color w:val="000000"/>
        </w:rPr>
      </w:pPr>
      <w:r>
        <w:rPr>
          <w:bCs/>
          <w:color w:val="000000"/>
        </w:rPr>
        <w:t>ATTACHMENT 1</w:t>
      </w:r>
    </w:p>
    <w:p>
      <w:pPr>
        <w:pStyle w:val="Normal"/>
        <w:jc w:val="center"/>
        <w:rPr>
          <w:bCs/>
          <w:color w:val="000000"/>
          <w:sz w:val="22"/>
        </w:rPr>
      </w:pPr>
      <w:r>
        <w:rPr>
          <w:bCs/>
          <w:color w:val="000000"/>
          <w:sz w:val="22"/>
        </w:rPr>
      </w:r>
    </w:p>
    <w:p>
      <w:pPr>
        <w:pStyle w:val="Normal"/>
        <w:jc w:val="center"/>
        <w:rPr>
          <w:sz w:val="22"/>
        </w:rPr>
      </w:pPr>
      <w:r>
        <w:rPr>
          <w:sz w:val="22"/>
        </w:rPr>
        <w:t>[Date]</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Enron North America Corp.</w:t>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r>
    </w:p>
    <w:p>
      <w:pPr>
        <w:pStyle w:val="Normal"/>
        <w:rPr>
          <w:sz w:val="22"/>
        </w:rPr>
      </w:pPr>
      <w:r>
        <w:rPr>
          <w:sz w:val="22"/>
        </w:rPr>
        <w:t>Dear Sir or Madam:</w:t>
      </w:r>
    </w:p>
    <w:p>
      <w:pPr>
        <w:pStyle w:val="Normal"/>
        <w:rPr>
          <w:sz w:val="22"/>
        </w:rPr>
      </w:pPr>
      <w:r>
        <w:rPr>
          <w:sz w:val="22"/>
        </w:rPr>
      </w:r>
    </w:p>
    <w:p>
      <w:pPr>
        <w:pStyle w:val="Normal"/>
        <w:ind w:firstLine="1440" w:end="0"/>
        <w:jc w:val="both"/>
        <w:rPr>
          <w:sz w:val="22"/>
        </w:rPr>
      </w:pPr>
      <w:r>
        <w:rPr>
          <w:sz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rPr>
      </w:pPr>
      <w:r>
        <w:rPr>
          <w:sz w:val="22"/>
        </w:rPr>
      </w:r>
    </w:p>
    <w:p>
      <w:pPr>
        <w:pStyle w:val="Normal"/>
        <w:jc w:val="both"/>
        <w:rPr>
          <w:sz w:val="22"/>
        </w:rPr>
      </w:pPr>
      <w:r>
        <w:rPr>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sz w:val="22"/>
        </w:rPr>
      </w:pPr>
      <w:r>
        <w:rPr>
          <w:sz w:val="22"/>
        </w:rPr>
      </w:r>
    </w:p>
    <w:p>
      <w:pPr>
        <w:pStyle w:val="Normal"/>
        <w:jc w:val="both"/>
        <w:rPr>
          <w:sz w:val="22"/>
        </w:rPr>
      </w:pPr>
      <w:r>
        <w:rPr>
          <w:sz w:val="22"/>
        </w:rPr>
        <w:tab/>
        <w:tab/>
        <w:t>Based upon the foregoing and having regard for such legal considerations as we deem relevant, we are of opinion that:</w:t>
      </w:r>
    </w:p>
    <w:p>
      <w:pPr>
        <w:pStyle w:val="Normal"/>
        <w:jc w:val="both"/>
        <w:rPr>
          <w:sz w:val="22"/>
        </w:rPr>
      </w:pPr>
      <w:r>
        <w:rPr>
          <w:sz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1.  The Counterparty is a [__________________] duly existing under the laws of [________________].</w:t>
      </w:r>
    </w:p>
    <w:p>
      <w:pPr>
        <w:pStyle w:val="Normal"/>
        <w:tabs>
          <w:tab w:val="clear" w:pos="720"/>
          <w:tab w:val="left" w:pos="1440" w:leader="none"/>
        </w:tabs>
        <w:jc w:val="both"/>
        <w:rPr>
          <w:rFonts w:ascii="Times New Roman" w:hAnsi="Times New Roman" w:cs="Times New Roman"/>
          <w:sz w:val="22"/>
        </w:rPr>
      </w:pPr>
      <w:r>
        <w:rPr>
          <w:rFonts w:cs="Times New Roman"/>
          <w:sz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rPr>
      </w:pPr>
      <w:r>
        <w:rPr>
          <w:rFonts w:cs="Times New Roman"/>
          <w:sz w:val="22"/>
        </w:rPr>
      </w:r>
    </w:p>
    <w:p>
      <w:pPr>
        <w:pStyle w:val="Normal"/>
        <w:tabs>
          <w:tab w:val="clear" w:pos="720"/>
          <w:tab w:val="left" w:pos="1440" w:leader="none"/>
        </w:tabs>
        <w:jc w:val="both"/>
        <w:rPr>
          <w:sz w:val="22"/>
        </w:rPr>
      </w:pPr>
      <w:r>
        <w:rPr>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rPr>
      </w:pPr>
      <w:r>
        <w:rPr>
          <w:sz w:val="22"/>
        </w:rPr>
      </w:r>
    </w:p>
    <w:p>
      <w:pPr>
        <w:pStyle w:val="Normal"/>
        <w:tabs>
          <w:tab w:val="clear" w:pos="720"/>
          <w:tab w:val="left" w:pos="1440" w:leader="none"/>
        </w:tabs>
        <w:rPr>
          <w:sz w:val="22"/>
        </w:rPr>
      </w:pPr>
      <w:r>
        <w:rPr>
          <w:sz w:val="22"/>
        </w:rPr>
      </w:r>
    </w:p>
    <w:p>
      <w:pPr>
        <w:pStyle w:val="Normal"/>
        <w:keepNext w:val="true"/>
        <w:jc w:val="end"/>
        <w:rPr>
          <w:sz w:val="22"/>
        </w:rPr>
      </w:pPr>
      <w:r>
        <w:rPr>
          <w:sz w:val="22"/>
        </w:rPr>
        <w:t>Very truly yours</w:t>
        <w:tab/>
        <w:tab/>
        <w:tab/>
      </w:r>
    </w:p>
    <w:p>
      <w:pPr>
        <w:pStyle w:val="Normal"/>
        <w:keepNext w:val="true"/>
        <w:jc w:val="end"/>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2"/>
        </w:rPr>
      </w:pPr>
      <w:r>
        <w:rPr>
          <w:sz w:val="22"/>
        </w:rPr>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February 1,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sz w:val="22"/>
              </w:rPr>
            </w:pPr>
            <w:r>
              <w:rPr>
                <w:b/>
                <w:sz w:val="22"/>
              </w:rPr>
              <w:t>THE OSPRAIE PORTFOLIO LTD., a company incorporated under the law of the Cayman Islands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 xml:space="preserve">“Credit Support Amount” </w:t>
      </w:r>
      <w:r>
        <w:rPr>
          <w:bCs/>
          <w:sz w:val="22"/>
        </w:rPr>
        <w:t>has the meaning specified in Paragraph 3.</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1440" w:end="0"/>
        <w:jc w:val="both"/>
        <w:rPr>
          <w:sz w:val="22"/>
        </w:rPr>
      </w:pPr>
      <w:r>
        <w:rPr>
          <w:sz w:val="22"/>
        </w:rPr>
      </w:r>
    </w:p>
    <w:p>
      <w:pPr>
        <w:pStyle w:val="Normal"/>
        <w:ind w:start="720" w:end="0"/>
        <w:jc w:val="both"/>
        <w:rPr/>
      </w:pPr>
      <w:r>
        <w:rPr>
          <w:sz w:val="22"/>
        </w:rPr>
        <w:t xml:space="preserve">(iii)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sz w:val="22"/>
        </w:rPr>
        <w:t xml:space="preserve">(B)  </w:t>
      </w:r>
      <w:r>
        <w:rPr>
          <w:b/>
          <w:sz w:val="22"/>
        </w:rPr>
        <w:t>“Threshold”</w:t>
      </w:r>
      <w:r>
        <w:rPr>
          <w:sz w:val="22"/>
        </w:rPr>
        <w:t xml:space="preserve"> means with respect to Party A, zero, and with respect to Party B, zero.</w:t>
      </w:r>
    </w:p>
    <w:p>
      <w:pPr>
        <w:pStyle w:val="Normal"/>
        <w:ind w:start="72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$10,000 and the Return Amount will be rounded down to the nearest integral multiple of U.S. $10,000.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if such event shall be continuing after the lapse of the grace period described in Section 6(b)(ii)</w:t>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 if such event shall be continuing after the lapse of the grace period described in Section 6(b)(iii)</w:t>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w:t>
      </w:r>
    </w:p>
    <w:p>
      <w:pPr>
        <w:pStyle w:val="Normal"/>
        <w:ind w:start="1080" w:end="0"/>
        <w:jc w:val="both"/>
        <w:rPr>
          <w:sz w:val="22"/>
        </w:rPr>
      </w:pPr>
      <w:r>
        <w:rPr>
          <w:sz w:val="22"/>
        </w:rPr>
      </w:r>
    </w:p>
    <w:p>
      <w:pPr>
        <w:pStyle w:val="BodyTextIndent"/>
        <w:numPr>
          <w:ilvl w:val="0"/>
          <w:numId w:val="5"/>
        </w:numPr>
        <w:tabs>
          <w:tab w:val="clear" w:pos="720"/>
          <w:tab w:val="left" w:pos="1080" w:leader="none"/>
          <w:tab w:val="left" w:pos="1440" w:leader="none"/>
        </w:tabs>
        <w:ind w:hanging="0" w:start="1080" w:end="0"/>
        <w:rPr/>
      </w:pPr>
      <w:r>
        <w:rPr/>
        <w:t>Posted Collateral may be held only in the following jurisdictions:  Any jurisdiction within the United States.</w:t>
      </w:r>
    </w:p>
    <w:p>
      <w:pPr>
        <w:pStyle w:val="BodyTextIndent"/>
        <w:rPr/>
      </w:pPr>
      <w:r>
        <w:rPr/>
      </w:r>
    </w:p>
    <w:p>
      <w:pPr>
        <w:pStyle w:val="BodyTextIndent"/>
        <w:numPr>
          <w:ilvl w:val="0"/>
          <w:numId w:val="5"/>
        </w:numPr>
        <w:tabs>
          <w:tab w:val="clear" w:pos="720"/>
          <w:tab w:val="left" w:pos="1080" w:leader="none"/>
        </w:tabs>
        <w:ind w:hanging="0" w:start="1080" w:end="0"/>
        <w:rPr/>
      </w:pPr>
      <w:r>
        <w:rPr/>
        <w:t xml:space="preserve"> </w:t>
      </w:r>
      <w:r>
        <w:rPr/>
        <w:t>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rPr/>
      </w:pPr>
      <w:r>
        <w:rPr/>
      </w:r>
    </w:p>
    <w:p>
      <w:pPr>
        <w:pStyle w:val="Normal"/>
        <w:ind w:hanging="720" w:start="2160" w:end="0"/>
        <w:jc w:val="both"/>
        <w:rPr>
          <w:sz w:val="22"/>
        </w:rPr>
      </w:pPr>
      <w:r>
        <w:rPr>
          <w:sz w:val="22"/>
        </w:rPr>
      </w:r>
    </w:p>
    <w:p>
      <w:pPr>
        <w:pStyle w:val="Normal"/>
        <w:ind w:start="720" w:end="0"/>
        <w:jc w:val="both"/>
        <w:rPr/>
      </w:pPr>
      <w:r>
        <w:rPr>
          <w:sz w:val="22"/>
        </w:rPr>
        <w:t xml:space="preserve">Party B and its Custodian 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rPr>
          <w:sz w:val="22"/>
        </w:rPr>
      </w:pPr>
      <w:r>
        <w:rPr>
          <w:sz w:val="22"/>
        </w:rPr>
      </w:r>
    </w:p>
    <w:p>
      <w:pPr>
        <w:pStyle w:val="Normal"/>
        <w:ind w:start="1080" w:end="0"/>
        <w:jc w:val="both"/>
        <w:rPr>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720" w:end="0"/>
        <w:jc w:val="both"/>
        <w:rPr>
          <w:sz w:val="22"/>
        </w:rPr>
      </w:pPr>
      <w:r>
        <w:rPr>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 13(g)(ii).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pPr>
      <w:r>
        <w:rPr>
          <w:sz w:val="22"/>
        </w:rPr>
        <w:t>(1)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440" w:end="0"/>
        <w:jc w:val="both"/>
        <w:rPr>
          <w:sz w:val="22"/>
        </w:rPr>
      </w:pPr>
      <w:r>
        <w:rPr>
          <w:sz w:val="22"/>
        </w:rPr>
      </w:r>
    </w:p>
    <w:p>
      <w:pPr>
        <w:pStyle w:val="Normal"/>
        <w:ind w:start="1440" w:end="0"/>
        <w:jc w:val="both"/>
        <w:rPr>
          <w:sz w:val="22"/>
        </w:rPr>
      </w:pPr>
      <w:r>
        <w:rPr>
          <w:sz w:val="22"/>
        </w:rPr>
        <w:t>(2)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(A)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900" w:end="0"/>
        <w:jc w:val="both"/>
        <w:rPr>
          <w:sz w:val="22"/>
        </w:rPr>
      </w:pPr>
      <w:r>
        <w:rPr>
          <w:sz w:val="22"/>
        </w:rPr>
      </w:r>
    </w:p>
    <w:p>
      <w:pPr>
        <w:pStyle w:val="Normal"/>
        <w:ind w:start="900" w:end="0"/>
        <w:jc w:val="both"/>
        <w:rPr>
          <w:sz w:val="22"/>
        </w:rPr>
      </w:pPr>
      <w:r>
        <w:rPr>
          <w:sz w:val="22"/>
        </w:rPr>
        <w:t xml:space="preserve"> </w:t>
      </w: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on any date of determination, the respective ratings then assigned to an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1" w:fmt="decimal"/>
          <w:formProt w:val="false"/>
          <w:textDirection w:val="lrTb"/>
          <w:docGrid w:type="default" w:linePitch="360" w:charSpace="0"/>
        </w:sectPr>
        <w:pStyle w:val="Normal"/>
        <w:ind w:hanging="720" w:start="720" w:end="0"/>
        <w:jc w:val="both"/>
        <w:rPr>
          <w:sz w:val="22"/>
        </w:rPr>
      </w:pPr>
      <w:r>
        <w:rPr>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Justified"/>
        <w:widowControl/>
        <w:spacing w:lineRule="exact" w:line="480" w:before="0" w:after="0"/>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sz w:val="22"/>
        </w:rPr>
        <w:t xml:space="preserve">This Guaranty (the “Guaranty”), dated as of February 1,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THE OSPRAIE PORTFOLIO LTD., a Cayman Islands company (“Counterparty”) and ENRON NORTH AMERICA CORP. (“Enron”), a wholly owned subsidiary of Guarantor, are contemplating entering into one or more swap, option, derivative or other transactions, which transactions will be evidenced by one or more swap agreements, confirmations and/or master agreements, including without limitation, the ISDA Master Agreement of even date herewith (the “Master Agreement”) (all such swap, option, derivative or other transactions and the agreements evidencing same, including without limitation, the ISDA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and all amounts payable by Enron (without any deduction or withholding except as provided by the Contract), whether for principal, interest, fees, expenses, or otherwise (the “Obligations”) to Counterparty under the Contract.  Guarantor shall pay any and all expenses (including reasonable counsel fees and expenses) incurred by Counterparty in enforcing its rights under this Guaranty should it be determined that Guarantor is required to pay hereunder or should Guarantor otherwise pay Counterparty hereunder.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herein or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(as defined in the Master Agreement),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three (3) Local Business Days (as defined in the Master Agreement)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clearance or order of, or registration or filing with, any court or other governmental or regulatory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enforceable against it in accordance with its terms,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is or may be entitled to arising from or out of the Contract or under applicable law,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and any obligation to which it applies or may apply under the terms hereof; (b) presentment and demand upon Enron for payment, except as expressly provided for in the Contract; and (c) any right to require that any action or proceeding be brought against Enron or any other person, or except as expressly provided for in the Contract, to require that Counterparty seek enforcement of any performance against Enron or any other person, prior to any action against Guarantor under the terms hereof.  If at any time payment under the Contract is rescinded or must be otherwise restored or returned by Counterparty upon the insolvency, bankruptcy, or reorganization of Enron or Guarantor or otherwise, Guarantor’s obligations hereunder with respect to such payment shall be reinstated upon such restoration or return being made by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Counterparty may, at any time and from time to time in respect of Obligations, without the consent of or notice to Guarantor, (i) change the manner, place, and terms of payment, (ii) exercise or refrain from exercising any rights against Enron or Guarantor, (iii) settle or compromise any Obligations, and (iv) sell, exchange, release, surrender, realize upon, or otherwise deal with in any manner or in any order any property by whomsoever pledged or mortgaged to secure Obligations.  Each failure by Enron to pay any amounts in respect of Obligations shall give rise to a separate cause of action herewith, and separate suits may be brought hereunder as each cause of action arises.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Master Agreement)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The Ospraie Portfolio Ltd.</w:t>
            </w:r>
          </w:p>
          <w:p>
            <w:pPr>
              <w:pStyle w:val="Normal"/>
              <w:keepNext w:val="true"/>
              <w:keepLines/>
              <w:tabs>
                <w:tab w:val="clear" w:pos="720"/>
                <w:tab w:val="left" w:pos="3132" w:leader="none"/>
              </w:tabs>
              <w:spacing w:lineRule="atLeast" w:line="240"/>
              <w:rPr>
                <w:color w:val="000000"/>
                <w:sz w:val="22"/>
              </w:rPr>
            </w:pPr>
            <w:r>
              <w:rPr>
                <w:sz w:val="22"/>
              </w:rPr>
              <w:t>c/o Tudor Investment Corporation</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sz w:val="22"/>
              </w:rPr>
              <w:t>1275 King Street</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sz w:val="22"/>
              </w:rPr>
              <w:t>Greenwich, Connecticut  06831</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Operations</w:t>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sz w:val="22"/>
              </w:rPr>
              <w:t>(203) 863-8695</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By accepting this Guaranty and entering into the Contract, Counterparty agrees that Guarantor shall be subrogated to all rights of Counterparty against Enron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of its property or assets or otherwise for or on account of any payment made by Guarantor under this Guaranty, Guarantor shall immediately pay that amount received by it to Counterparty, to be credited and applied against the amount payable by Enron.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not transfer any of its rights or obligations hereunder without the prior written consent of Counterparty, and any purported transfer in violation of this provision shall be void.  The rights or obligations of Counterparty under this Guaranty with respect to the Contract or Obligations may be transferred along with the transfer by Counterparty of its rights or obligations under the Contract, to the same extent permitted by and in accordance with the Contract.  This Guaranty shall apply with the same force and effect with respect to the Contract or Obligations following the transfer by Counterparty of its rights or obligations under this Guaranty and the Contract in accordance with the terms of such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be governed by, and construed in accordance with, the law of the State of New York.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_______,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rPr>
          <w:sz w:val="22"/>
        </w:rPr>
      </w:pPr>
      <w:r>
        <w:rPr>
          <w:sz w:val="22"/>
        </w:rPr>
      </w:r>
    </w:p>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/mnt/main-storage/datasets/enron-docs/doc/347ctr_f.doc</w:t>
    </w:r>
    <w:r>
      <w:rPr>
        <w:sz w:val="16"/>
      </w:rPr>
      <w:fldChar w:fldCharType="end"/>
    </w:r>
  </w:p>
  <w:p>
    <w:pPr>
      <w:pStyle w:val="Footer"/>
      <w:widowControl/>
      <w:jc w:val="center"/>
      <w:rPr/>
    </w:pPr>
    <w:r>
      <w:rPr>
        <w:rStyle w:val="PageNumbe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/mnt/main-storage/datasets/enron-docs/doc/347ctr_f.doc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/mnt/main-storage/datasets/enron-docs/doc/347ctr_f.doc</w:t>
    </w:r>
    <w:r>
      <w:rPr>
        <w:sz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sz w:val="16"/>
      </w:rPr>
      <w:fldChar w:fldCharType="begin"/>
    </w:r>
    <w:r>
      <w:rPr>
        <w:sz w:val="16"/>
      </w:rPr>
      <w:instrText xml:space="preserve"> FILENAME \p </w:instrText>
    </w:r>
    <w:r>
      <w:rPr>
        <w:sz w:val="16"/>
      </w:rPr>
      <w:fldChar w:fldCharType="separate"/>
    </w:r>
    <w:r>
      <w:rPr>
        <w:sz w:val="16"/>
      </w:rPr>
      <w:t>/mnt/main-storage/datasets/enron-docs/doc/347ctr_f.doc</w:t>
    </w:r>
    <w:r>
      <w:rPr>
        <w:sz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lowerLetter"/>
      <w:lvlText w:val="(%1)"/>
      <w:lvlJc w:val="start"/>
      <w:pPr>
        <w:tabs>
          <w:tab w:val="num" w:pos="1080"/>
        </w:tabs>
        <w:ind w:start="1080" w:hanging="72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3"/>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2"/>
      <w:numFmt w:val="decimal"/>
      <w:lvlText w:val="(%1)"/>
      <w:lvlJc w:val="start"/>
      <w:pPr>
        <w:tabs>
          <w:tab w:val="num" w:pos="1545"/>
        </w:tabs>
        <w:ind w:start="1545" w:hanging="46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4z0">
    <w:name w:val="WW8Num4z0"/>
    <w:qFormat/>
    <w:rPr/>
  </w:style>
  <w:style w:type="character" w:styleId="WW8Num8z0">
    <w:name w:val="WW8Num8z0"/>
    <w:qFormat/>
    <w:rPr/>
  </w:style>
  <w:style w:type="character" w:styleId="WW8Num10z0">
    <w:name w:val="WW8Num10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2000-06-26T17:21:00Z</dcterms:created>
  <dc:creator>mheard</dc:creator>
  <dc:description/>
  <dc:language>en-CA</dc:language>
  <cp:lastModifiedBy>sflynn2</cp:lastModifiedBy>
  <cp:lastPrinted>2000-06-26T15:10:00Z</cp:lastPrinted>
  <dcterms:modified xsi:type="dcterms:W3CDTF">2000-06-26T17:51:00Z</dcterms:modified>
  <cp:revision>5</cp:revision>
  <dc:subject/>
  <dc:title>ISDA Multicurrency Agreement</dc:title>
</cp:coreProperties>
</file>